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60" w:line="226" w:lineRule="auto"/>
        <w:ind w:left="360" w:right="360"/>
        <w:jc w:val="both"/>
      </w:pPr>
      <w:r>
        <w:rPr>
          <w:rFonts w:ascii="Times New Roman" w:cs="Times New Roman" w:eastAsia="Times New Roman" w:hAnsi="Times New Roman"/>
          <w:b/>
          <w:bCs/>
          <w:sz w:val="21"/>
          <w:szCs w:val="21"/>
        </w:rPr>
        <w:t xml:space="preserve">Abstract. </w:t>
      </w:r>
      <w:r>
        <w:rPr>
          <w:rFonts w:ascii="Times New Roman" w:cs="Times New Roman" w:eastAsia="Times New Roman" w:hAnsi="Times New Roman"/>
          <w:sz w:val="21"/>
          <w:szCs w:val="21"/>
        </w:rPr>
        <w:t xml:space="preserve">Estimating molecular ground-state energies underlies reaction thermodynamics, redox behaviour, and materials screening, and it is exactly where classical methods break down under strong correlation. MATGEN-Q is a two-stage generative quantum eigensolver — a classical transformer proposes the circuits and QSCI evaluates them — which we scale toward the 40-qubit, industrially relevant regime on NVIDIA CUDA-Q, taking EUV photoresist chemistry (tin-oxo clusters) as the target application. The results here are executed and reproducible: chemical accuracy on the open-shell multireference oxides CrO and NiO and on the EUV Sn-oxides at 20 qubits; a 40-qubit flagship energy of 1.226 mHa against a reference frozen before access; and two 38-qubit runs that correct their own DMRG references, with an independent DMRG extrapolation placing the flagship 1.59 mHa from the near-exact limit. Where stretched-bond CCSD(T) turns confidently wrong — dropping below the exact energy with no warning — QSCI stays a variational, self-certifying bound. We claim no quantum advantage: every result is classical simulation, GPU determinant-space computation, or small-scale QPU validation, and one command reproduces all 26 checks (26/26 PASS).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underlies reaction thermodynamics, redox behavior, and excited-state properties throughout materials chemistry, yet classical methods scale exponentially with electron correlation and the gold-standard CCSD(T) costs O(N⁷). The Generative Quantum Eigensolver (GQE; Nakaji et al. 2024) takes a different route from VQE: a classical generative transformer proposes the quantum circuits rather than optimizing a variational one, which sidesteps the barren-plateau problem (Tilly et al. 2022; a GQE property established by Nakaji et al. 2024 and adopted here, not re-demonstrated). Until recently, statevector GQE stayed small-scale and QSCI-paired GQE had reached only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Carrying this generative approach into the ~40-qubit, industrially relevant regime, with executed and reproducible results, is the problem Phase 3 addresses.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 executed contribution is quantum-accurate energies for the chemistry where the classical gold standard breaks down. As bonds stretch, single-reference CCSD(T) collapses non-variationally below the exact energy, a confidently wrong result that gives no internal warning; we therefore target the open-shell, multireference transition-metal oxides (CrO, NiO) and EUV-relevant tin oxides (SnO, SnO₂) at 20 qubits, validated against exact diagonalization and third-party HamLib Hamiltonians. Around that core we build the machinery needed to scale: tensor-network plus selected-CI evaluation, MP2 pool compression, and a generator that transfers across system size and chemistry, all aimed at the 40q+ regime, with every claim reproducible and every limitation stated.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application target is EUV semiconductor photoresist chemistry (tin-oxo clusters; Sn, Hf, Zr oxides), whose open-shell, multireference character defeats single-reference classical methods. It is also the focus of an active quantum-simulation program by one of this challenge's providers (Kharazi et al., Xanadu &amp; Mitsubishi Chemical, 2026). Figure 1 (§5) shows the problem concretely: as a real Cr–O bond stretches into the strongly-correlated regime, in-active-space CCSD(T) collapses non-variationally, its error growing to ~144 mHa and often failing to converge, while the variational selected-CI/QSCI selector stays a rigorous, self-certifying bound within chemical accuracy throughout. The pipeline (AI proposes, classical screens, GQE/QSCI refines, Bayesian selects) carries over to the battery electrolytes, catalysts, and polymers central to Mitsubishi Chemical and AIST; in an $800B+ semiconductor industry, the multi-fidelity screening economics of Fare et al. (2022) are the cost lever MATGEN-Q pulls through quantum-accurate pre-selection.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Chemical, the payoff is a quantum-accurate, self-certifying filter that runs ahead of costly synthesis and lithographic testing, where single-reference classical methods misjudge strongly-correlated tin-oxo energetics. For AIST/G-QuAT, it is a scalable, reproducible GQE workflow on CUDA-Q that extends the jointly-developed program past its current size limits.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use the Hₙ chain series (n = 2…20; 4–40 qubits, STO-6G, Jordan–Wigner), the canonical strong-correlation benchmark, because a single bond-length parameter tunes it from weak to strong correlation and so stresses the simulation layer that any scaling claim rests 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chemistry. On Sn-oxide active spaces (Sn ECP-CASCI, validated on H₄ to 0.0000 mHa), it holds chemical accuracy for SnO (16q) and SnO₂ (20q): reproduce.py asserts ≤1.6 mHa, and we observe 0.11–0.46 / 0.13–0.23 across versions and re-runs. To reach a genuine EUV motif rather than a diatomic, we also treat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and the genuinely open-shell, multireference transition-metal oxides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(0.038 mHa) and NiO ³Σ⁻ (0.197 mHa)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These are executed 20-qubit results. The 38-qubit regime is a GPU scaling target in §5, not a pre-claimed number, and it deliberately supersedes the aspirational ≤0.08 mHa @38q figure in our Phase 2 draft, which we no longer claim.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that replicates its methodology (PySCF, OpenFermion,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Checked against the published files, our FCI reproduces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differing only by a spectrum-invariant orbital-phase convention.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compare against FCI exactly (≤20q) and CCSD(T) near equilibrium. Under strong correlation, where CCSD(T) breaks down, the reference is DMRG, which we verified reproduces FCI to 0.000 mHa at 20q.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two-stage GQE.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writes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them to chemical accuracy. Four design choices make it scale: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simulation, the GPU scaling enabler; the bond-dimension argument is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2ⁿ, and we verify that enabling claim with block2 DMRG: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needed for chemical accuracy grows only modestly with size (χ≈50/100/400 at 20/28/40 qubits), entanglement area-law-bounded near equilibrium (Sₘₐₓ 0.39) and rising into strong correlation (Sₘₐₓ 4.43)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At 40q, then, χ≈400 keeps the MPS footprint (~n·χ²·d, megabytes) far below the ~16 TB exact statevector. The 20q/28q GPU runs are executed to chemical accuracy (§5); the full 40q tensornet-mps run remains the primary owed deliverable, de-risked by the measured χ target and the ≈5× faster growth engine.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evaluation, accuracy-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In Quantum-Selected Configuration Interaction (Kanno et al. 2023), dominant configurations are sampled from the generated circuit and H is classically diagonalized in that subspace. Because the device defines only the subspace, the method is intrinsically noise-robust: at 20q with 2×10⁶ shots the energy degrades gracefully to ≤3.3 mHa even with 30% of measurements corrupted, and run through CUDA-Q's density-matrix backend with a physical depolarizing channel, QSCI on H₄ holds chemical accuracy up to 5% per-gate noise. We read this as a selection-principle robustness check on a small determinant space, not a hardware forecast.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compression, for efficiency.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exactly where random pruning collapses. In a deterministic CI-subspace test (CO/N₂/SiO, 12q),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1170→430), against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versus 29.7 mHa random.</w:t>
      </w:r>
    </w:p>
    <w:p>
      <w:pPr>
        <w:spacing w:after="3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learning: a generative prior that carries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With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then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statistical: a ~3.6× tighter selection spread than random (≈1.4 vs ≈5.1 mHa across-seed SD) and 43/48 size×seed paired wins at 8 seeds (binomial p&lt;0.0001)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reliable selection rather than a lottery. The per-size mean advantage is positive at every size and stays significant (7/8 wins) through 56q, narrowing only in magnitude (+7.1→+3.9 mHa, 16→56q). Interpretability suggests the policy has learned real chemistry: trained on energy alone, it recovers the MP2 double-excitation amplitude hierarchy (Spearman ρ=0.31, p&lt;0.002; 4 of its top-8 doubles are MP2's).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idea. GQE training is CPU-bound near ~16 qubits, so transferring a small-trained generator toward the 40q+ target, instead of training at scale, speaks directly to the scalability criterion. What makes 56q reachable on CPU is a determinant-space evaluation (each excitation maps by bitmask to a determinant, diagonalized via Slater-Condon, validated to 0.0000 mHa against Jordan–Wigner) that needs no 2ⁿ statevector.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QSCI: relative at a small fixed budget (K=96, where the generator beats random at every budget up to K=96 but converges with it by K=128), not absolute chemical accuracy. 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Deployed to oxide active spaces, the same generator beats random on 3 of 6 targets (CO-12q/SiO/CO-20q), ties BeO, and loses on SnO. Target-specific MP2 is strongest on every target. So cross-size transfer is robust while cross-chemistry works only when the target resembles training: a zero-cost prior, not a universal one. A same-size conditional-GQE variant (cf. Minami, Nakaji et al. 2025) gave only a within-noise gain, which we also report as a negative.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(PyTorch), while circuit evaluations are dispatched across GPUs through CUDA-Q's mqpu in an asynchronous generate→evaluate→update loop. Quantum resources handle state preparation and energy estimation (MPS/QSCI); classical resources handle generation, optimization, and active-space selection.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within 0.02 mHa via cudaq.observe, QSCI within chemical accuracy via cudaq.sample), confirming that the generated circuits compile and sample through the SDK. The full QPU submission chain (export→submit→decode→QSCI) then runs end-to-end through the qBraid cloud runtime on its free simulator tier (+2.0 mHa vs FCI, job IDs committed); 20q/28q are executed on NVIDIA hardware and AQT trapped-ion silicon decoded clean (§5); the 40q tensornet-mps run is owed.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 single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runs 26 automated checks: 17 re-executions plus 9 committed-artifact audits, among them the pre-registration SHA-256, the AQT trapped-ion decode, and a cost audit that re-derives the program spend from published pricing and committed shot/uptime configs. The result is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26/26 PASS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and every value traces to a committed result file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chem. acc. ≤1.6 (obs. 0.11–0.46 / 0.13–0.23)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values version/run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(~6.8× from 20→24 qubits, 0.74 s to 5.02 s on a single CPU thread) and is intractable by 32q on CPU. CCSD(T) stays cheap, but its error climbs with correlation and breaks down entirely in the strongly-correlated regime (at H₂₄/48q, classical DMRG is itself 6.83 mHa off CCSD(T)). At 40q the exact statevector needs ~16 TB against ~0.2 GB for the MPS tier (measured χ=400), and full CI needs ~3×10¹⁰ determinants against ~10⁶ for QSCI. These are the memory and determinant walls that the MPS and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5.02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exact-method wall, not absolute seconds, are the claim; H₁₄+ rows qualitative).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on qBraid GPU (real hardware runs, corrected incremental engine).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Two at-scale runs ran on NVIDIA GPU through qBraid, each judged against a reference committed before access (git-timestamped preregistration).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20q H₁₀ (cuStateVec)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reproduces full CI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+0.000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0.44 GB device memory, an exact GPU-execution anchor.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28q H₁₄ (cuStateVec),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device-sampled QSCI grown to 64,212 determinants, reaches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+0.395 mHa vs block2 DMRG(χ=400)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2.82 GB device memory: chemical accuracy above the 20q scale on hardware. Both meet their pre-registered energy (P1) and device-memory (P3) criteria.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H₂₀ (primary criterion):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fast incremental engine drives the QSCI error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monotonically 8.9→3.2→1.226 mHa as the budget grows 30k→150k→450,257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(~(dets)⁻⁰·⁷), meeting the pre-registered P1 chemical-accuracy criterion against the committed DMRG(χ=400) reference (the P2 determinant-band is also met, ahead of its ~10⁶-det estimate). The run stopped at iter-3 on a disk ceiling, disclosed in-evidence; because QSCI is variational, an early stop can only worsen a pass, never manufacture one (attempt-1's old engine stalled at 6k/+14.8 mHa). Absolute accuracy against a stricter χ=800 reference (+2.19 mHa) is the job of E3/E6, below. The subspace is MP2-seeded, since the tensornet-mps sampler's fixed MPS-contraction cost is impractical at 40q; growth is seed-independent, and the device sampler is proven exact at 20q/28q.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near-38q, where we corrected the classical reference (Figure 2):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CrO CAS(18,19)=38q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−3.784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(529,392 determinants, 19.1 h; reference committed before access). Both are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variational upper bounds on the identical Hamiltonian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so the lower energy is strictly more accurate, and the pre-registered χ-escalation confirms it. This is the P4 criterion FAILING as-measured (|Δ|&gt;1.6 mHa): it had assumed DMRG(χ=400) was truth, and the result disproved that assumption.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mechanism is measured: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against exact FCI at 20q, truncation error at fixed χ grows ~2,000× into strong correlation, and χ=400, exact at 20q, is ≥0.92 mHa off at 40q. A χ validated on a smaller system does not transfer (reference_reliability_map.py).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Real-QPU silicon (10–16q), executed and decoded: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3-job pooled protocol ran end-to-end through qBraid (qir-sv tier: +2.0 mHa vs FCI, PASS, job IDs committed), and the trapped-ion flight (AQT ibex-q1, 2,000 shots/job, SHA-pinned exports) decoded 2026-07-20. Number-conserving post-selection kept 28.6% / 25.1% of shots, device-sampled determinants give +20.4 / +11.1 mHa, and device-seeded QSCI growth recovers exact FCI (0.000 mHa): genuine trapped-ion samples driving the same machinery as the 40q runs.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things, demonstrated rather than asserted. First, correctness: the pipeline reproduces the FCI/CASCI reference to chemical accuracy on every instance we can run, including the multireference oxides and EUV Sn-oxides. Second, scalability: it reaches chemical accuracy on a vanishing fraction of the CI space (3.8% at 20q, 0.15% at 28q). Third, transferable structure (§3). The boundaries are set out in §7.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Stretching H₁₀ (20q) to dissociation drives genuine multireference character (the Hartree–Fock weight in the exact wavefunction falls 0.93→0.06), and here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Å, a confidently wrong and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geometry, as a rigorous variational bound that converges systematically.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This is not a hydrogen-chain artifact: on a real Cr–O bond stretch (CrO ⁵Π, CAS(10,10)=20q), in-active-space CCSD(T) develops large, frequently non-convergent errors (tens to ~144 mHa vs exact CASCI, the non-convergent points scattering on re-runs) as the dominant-determinant weight falls 0.87→0.16, while selected-CI/QSCI stays variational and within a few mHa throughout (Figure 1).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We also certify the error rather than assert it. An Epstein–Nesbet PT2 correction tightens the variational upper bound toward FCI;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E_var+PT2 is a second-order estimate (not a bound) that at our budgets converges to FCI from above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The CIPSI extrapolation reproduces FCI to ~4 mHa near equilibrium (R²=0.999) and degrades to ~54 mHa when heavily stretched, which we report rather than hide. Even at the strongest correlation (R=2.4 Å, 468 determinants), E_var+PT2 sits +10.9 mHa above FCI, with the shrinking E_var↔E_var+PT2 gap serving as the convergence certificate, whereas CCSD(T) sits 217 mHa below FCI with no error signal at all. (Selected-CI here is classical on CPU; QSCI is its device-driven instantiation, realized on GPU hardware by the 28q run.)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R&amp;D value: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confidently-wrong classical energy, one that sits below the exact answer with no error flag, commits multi-month synthesis spend to a false lead. That is the dominant hidden cost of discovery, and exactly what a self-certifying variational selector removes.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50495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Trust on a real oxide. As the CrO ⁵Π bond stretches (left→right), in-active-space CCSD(T) becomes erratic and frequently non-convergent (open markers), a few to ~144 mHa vs exact CASCI, while selected-CI/QSCI stays a variational bound within chemical accuracy (≤2.8 mHa). CCSD(T) uses the identical embedded Hamiltonian as CASCI (apples-to-apples).</w:t>
      </w:r>
    </w:p>
    <w:p>
      <w:pPr>
        <w:keepNext/>
        <w:spacing w:after="8" w:before="40" w:line="240" w:lineRule="auto"/>
        <w:jc w:val="center"/>
      </w:pPr>
      <w:r>
        <w:drawing>
          <wp:inline distT="0" distB="0" distL="0" distR="0">
            <wp:extent cx="1333500" cy="771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Correcting the classical reference at 38q. Escalating the bond dimension walks DMRG down toward our QSCI energy (+3.78 → +1.06 → +0.36 mHa at χ=400/800/1200), never crossing it. Both bound the same CAS(18,19) Hamiltonian from above, so the lower energy is strictly more accurate: the committed χ=400 reference carried a silent truncation error. Selection is classical at this size (disclosed proxy; device-sampled at 20q/28q).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Frozen extension campaign (E2–E6; pre-registered before access, executed 2026-07-23/24, reported as measured).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Protocols were git-timestamped (preregistration_v2.json + _e67_supplementary.json) before access and reported as measured, whether pass, fail, or resource-DNF.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E4, a second reference correction on the real EUV motif: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QSCI on the committed Sn₂O₂ rhombus (CAS(18,19)=38q) converged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−0.399 mHa BELOW the same-CAS DMRG(χ=400) reference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(524,764 dets, 7.4 h; reference committed pre-run), reproducing the correction on the actual tin-oxo chemistry.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EUV-motif trust curve: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as the Sn₂O₂ Sn–O bridge stretches 2.05→3.28 Å into the strongly-correlated cleavage regime, in-active-space CCSD(T) error grows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0.14→5.49 mHa (~40×)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while the identical selected-CI/QSCI stays variational (≤0.48 mHa everywhere) and the dominant-determinant weight collapses 0.95→0.53: Figure 1's trust story on the real motif under cleavage.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E3, the 40q absolute-certification protocol (terminal at it5):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growth-to-PT2-certificate on H₂₀ 40q with bucket-parallel Epstein–Nesbet (bit-identical to serial), ended by an external pod kill during it6 growth (disclosed, and not a convergence failure). At it5,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+0.185 mHa vs χ=400 (ii MET), 750,257 dets (iii MET)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with |PT2| on a clean converging trace 84→4.6→2.6→2.0→1.57→1.31 mHa; the |PT2|≤0.5 point (i, ~it10–11) went unreached, as-measured.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E2, a resource-DNF disclosed as an operational record (not the E2 result):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device-seeded 40q run (committed 102-det seed) needs ≥128 GiB and was OOM-killed by the cgroup at iter-3 cap-fill (peak 133.5 GB, 97%; two deterministic attempts). E4 completed on the same box at 59.7 GB, so +2 qubits doubles the footprint: an honest hardware ceiling, with no tuning.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E5, the least-grounded frontier (44q), non-converged and reported as such: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H₂₂ 44q growth against a re-frozen χ=1200 judge, terminated early to protect E3's runway; the committed trajectory +125→+8.7→+5.2→+4.0 mHa is decelerating but does not reach the ≤1.6 mHa threshold before the abort gate, the pre-registered expected outcome, with no threshold moved and frozen parameters untouched.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E6, an independent absolute-accuracy anchor (supplementary, pre-registered):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high-χ DMRG (χ=400→2400) on the identical H₂₀/40q Hamiltonian, extrapolated on discarded weight to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FCI(40q) = −10.293599 ± 0.022 mHa (R²=0.997)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places E3's committed it5 variational energy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+1.59 mHa from the near-exact limit, at the 1 kcal/mol chemical-accuracy edge and jackknife-robust to ±0.05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(leave-one-out +1.55→+1.61 mHa; e6_jackknife.py).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second, independent route cross-validates it: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extrapolating E3's own PT2 trace to PT2→0 (standard CIPSI, a different method class and extrapolation variable) gives −10.293621 Ha,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agreeing with the DMRG route to 0.064 mHa in the worst fit window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(~0.10 mHa, about 15× inside chemical accuracy once Route A's jackknife is folded in). The 40q exact energy is thus pinned twice, independently (e3_cipsi_crossvalidation.py).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confirm that the determinant-space proxy tracks the real circuit-sampled pipeline by executing measured QSCI (qml.sample, 3,000 shots × 160 circuits) at 16q and 20q: measured matches proxy (16q: 28.1 vs 26.6; 20q: 50.4 vs 49.3 mHa), extending the sampled pipeline past 12q (at this shot budget, diffuse random sampling edges out the generator, a low-shot coverage effect rather than a quality reversal). Determinants for chemical accuracy grow ~1.38× per qubit against 2.0× for FCI (log R²=0.99): vanishing but still exponential, and we do not claim polynomial scaling.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run on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24–40q tier and cuStateVec for exact validation to ~32q, with multi-GPU (NVLink) enabling distributed evaluation and the &gt;40q bonus, and QPU access for the 10–16q validation. The ~16 TB exact statevector at 40q collapses onto a single 80 GB GPU through CUDA-Q MPS (~200× reduction), which is what makes the 40-qubit tier reachable.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With pool compression, a length-8 UCC circuit is shallow (≤2-qubit gates) and within MPS reach near equilibrium; QSCI needs ~10³–10⁴ shots per circuit; and the full 24→40q sweep plus oxide runs is roughly 1–2 weeks on a single GPU. Measured timings are 20q 191 s and 28q 2,386 s, of which GPU sampling is 1–32 s and the remainder is classical determinant growth (cut ≈5× by the incremental engine).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are explicit about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GQE→QSCI loop is measured at 12q and device-sampled at 20q/28q on GPU (§5); larger QSCI numbers use a hardware-independent determinant-space proxy.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classical FCI/DMRG solve every instance here, including the 40q flagship (our own DMRG anchor pins it independently, §5), so we claim no speed or reach advantage anywhere, only correctness, self-certification, and favourable scaling.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absolute certification: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flagship meets its pre-registered relative criterion; E3 reached a terminal it5 (external pod kill) with prediction ii met and the |PT2|≤0.5 point unreached, reported as-measured (§5).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significant at 8 seeds (43/48 wins, p&lt;0.0001), the advantage narrowing in magnitude but staying positive through 56q; cross-chemistry wins 3 of 6 oxides (BeO a tie) and fails on SnO; and target-specific MP2 beats the transferred prior. It is a zero-cost prior, not a universal or MP2-beating one.</w:t>
      </w:r>
    </w:p>
    <w:p>
      <w:pPr>
        <w:spacing w:after="32" w:before="64" w:line="226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44" w:line="226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contributes on four axes.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AI: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classical generative transformer designs the circuits and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transfers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trained at 8q+12q and deployed zero-shot to 56q (43/48 wins, p&lt;0.0001).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it is paired with QSCI and executed at scale, giving a 40q energy chemically accurate against its frozen reference, device-sampled 20q/28q GPU and trapped-ion silicon runs, and two 38q runs that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correct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their DMRG references.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Business: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it serves as a pre-synthesis trust gate; where CCSD(T) is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confidently wrong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QSCI is variational and self-certifying, so synthesis spend is never committed to a false lead.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Scientific: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every judged claim is pre-registered and reported as measured, including a resource-DNF, a non-convergence, and two claims we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withdrew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one command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26/26) re-runs every headline result.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L. B. Kristensen, J. A. Campos-Gonzalez-Angulo, M. Ghazi Vakili, H. Huang, M. Bagherimehrab, C. Gorgulla, F. Wong, A. McCaskey, J.-S. Kim, T. Nguyen, P. Rao, and A. Aspuru-Guzik, “The generative quantum eigensolver (GQE) and its application for ground state search,” arXiv:2401.09253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D. Marti-Dafcik, Y. Ho, D. P. Tabor, D. E. Bernal Neira, A. B. Magann, S. Premaratne, P. Dubey, A. Matsuura, N. Bishop, W. A. de Jong, S. Benjamin, O. Parekh, N. Tubman, K. Klymko, and D. Camps, “HamLib: A library of Hamiltonians for benchmarking quantum algorithms and hardware,” Quantum 8, 1559 (2024). DOI: 10.22331/q-2024-12-11-1559.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Y. Suzuki, A. Aspuru-Guzik, and T. Kadowaki, “Generative quantum combinatorial optimization by means of a novel conditional generative quantum eigensolver,” Digital Discovery 4(8), 2229–2243 (2025). DOI: 10.1039/D5DD00138B (arXiv:2501.16986).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M. Kohda, R. Imai, S. Koh, K. Mitarai, W. Mizukami, and Y. O. Nakagawa, “Quantum-Selected Configuration Interaction: classical diagonalization of Hamiltonians in subspaces selected by quantum computers,”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Corporation, “CUDA-Q (formerly CUDA Quantum) and the cuQuantum SDK: cuStateVec, tensornet, and tensornet-mps backends,” software (2024–2026). https://developer.nvidia.com/cuda-q.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H. Chen, S. Cao, D. Picozzi, K. Setia, Y. Li, E. Grant, L. Wossnig, I. Rungger, G. H. Booth, and J. Tennyson, “The Variational Quantum Eigensolver: A review of methods and best practices,” Physics Reports 986, 1–128 (2022). DOI: 10.1016/j.physrep.2022.08.003.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P. Fenner, M. Benatan, et al., “A multi-fidelity machine learning approach to high-throughput materials screening,” npj Computational Materials 8, 257 (2022). DOI: 10.1038/s41524-022-00947-9.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S. Fomichev, S. Kanno, T. Kobayashi, J. M. Arrazola, Q. Gao, and T. F. Stetina, “Quantum Simulations for Extreme Ultraviolet Photolithography,” arXiv:2602.20234 (2026). [Xanadu &amp; Mitsubishi Chemical Corporation — a challenge provider]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K. Keithley, I. Hamamura, N. Yamamoto, and K. Nakaji, “Generative Circuit Design for Quantum-Selected Configuration Interaction,” arXiv:2604.09756 (2026). [Mitsubishi Chemical Corporation — a challenge provider; N₂ active spaces to 32 qubits]</w:t>
      </w:r>
    </w:p>
    <w:p>
      <w:pPr>
        <w:spacing w:after="40" w:before="160" w:line="240" w:lineRule="auto"/>
      </w:pPr>
      <w:r>
        <w:rPr>
          <w:rFonts w:ascii="Times New Roman" w:cs="Times New Roman" w:eastAsia="Times New Roman" w:hAnsi="Times New Roman"/>
          <w:b/>
          <w:bCs/>
          <w:i/>
          <w:iCs/>
          <w:sz w:val="19"/>
          <w:szCs w:val="19"/>
        </w:rPr>
        <w:t xml:space="preserve">AI-use disclosure. </w:t>
      </w: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Generative AI assisted code and writing (per the challenge's stated permission for code support and writing); all technical contributions, formulations, and results are the team's own — every judged claim is pre-registered with frozen protocols and thresholds and traces to a committed script + evidence file, with all governance decisions carrying operator sign-offs in the git history.</w:t>
      </w:r>
    </w:p>
    <w:sectPr>
      <w:pgSz w:w="12240" w:h="15840" w:orient="portrait"/>
      <w:pgMar w:top="1080" w:right="720" w:bottom="108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9242256d38dbb2a2f88e07f0fcfadd950937dda.png"/><Relationship Id="rId8" Type="http://schemas.openxmlformats.org/officeDocument/2006/relationships/image" Target="media/10ce1933bcf89821d7dbe5d2890e923ecdd212f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2026-07-26T21:37:34.062Z</dcterms:created>
  <dcterms:modified xsi:type="dcterms:W3CDTF">2026-07-26T21:37:34.063Z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