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underlies reaction thermodynamics, redox behavior, and excited-state properties throughout materials chemistry, yet classical methods scale exponentially with electron correlation and the gold-standard CCSD(T) costs O(N⁷). The Generative Quantum Eigensolver (GQE; Nakaji et al. 2024) takes a different route from VQE: a classical generative transformer proposes the quantum circuits rather than optimizing a variational one, which sidesteps the barren-plateau problem (Tilly et al. 2022; a GQE property established by Nakaji et al. 2024 and adopted here, not re-demonstrated). Until recently, statevector GQE stayed small-scale and QSCI-paired GQE had reached only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Carrying this generative approach into the ~40-qubit, industrially relevant regime, with executed and reproducible results, is the problem Phase 3 addresses.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 executed contribution is quantum-accurate energies for the chemistry where the classical gold standard breaks down. As bonds stretch, single-reference CCSD(T) collapses non-variationally below the exact energy, a confidently wrong result that gives no internal warning; we therefore target the open-shell, multireference transition-metal oxides (CrO, NiO) and EUV-relevant tin oxides (SnO, SnO₂) at 20 qubits, validated against exact diagonalization and third-party HamLib Hamiltonians. Around that core we build the machinery needed to scale: tensor-network plus selected-CI evaluation, MP2 pool compression, and a generator that transfers across system size and chemistry, all aimed at the 40q+ regime, with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application target is EUV semiconductor photoresist chemistry (tin-oxo clusters; Sn, Hf, Zr oxides), whose open-shell, multireference character defeats single-reference classical methods. It is also the focus of an active quantum-simulation program by one of this challenge's providers (Kharazi et al., Xanadu &amp; Mitsubishi Chemical, 2026). Figure 1 (§5) shows the problem concretely: as a real Cr–O bond stretches into the strongly-correlated regime, in-active-space CCSD(T) collapses non-variationally, its error growing to ~144 mHa and often failing to converge, while the variational selected-CI/QSCI selector stays a rigorous, self-certifying bound within chemical accuracy throughout. The pipeline (AI proposes, classical screens, GQE/QSCI refines, Bayesian selects) carries over to the battery electrolytes, catalysts, and polymers central to Mitsubishi Chemical and AIST; in an $800B+ semiconductor industry, the multi-fidelity screening economics of Fare et al. (2022) are the cost lever MATGEN-Q pulls through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Chemical, the payoff is a quantum-accurate, self-certifying filter that runs ahead of costly synthesis and lithographic testing, where single-reference classical methods misjudge strongly-correlated tin-oxo energetics. For AIST/G-QuAT, it is a scalable, reproducible GQE workflow on CUDA-Q that extends the jointly-developed program past its current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use the Hₙ chain series (n = 2…20; 4–40 qubits, STO-6G, Jordan–Wigner), the canonical strong-correlation benchmark, because a single bond-length parameter tunes it from weak to strong correlation and so stresses the simulation layer that any scaling claim rests 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chemistry. On Sn-oxide active spaces (Sn ECP-CASCI, validated on H₄ to 0.0000 mHa), it holds chemical accuracy for SnO (16q) and SnO₂ (20q): reproduce.py asserts ≤1.6 mHa, and we observe 0.11–0.46 / 0.13–0.23 across versions and re-runs. To reach a genuine EUV motif rather than a diatomic, we also treat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the genuinely open-shell, multireference transition-metal oxides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(0.038 mHa) and NiO ³Σ⁻ (0.197 mHa)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These are executed 20-qubit results. The 38-qubit regime is a GPU scaling target in §5, not a pre-claimed number, and it deliberately supersedes the aspirational ≤0.08 mHa @38q figure in our Phase 2 draft, which we no longer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that replicates its methodology (PySCF, OpenFermion,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Checked against the published files, our FCI reproduces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differing only by a spectrum-invariant orbital-phase convention.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compare against FCI exactly (≤20q) and CCSD(T) near equilibrium. Under strong correlation, where CCSD(T) breaks down, the reference is DMRG, which we verified reproduces FCI to 0.000 mHa at 20q.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two-stage GQE.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writes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them to chemical accuracy. Four design choices make it scale: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simulation, the GPU scaling enabler; the bond-dimension argument is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2ⁿ, and we verify that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needed for chemical accuracy grows only modestly with size (χ≈50/100/400 at 20/28/40 qubits), entanglement area-law-bounded near equilibrium (Sₘₐₓ 0.39) and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At 40q, then, χ≈400 keeps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evaluation, accuracy-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In Quantum-Selected Configuration Interaction (Kanno et al. 2023), dominant configurations are sampled from the generated circuit and H is classically diagonalized in that subspace. Because the device defines only the subspace, the method is intrinsically noise-robust: at 20q with 2×10⁶ shots the energy degrades gracefully to ≤3.3 mHa even with 30% of measurements corrupted, and run through CUDA-Q's density-matrix backend with a physical depolarizing channel, QSCI on H₄ holds chemical accuracy up to 5% per-gate noise. We read this as a selection-principle robustness check on a small determinant space, not a hardware forecast.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compression, for efficiency.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exactly where random pruning collapses. In a deterministic CI-subspace test (CO/N₂/SiO, 12q),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1170→430), against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versus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learning: a generative prior that carries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then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a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reliable selection rather than a lottery. The per-size mean advantage is positive at every size and stays significant (7/8 wins) through 56q, narrowing only in magnitude (+7.1→+3.9 mHa, 16→56q). Interpretability suggests the policy has learned real chemistry: trained on energy alone, it recovers the MP2 double-excitation amplitude hierarchy (Spearman ρ=0.31, p&lt;0.002; 4 of its top-8 doubles are MP2's).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idea. GQE training is CPU-bound near ~16 qubits, so transferring a small-trained generator toward the 40q+ target, instead of training at scale, speaks directly to the scalability criterion. What makes 56q reachable on CPU is a determinant-space evaluation (each excitation maps by bitmask to a determinant, diagonalized via Slater-Condon, validated to 0.0000 mHa against Jordan–Wigner) that needs no 2ⁿ statevector.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QSCI: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Deployed to oxide active spaces, the same generator beats random on 3 of 6 targets (CO-12q/SiO/CO-20q), ties BeO, and loses on SnO. Target-specific MP2 is strongest on every target. So cross-size transfer is robust while cross-chemistry works only when the target resembles training: a zero-cost prior, not a universal one. A same-size conditional-GQE variant (cf. Minami, Nakaji et al. 2025) gave only a within-noise gain, which we also report as a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(PyTorch), while circuit evaluations are dispatched across GPUs through CUDA-Q's mqpu in an asynchronous generate→evaluate→update loop. Quantum resources handle state preparation and energy estimation (MPS/QSCI); classical resources handle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cudaq.observe, QSCI within chemical accuracy via cudaq.sample), confirming that the generated circuits compile and sample through the SDK. The full QPU submission chain (export→submit→decode→QSCI) then runs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 single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checks: 17 re-executions plus 9 committed-artifact audits, among them the pre-registration SHA-256, the AQT trapped-ion decode, and a cost audit that re-derives the program spend from published pricing and committed shot/uptime configs. The result is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≤1.6 (obs. 0.11–0.46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to 5.02 s on a single CPU thread) and is intractable by 32q on CPU. CCSD(T) stays cheap, but its error climbs with correlation and breaks down entirely in the strongly-correlated regime (at H₂₄/48q, classical DMRG is itself 6.83 mHa off CCSD(T)). At 40q the exact statevector needs ~16 TB against ~0.2 GB for the MPS tier (measured χ=400), and full CI needs ~3×10¹⁰ determinants against ~10⁶ for QSCI. These are the memory and determinant walls that the MPS and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ran on NVIDIA GPU through qBraid, each judged against a reference committed before access (git-timestamped preregistration).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memory, an exact GPU-execution anchor.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device-sampled QSCI grown to 64,212 determinants,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memory: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against the committed DMRG(χ=400) reference (the P2 determinant-band is also met, ahead of its ~10⁶-det estimate). The run stopped at iter-3 on a disk ceiling, disclosed in-evidence; because QSCI is variational, an early stop can only worsen a pass, never manufacture one (attempt-1's old engine stalled at 6k/+14.8 mHa). Absolute accuracy against a stricter χ=800 reference (+2.19 mHa) is the job of E3/E6, below. The subspace is MP2-seeded, since the tensornet-mps sampler's fixed MPS-contraction cost is impractical at 40q; growth is seed-independent, and the device sampler is proven exact at 20q/28q.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near-38q, where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access).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the lower energy is strictly more accurate, and the pre-registered χ-escalation confirms it. This is the P4 criterion FAILING as-measured (|Δ|&gt;1.6 mHa): it had assumed DMRG(χ=400) was truth, and the result disproved that assumption.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against exact FCI at 20q, truncation error at fixed χ grows ~2,000× into strong correlation, and χ=400, exact at 20q,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(10–16q),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2026-07-20.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rather than asserted. First, correctness: the pipeline reproduces the FCI/CASCI reference to chemical accuracy on every instance we can run, including the multireference oxides and EUV Sn-oxides. Second, scalability: it reaches chemical accuracy on a vanishing fraction of the CI space (3.8% at 20q, 0.15% at 28q). Third, transferable structure (§3). The boundaries are set out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(the Hartree–Fock weight in the exact wavefunction falls 0.93→0.06), and here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Å, a confidently wrong and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geometry, as a rigorous variational bound that converges systematically.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This is not a hydrogen-chain artifact: on a real Cr–O bond stretch (CrO ⁵Π, CAS(10,10)=20q), in-active-space CCSD(T) develops large, frequently non-convergent errors (tens to ~144 mHa vs exact CASCI, the non-convergent points scattering on re-runs)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We also certify the error rather than assert it. An Epstein–Nesbet PT2 correction tightens the variational upper bound toward FCI;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 CIPSI extrapolation reproduces FCI to ~4 mHa near equilibrium (R²=0.999) and degrades to ~54 mHa when heavily stretched, which we report rather than hide. Even at the strongest correlation (R=2.4 Å, 468 determinants), E_var+PT2 sits +10.9 mHa above FCI, with the shrinking E_var↔E_var+PT2 gap serving as the convergence certificate, whereas CCSD(T) sits 217 mHa below FCI with no error signal at all. (Selected-CI here is classical on CPU; QSCI is its device-driven instantiation, realized on GPU hardware by the 28q run.)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energy, one that sits below the exact answer with no error flag, commits multi-month synthesis spend to a false lead. That is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~144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 and reported as measured, whether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E4, a second reference correction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pre-run), reproducing the correction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as the Sn₂O₂ Sn–O bridge stretches 2.05→3.28 Å into the strongly-correlated cleavage regime,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0.95→0.53: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E3,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growth-to-PT2-certificate on H₂₀ 40q with bucket-parallel Epstein–Nesbet (bit-identical to serial), ended by an external pod kill during it6 growth (disclosed, and not a convergence failure). At it5,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with |PT2| on a clean converging trace 84→4.6→2.6→2.0→1.57→1.31 mHa; the |PT2|≤0.5 point (i, ~it10–11) went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E2, a resource-DNF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GB, so +2 qubits doubles the footprint: an honest hardware ceiling, with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E5,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the committed trajectory +125→+8.7→+5.2→+4.0 mHa is decelerating but does not reach the ≤1.6 mHa threshold before the abort gate, the pre-registered expected outcome, with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E6,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places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limit, at the 1 kcal/mol chemical-accuracy edge and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second, independent route cross-validates it: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CIPSI,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mHa, about 15× inside chemical accuracy once Route A's jackknife is folded in). The 40q exact energy is thus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that the determinant-space proxy tracks the real circuit-sampled pipeline by executing measured QSCI (qml.sample, 3,000 shots × 160 circuits) at 16q and 20q: measured matches proxy (16q: 28.1 vs 26.6; 20q: 50.4 vs 49.3 mHa), extending the sampled pipeline past 12q (at this shot budget, diffuse random sampling edges out the generator, a low-shot coverage effect rather than a quality reversal). Determinants for chemical accuracy grow ~1.38× per qubit against 2.0× for FCI (log R²=0.99): vanishing but still exponential, and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run on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 and cuStateVec for exact validation to ~32q, with multi-GPU (NVLink) enabling distributed evaluation and the &gt;40q bonus, and QPU access for the 10–16q validation. The ~16 TB exact statevector at 40q collapses onto a single 80 GB GPU through CUDA-Q MPS (~200× reduction), which is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compression, a length-8 UCC circuit is shallow (≤2-qubit gates) and within MPS reach near equilibrium; QSCI needs ~10³–10⁴ shots per circuit; and the full 24→40q sweep plus oxide runs is roughly 1–2 weeks on a single GPU. Measured timings are 20q 191 s and 28q 2,386 s, of which GPU sampling is 1–32 s and the remainder is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are explicit about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 independently, §5), so we claim no speed or reach advantage anywhere, only correctness, self-certification,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 with prediction ii met and the |PT2|≤0.5 point unreached,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staying positive through 56q; cross-chemistry wins 3 of 6 oxides (BeO a tie) and fails on SnO; and target-specific MP2 beats the transferred prior. It is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trained at 8q+12q and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it is paired with QSCI and executed at scale, giving a 40q energy chemically accurate against its frozen reference, device-sampled 20q/28q GPU and trapped-ion silicon runs,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it serves as a pre-synthesis trust gate;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never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is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L. B. Kristensen, J. A. Campos-Gonzalez-Angulo, M. Ghazi Vakili, H. Huang, M. Bagherimehrab, C. Gorgulla, F. Wong, A. McCaskey, J.-S. Kim, T. Nguyen, P. Rao, and A. Aspuru-Guzik, “The generative quantum eigensolver (GQE) and its application for ground state search,” arXiv:2401.09253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D. Marti-Dafcik, Y. Ho, D. P. Tabor, D. E. Bernal Neira, A. B. Magann, S. Premaratne, P. Dubey, A. Matsuura, N. Bishop, W. A. de Jong, S. Benjamin, O. Parekh, N. Tubman, K. Klymko, and D. Camps, “HamLib: A library of Hamiltonians for benchmarking quantum algorithms and hardware,” Quantum 8, 1559 (2024). DOI: 10.22331/q-2024-12-11-1559.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Y. Suzuki, A. Aspuru-Guzik, and T. Kadowaki, “Generative quantum combinatorial optimization by means of a novel conditional generative quantum eigensolver,” Digital Discovery 4(8), 2229–2243 (2025). DOI: 10.1039/D5DD00138B (arXiv:2501.16986).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M. Kohda, R. Imai, S. Koh, K. Mitarai, W. Mizukami, and Y. O. Nakagawa, “Quantum-Selected Configuration Interaction: classical diagonalization of Hamiltonians in subspaces selected by quantum computers,”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Corporation, “CUDA-Q (formerly CUDA Quantum) and the cuQuantum SDK: cuStateVec, tensornet, and tensornet-mps backends,” software (2024–2026). https://developer.nvidia.com/cuda-q.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H. Chen, S. Cao, D. Picozzi, K. Setia, Y. Li, E. Grant, L. Wossnig, I. Rungger, G. H. Booth, and J. Tennyson, “The Variational Quantum Eigensolver: A review of methods and best practices,” Physics Reports 986, 1–128 (2022). DOI: 10.1016/j.physrep.2022.08.003.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P. Fenner, M. Benatan, et al., “A multi-fidelity machine learning approach to high-throughput materials screening,” npj Computational Materials 8, 257 (2022). DOI: 10.1038/s41524-022-00947-9.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S. Fomichev, S. Kanno, T. Kobayashi, J. M. Arrazola, Q. Gao, and T. F. Stetina, “Quantum Simulations for Extreme Ultraviolet Photolithography,” arXiv:2602.20234 (2026). [Xanadu &amp; Mitsubishi Chemical Corporation — a challenge provider]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K. Keithley, I. Hamamura, N. Yamamoto, and K. Nakaji, “Generative Circuit Design for Quantum-Selected Configuration Interaction,” arXiv:2604.09756 (2026). [Mitsubishi Chemical Corporation — a challenge provider; N₂ active spaces to 32 qubits]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080" w:right="720" w:bottom="10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2026-07-26T21:26:33.484Z</dcterms:created>
  <dcterms:modified xsi:type="dcterms:W3CDTF">2026-07-26T21:26:33.485Z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