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240" w:lineRule="auto"/>
        <w:jc w:val="center"/>
      </w:pPr>
      <w:r>
        <w:rPr>
          <w:rFonts w:ascii="Times New Roman" w:cs="Times New Roman" w:eastAsia="Times New Roman" w:hAnsi="Times New Roman"/>
          <w:b/>
          <w:bCs/>
          <w:sz w:val="24"/>
          <w:szCs w:val="24"/>
        </w:rPr>
        <w:t xml:space="preserve">MATGEN-Q: Scaling Conditional GQE for EUV Photoresist Discovery to ~40 Qubits with NVIDIA CUDA-Q</w:t>
      </w:r>
    </w:p>
    <w:p>
      <w:pPr>
        <w:spacing w:after="80" w:line="240" w:lineRule="auto"/>
        <w:jc w:val="center"/>
      </w:pPr>
      <w:r>
        <w:rPr>
          <w:rFonts w:ascii="Times New Roman" w:cs="Times New Roman" w:eastAsia="Times New Roman" w:hAnsi="Times New Roman"/>
          <w:i/>
          <w:iCs/>
          <w:sz w:val="21"/>
          <w:szCs w:val="21"/>
        </w:rPr>
        <w:t xml:space="preserve">Team EIGENNEXUS  —  Advanced Materials (Mitsubishi Chemical Group &amp; AIST)  —  GIC 2026 Phase 2</w:t>
      </w:r>
    </w:p>
    <w:p>
      <w:pPr>
        <w:spacing w:after="40" w:before="90" w:line="240" w:lineRule="auto"/>
      </w:pPr>
      <w:r>
        <w:rPr>
          <w:rFonts w:ascii="Times New Roman" w:cs="Times New Roman" w:eastAsia="Times New Roman" w:hAnsi="Times New Roman"/>
          <w:b/>
          <w:bCs/>
          <w:sz w:val="22"/>
          <w:szCs w:val="22"/>
        </w:rPr>
        <w:t xml:space="preserve">1. Focus Area and Rationale</w:t>
      </w:r>
    </w:p>
    <w:p>
      <w:pPr>
        <w:spacing w:after="60" w:line="240" w:lineRule="auto"/>
      </w:pPr>
      <w:r>
        <w:rPr>
          <w:rFonts w:ascii="Times New Roman" w:cs="Times New Roman" w:eastAsia="Times New Roman" w:hAnsi="Times New Roman"/>
          <w:sz w:val="22"/>
          <w:szCs w:val="22"/>
        </w:rPr>
        <w:t xml:space="preserve">Ground-state energy estimation governs reaction thermodynamics, redox behavior, and excited-state properties across materials chemistry, yet classical methods scale exponentially with electron correlation and the gold-standard CCSD(T) costs O(N⁷). The Generative Quantum Eigensolver (GQE; Nakaji et al. 2024, with AIST) replaces variational circuit optimization with a classical generative transformer that proposes quantum circuits, side-stepping the barren-plateau problem — but statevector GQE stayed small-scale, and QSCI-paired GQE only recently reached 32 qubits (Kemmoku, Gao et al. 2026). </w:t>
      </w:r>
      <w:r>
        <w:rPr>
          <w:rFonts w:ascii="Times New Roman" w:cs="Times New Roman" w:eastAsia="Times New Roman" w:hAnsi="Times New Roman"/>
          <w:b/>
          <w:bCs/>
          <w:sz w:val="22"/>
          <w:szCs w:val="22"/>
        </w:rPr>
        <w:t xml:space="preserve">Scaling this generative approach to the ~40-qubit, industrially relevant regime is the problem we address.</w:t>
      </w:r>
    </w:p>
    <w:p>
      <w:pPr>
        <w:spacing w:after="60" w:line="240" w:lineRule="auto"/>
      </w:pPr>
      <w:r>
        <w:rPr>
          <w:rFonts w:ascii="Times New Roman" w:cs="Times New Roman" w:eastAsia="Times New Roman" w:hAnsi="Times New Roman"/>
          <w:sz w:val="22"/>
          <w:szCs w:val="22"/>
        </w:rPr>
        <w:t xml:space="preserve">In Phase 1 we proposed </w:t>
      </w:r>
      <w:r>
        <w:rPr>
          <w:rFonts w:ascii="Times New Roman" w:cs="Times New Roman" w:eastAsia="Times New Roman" w:hAnsi="Times New Roman"/>
          <w:b/>
          <w:bCs/>
          <w:sz w:val="22"/>
          <w:szCs w:val="22"/>
        </w:rPr>
        <w:t xml:space="preserve">MATGEN-Q</w:t>
      </w:r>
      <w:r>
        <w:rPr>
          <w:rFonts w:ascii="Times New Roman" w:cs="Times New Roman" w:eastAsia="Times New Roman" w:hAnsi="Times New Roman"/>
          <w:sz w:val="22"/>
          <w:szCs w:val="22"/>
        </w:rPr>
        <w:t xml:space="preserve">, a conditional-GQE pipeline for EUV semiconductor photoresist discovery: AI proposes candidate metal-oxide molecules → DFT filters → GQE refines with quantum accuracy → Bayesian optimization selects the next candidate. EUV photoresists (tin-oxo clusters; Sn, Hf, Zr oxides) are an apt target because their open-shell, multi-reference character is where DFT's 0.3–0.5 eV functional-dependent errors make candidate rankings unreliable, and because they are the focus of an active quantum-simulation program by one of this challenge's providers (Kharazi et al., Xanadu &amp; Mitsubishi Chemical, 2026). </w:t>
      </w:r>
      <w:r>
        <w:rPr>
          <w:rFonts w:ascii="Times New Roman" w:cs="Times New Roman" w:eastAsia="Times New Roman" w:hAnsi="Times New Roman"/>
          <w:b/>
          <w:bCs/>
          <w:sz w:val="22"/>
          <w:szCs w:val="22"/>
        </w:rPr>
        <w:t xml:space="preserve">Here we develop the scalable prototype that makes this pipeline tractable</w:t>
      </w:r>
      <w:r>
        <w:rPr>
          <w:rFonts w:ascii="Times New Roman" w:cs="Times New Roman" w:eastAsia="Times New Roman" w:hAnsi="Times New Roman"/>
          <w:sz w:val="22"/>
          <w:szCs w:val="22"/>
        </w:rPr>
        <w:t xml:space="preserve">, reframing MATGEN-Q around the engineering required to reach ~40 qubits. MATGEN-Q's scalable ground-state engine is complementary to that program's excited-state absorption work, and the same pipeline generalizes beyond photoresists to battery electrolytes, catalysts, and functional polymers central to Mitsubishi Chemical's materials portfolio and AIST's computational-materials mission. The stakes are commercial and scientific: EUV photoresists grow at ~20% CAGR within an $800B+ semiconductor industry, and multi-fidelity Bayesian screening has shown up to 3× cost reduction (Fare et al., 2022) — acceleration MATGEN-Q targets through quantum-accurate pre-selection.</w:t>
      </w:r>
    </w:p>
    <w:p>
      <w:pPr>
        <w:spacing w:after="40" w:before="90" w:line="240" w:lineRule="auto"/>
      </w:pPr>
      <w:r>
        <w:rPr>
          <w:rFonts w:ascii="Times New Roman" w:cs="Times New Roman" w:eastAsia="Times New Roman" w:hAnsi="Times New Roman"/>
          <w:b/>
          <w:bCs/>
          <w:sz w:val="22"/>
          <w:szCs w:val="22"/>
        </w:rPr>
        <w:t xml:space="preserve">2. Target System and Data Modeling Strategy</w:t>
      </w:r>
    </w:p>
    <w:p>
      <w:pPr>
        <w:spacing w:after="60" w:line="240" w:lineRule="auto"/>
      </w:pPr>
      <w:r>
        <w:rPr>
          <w:rFonts w:ascii="Times New Roman" w:cs="Times New Roman" w:eastAsia="Times New Roman" w:hAnsi="Times New Roman"/>
          <w:b/>
          <w:bCs/>
          <w:sz w:val="22"/>
          <w:szCs w:val="22"/>
        </w:rPr>
        <w:t xml:space="preserve">Target system. </w:t>
      </w:r>
      <w:r>
        <w:rPr>
          <w:rFonts w:ascii="Times New Roman" w:cs="Times New Roman" w:eastAsia="Times New Roman" w:hAnsi="Times New Roman"/>
          <w:sz w:val="22"/>
          <w:szCs w:val="22"/>
        </w:rPr>
        <w:t xml:space="preserve">Our scaling vehicle is the linear hydrogen-chain series Hₙ (n = 2…20; 4–40 qubits in the STO-6G basis with Jordan–Wigner mapping) — the canonical strong-correlation benchmark. Varying a single bond-length parameter tunes the system continuously from weak (area-law) to strong (volume-law) correlation, directly stressing the simulation layer that underpins any scaling claim. EUV tin-oxide fragments are the target: the same QSCI engine already reaches chemical accuracy on Sn-oxide active spaces (Sn effective-core-potential CASCI, validated on H₄ to 0.0000 mHa) — SnO 0.11 mHa (16q), SnO₂ 0.23 mHa (20q) — real target chemistry, not only hydrogen (perturbative QSCI, §5).</w:t>
      </w:r>
    </w:p>
    <w:p>
      <w:pPr>
        <w:spacing w:after="60" w:line="240" w:lineRule="auto"/>
      </w:pPr>
      <w:r>
        <w:rPr>
          <w:rFonts w:ascii="Times New Roman" w:cs="Times New Roman" w:eastAsia="Times New Roman" w:hAnsi="Times New Roman"/>
          <w:b/>
          <w:bCs/>
          <w:sz w:val="22"/>
          <w:szCs w:val="22"/>
        </w:rPr>
        <w:t xml:space="preserve">Data. </w:t>
      </w:r>
      <w:r>
        <w:rPr>
          <w:rFonts w:ascii="Times New Roman" w:cs="Times New Roman" w:eastAsia="Times New Roman" w:hAnsi="Times New Roman"/>
          <w:sz w:val="22"/>
          <w:szCs w:val="22"/>
        </w:rPr>
        <w:t xml:space="preserve">We adopt HamLib (Sawaya et al., Quantum 2024) — a public, peer-reviewed library of qubit-mapped Hamiltonians co-developed by Sandia, NASA Ames, NERSC, Oxford and Intel — as our benchmark; choosing it signals advancement beyond the small molecules on which GQE was originally demonstrated. Because HamLib's large instances ship only Hartree–Fock energies, we built a generation pipeline replicating HamLib's exact methodology (PySCF → OpenFermion → Jordan–Wigner, STO-6G) that reproduces its QubitOperator/HDF5 format and extends to any size. </w:t>
      </w:r>
      <w:r>
        <w:rPr>
          <w:rFonts w:ascii="Times New Roman" w:cs="Times New Roman" w:eastAsia="Times New Roman" w:hAnsi="Times New Roman"/>
          <w:b/>
          <w:bCs/>
          <w:sz w:val="22"/>
          <w:szCs w:val="22"/>
        </w:rPr>
        <w:t xml:space="preserve">We validated our Hamiltonians against the published HamLib files: diagonalizing HamLib's operators reproduces our independent FCI to 0.00000 mHa (H₂–H₆), and at 28, 32 and 40 qubits our generated Hamiltonians match HamLib exactly in term count and to ~15 significant figures in coefficient magnitude (differing only by a spectrum-invariant orbital-phase convention).</w:t>
      </w:r>
      <w:r>
        <w:rPr>
          <w:rFonts w:ascii="Times New Roman" w:cs="Times New Roman" w:eastAsia="Times New Roman" w:hAnsi="Times New Roman"/>
          <w:sz w:val="22"/>
          <w:szCs w:val="22"/>
        </w:rPr>
        <w:t xml:space="preserve"> Every Hamiltonian is therefore reproducible by a third-party reviewer, satisfying the Phase 3 verification requirement.</w:t>
      </w:r>
    </w:p>
    <w:p>
      <w:pPr>
        <w:spacing w:after="60" w:line="240" w:lineRule="auto"/>
      </w:pPr>
      <w:r>
        <w:rPr>
          <w:rFonts w:ascii="Times New Roman" w:cs="Times New Roman" w:eastAsia="Times New Roman" w:hAnsi="Times New Roman"/>
          <w:b/>
          <w:bCs/>
          <w:sz w:val="22"/>
          <w:szCs w:val="22"/>
        </w:rPr>
        <w:t xml:space="preserve">Accuracy anchors. </w:t>
      </w:r>
      <w:r>
        <w:rPr>
          <w:rFonts w:ascii="Times New Roman" w:cs="Times New Roman" w:eastAsia="Times New Roman" w:hAnsi="Times New Roman"/>
          <w:sz w:val="22"/>
          <w:szCs w:val="22"/>
        </w:rPr>
        <w:t xml:space="preserve">HamLib stores no reference energies, so we compute our own: FCI exactly (≤20q), and at larger sizes CCSD(T) near equilibrium where it is reliable, with DMRG — verified to reproduce FCI to 0.000 mHa at 20q — as the reference under strong correlation, where CCSD(T) breaks down. Its H₁₀ error versus FCI grows from 0.17 mHa at equilibrium to 227 mHa at 2.5 Å, exactly where MPS bond dimension grows: a regime we study, not avoid.</w:t>
      </w:r>
    </w:p>
    <w:p>
      <w:pPr>
        <w:spacing w:after="40" w:before="90" w:line="240" w:lineRule="auto"/>
      </w:pPr>
      <w:r>
        <w:rPr>
          <w:rFonts w:ascii="Times New Roman" w:cs="Times New Roman" w:eastAsia="Times New Roman" w:hAnsi="Times New Roman"/>
          <w:b/>
          <w:bCs/>
          <w:sz w:val="22"/>
          <w:szCs w:val="22"/>
        </w:rPr>
        <w:t xml:space="preserve">3. GQE-Based Approach and Algorithmic Innovation</w:t>
      </w:r>
    </w:p>
    <w:p>
      <w:pPr>
        <w:spacing w:after="60" w:line="240" w:lineRule="auto"/>
      </w:pPr>
      <w:r>
        <w:rPr>
          <w:rFonts w:ascii="Times New Roman" w:cs="Times New Roman" w:eastAsia="Times New Roman" w:hAnsi="Times New Roman"/>
          <w:b/>
          <w:bCs/>
          <w:sz w:val="22"/>
          <w:szCs w:val="22"/>
        </w:rPr>
        <w:t xml:space="preserve">MATGEN-Q uses a two-stage GQE. Stage 1 (generative structure discovery): </w:t>
      </w:r>
      <w:r>
        <w:rPr>
          <w:rFonts w:ascii="Times New Roman" w:cs="Times New Roman" w:eastAsia="Times New Roman" w:hAnsi="Times New Roman"/>
          <w:sz w:val="22"/>
          <w:szCs w:val="22"/>
        </w:rPr>
        <w:t xml:space="preserve">a decoder-only GPT-style transformer, trained by sequence–energy matching (Nakaji et al.), generates circuits as token sequences over an operator pool of UCC single/double excitations with discrete time steps, learning which excitations compose low-energy states. </w:t>
      </w:r>
      <w:r>
        <w:rPr>
          <w:rFonts w:ascii="Times New Roman" w:cs="Times New Roman" w:eastAsia="Times New Roman" w:hAnsi="Times New Roman"/>
          <w:b/>
          <w:bCs/>
          <w:sz w:val="22"/>
          <w:szCs w:val="22"/>
        </w:rPr>
        <w:t xml:space="preserve">Stage 2 (continuous refinement): </w:t>
      </w:r>
      <w:r>
        <w:rPr>
          <w:rFonts w:ascii="Times New Roman" w:cs="Times New Roman" w:eastAsia="Times New Roman" w:hAnsi="Times New Roman"/>
          <w:sz w:val="22"/>
          <w:szCs w:val="22"/>
        </w:rPr>
        <w:t xml:space="preserve">the discovered operator structure is refined by continuous, adjoint-gradient angle optimization, converging to chemical accuracy. This division — generative discovery of structure, gradient refinement of parameters — is what reliably reaches chemical accuracy, and it incorporates our Phase 1 chemistry-conditioned encoder (an equivariant GNN conditioning generation on molecular graph and target properties) to enable transfer across molecular families. Four innovations make it scalable:</w:t>
      </w:r>
    </w:p>
    <w:p>
      <w:pPr>
        <w:spacing w:after="30" w:line="240" w:lineRule="auto"/>
      </w:pPr>
      <w:r>
        <w:rPr>
          <w:rFonts w:ascii="Times New Roman" w:cs="Times New Roman" w:eastAsia="Times New Roman" w:hAnsi="Times New Roman"/>
          <w:b/>
          <w:bCs/>
          <w:sz w:val="22"/>
          <w:szCs w:val="22"/>
        </w:rPr>
        <w:t xml:space="preserve">(1) Tensor-network (MPS) simulation — primary scaling enabler. </w:t>
      </w:r>
      <w:r>
        <w:rPr>
          <w:rFonts w:ascii="Times New Roman" w:cs="Times New Roman" w:eastAsia="Times New Roman" w:hAnsi="Times New Roman"/>
          <w:sz w:val="22"/>
          <w:szCs w:val="22"/>
        </w:rPr>
        <w:t xml:space="preserve">We replace exact statevector simulation with CUDA-Q's tensornet-mps backend, whose memory scales with circuit entanglement rather than 2ⁿ. Molecular ground states near equilibrium obey an entanglement area law, bounding MPS bond dimension; UCC excitations are decomposed into ≤2-qubit gates as the backend requires. Exact cuStateVec validates ≤~32 qubits; MPS carries 32–40+.</w:t>
      </w:r>
    </w:p>
    <w:p>
      <w:pPr>
        <w:spacing w:after="30" w:line="240" w:lineRule="auto"/>
      </w:pPr>
      <w:r>
        <w:rPr>
          <w:rFonts w:ascii="Times New Roman" w:cs="Times New Roman" w:eastAsia="Times New Roman" w:hAnsi="Times New Roman"/>
          <w:b/>
          <w:bCs/>
          <w:sz w:val="22"/>
          <w:szCs w:val="22"/>
        </w:rPr>
        <w:t xml:space="preserve">(2) QSCI energy evaluation — accuracy and noise-aware bonus. </w:t>
      </w:r>
      <w:r>
        <w:rPr>
          <w:rFonts w:ascii="Times New Roman" w:cs="Times New Roman" w:eastAsia="Times New Roman" w:hAnsi="Times New Roman"/>
          <w:sz w:val="22"/>
          <w:szCs w:val="22"/>
        </w:rPr>
        <w:t xml:space="preserve">We adopt Quantum Selected Configuration Interaction (Kanno et al. 2023): dominant configurations are sampled from the generated circuit and the Hamiltonian is classically diagonalized in that subspace — scalable and intrinsically noise-robust, since the quantum device defines only the subspace. We verify this robustness directly at 20 qubits: QSCI reaches chemical accuracy and degrades gracefully under depolarizing noise (≤3.3 mHa even with 30% of measurements corrupted to random determinants), as frequency-based selection filters the spurious configurations. GQE paired with QSCI was very recently validated to 32 qubits (Kemmoku, Gao, Kanno et al. 2026, Mitsubishi Chemical); we build directly on this, contributing the tensor-network simulation layer (pillar 1) and operator-pool compression that together target the 40-qubit regime.</w:t>
      </w:r>
    </w:p>
    <w:p>
      <w:pPr>
        <w:spacing w:after="30" w:line="240" w:lineRule="auto"/>
      </w:pPr>
      <w:r>
        <w:rPr>
          <w:rFonts w:ascii="Times New Roman" w:cs="Times New Roman" w:eastAsia="Times New Roman" w:hAnsi="Times New Roman"/>
          <w:b/>
          <w:bCs/>
          <w:sz w:val="22"/>
          <w:szCs w:val="22"/>
        </w:rPr>
        <w:t xml:space="preserve">(3) Operator-pool compression — efficiency. </w:t>
      </w:r>
      <w:r>
        <w:rPr>
          <w:rFonts w:ascii="Times New Roman" w:cs="Times New Roman" w:eastAsia="Times New Roman" w:hAnsi="Times New Roman"/>
          <w:sz w:val="22"/>
          <w:szCs w:val="22"/>
        </w:rPr>
        <w:t xml:space="preserve">The O(N⁴) double-excitation pool is pruned via MP2 amplitudes and symmetry-adaptation (point-group, spin), shrinking transformer vocabulary and circuit depth at scale.</w:t>
      </w:r>
    </w:p>
    <w:p>
      <w:pPr>
        <w:spacing w:after="60" w:line="240" w:lineRule="auto"/>
      </w:pPr>
      <w:r>
        <w:rPr>
          <w:rFonts w:ascii="Times New Roman" w:cs="Times New Roman" w:eastAsia="Times New Roman" w:hAnsi="Times New Roman"/>
          <w:b/>
          <w:bCs/>
          <w:sz w:val="22"/>
          <w:szCs w:val="22"/>
        </w:rPr>
        <w:t xml:space="preserve">(4) Distributed hybrid workflow. </w:t>
      </w:r>
      <w:r>
        <w:rPr>
          <w:rFonts w:ascii="Times New Roman" w:cs="Times New Roman" w:eastAsia="Times New Roman" w:hAnsi="Times New Roman"/>
          <w:sz w:val="22"/>
          <w:szCs w:val="22"/>
        </w:rPr>
        <w:t xml:space="preserve">Detailed in §4.</w:t>
      </w:r>
    </w:p>
    <w:p>
      <w:pPr>
        <w:spacing w:after="40" w:before="90" w:line="240" w:lineRule="auto"/>
      </w:pPr>
      <w:r>
        <w:rPr>
          <w:rFonts w:ascii="Times New Roman" w:cs="Times New Roman" w:eastAsia="Times New Roman" w:hAnsi="Times New Roman"/>
          <w:b/>
          <w:bCs/>
          <w:sz w:val="22"/>
          <w:szCs w:val="22"/>
        </w:rPr>
        <w:t xml:space="preserve">4. Hybrid Architecture</w:t>
      </w:r>
    </w:p>
    <w:p>
      <w:pPr>
        <w:spacing w:after="60" w:line="240" w:lineRule="auto"/>
      </w:pPr>
      <w:r>
        <w:rPr>
          <w:rFonts w:ascii="Times New Roman" w:cs="Times New Roman" w:eastAsia="Times New Roman" w:hAnsi="Times New Roman"/>
          <w:sz w:val="22"/>
          <w:szCs w:val="22"/>
        </w:rPr>
        <w:t xml:space="preserve">The classical transformer trains on GPU (PyTorch); circuit evaluations are dispatched across GPUs via CUDA-Q's mqpu in an asynchronous generate→evaluate→update loop. Quantum resources handle state preparation and energy estimation (MPS / QSCI); classical resources handle generation, optimization, and active-space selection that keeps the qubit count focused on chemically relevant orbitals. The two-stage design maps naturally onto this split: Stage 1 is sampling-bound and parallelizable, Stage 2 is gradient-bound and efficient via adjoint differentiation.</w:t>
      </w:r>
    </w:p>
    <w:p>
      <w:pPr>
        <w:spacing w:after="20" w:before="60" w:line="240" w:lineRule="auto"/>
        <w:jc w:val="center"/>
      </w:pPr>
      <w:r>
        <w:drawing>
          <wp:inline distT="0" distB="0" distL="0" distR="0">
            <wp:extent cx="35433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43300" cy="2514600"/>
                    </a:xfrm>
                    <a:prstGeom prst="rect">
                      <a:avLst/>
                    </a:prstGeom>
                  </pic:spPr>
                </pic:pic>
              </a:graphicData>
            </a:graphic>
          </wp:inline>
        </w:drawing>
      </w:r>
    </w:p>
    <w:p>
      <w:pPr>
        <w:spacing w:after="60" w:before="0" w:line="240" w:lineRule="auto"/>
        <w:jc w:val="center"/>
      </w:pPr>
      <w:r>
        <w:rPr>
          <w:rFonts w:ascii="Times New Roman" w:cs="Times New Roman" w:eastAsia="Times New Roman" w:hAnsi="Times New Roman"/>
          <w:i/>
          <w:iCs/>
          <w:sz w:val="18"/>
          <w:szCs w:val="18"/>
        </w:rPr>
        <w:t xml:space="preserve">Figure 1. MATGEN-Q hybrid architecture: a classical generative transformer (Stage 1) and GPU-accelerated quantum simulation (MPS/QSCI) form an asynchronous loop that discovers circuit structure; Stage 2 refines angles to chemical accuracy. Bracketed labels mark the four scaling pillars.</w:t>
      </w:r>
    </w:p>
    <w:p>
      <w:pPr>
        <w:spacing w:after="40" w:before="90" w:line="240" w:lineRule="auto"/>
      </w:pPr>
      <w:r>
        <w:rPr>
          <w:rFonts w:ascii="Times New Roman" w:cs="Times New Roman" w:eastAsia="Times New Roman" w:hAnsi="Times New Roman"/>
          <w:b/>
          <w:bCs/>
          <w:sz w:val="22"/>
          <w:szCs w:val="22"/>
        </w:rPr>
        <w:t xml:space="preserve">5. Demonstrated Results and Benchmarking</w:t>
      </w:r>
    </w:p>
    <w:p>
      <w:pPr>
        <w:spacing w:after="50" w:line="240" w:lineRule="auto"/>
      </w:pPr>
      <w:r>
        <w:rPr>
          <w:rFonts w:ascii="Times New Roman" w:cs="Times New Roman" w:eastAsia="Times New Roman" w:hAnsi="Times New Roman"/>
          <w:b/>
          <w:bCs/>
          <w:sz w:val="22"/>
          <w:szCs w:val="22"/>
        </w:rPr>
        <w:t xml:space="preserve">Two-stage GQE — chemical accuracy at 4–12 qubits. </w:t>
      </w:r>
      <w:r>
        <w:rPr>
          <w:rFonts w:ascii="Times New Roman" w:cs="Times New Roman" w:eastAsia="Times New Roman" w:hAnsi="Times New Roman"/>
          <w:sz w:val="22"/>
          <w:szCs w:val="22"/>
        </w:rPr>
        <w:t xml:space="preserve">On verified HamLib-format Hamiltonians, our two-stage GQE reaches chemical accuracy across a real scaling sweep (Table 1), benchmarked against HF, DFT, CCSD(T)/FCI and VQE. The H₄ value (0.009 mHa) reflects the continuous-refinement stage; the H₂ result (0.146 mHa) is from the generative model alone. Crucially, we also run the pipeline end-to-end at 12 qubits: the GPT-QE transformer generates the circuits, QSCI then samples determinants directly from the generated states (141 pooled across 161 generated circuits) and diagonalizes, reaching chemical accuracy (1.05 mHa) and refining the raw generative expectation (51 mHa) ~50× — measurement-based QSCI on genuine GQE output, not perturbative selection.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492"/>
        <w:gridCol w:w="1500"/>
        <w:gridCol w:w="1100"/>
        <w:gridCol w:w="1000"/>
      </w:tblGrid>
      <w:tr>
        <w:tc>
          <w:tcPr>
            <w:tcW w:type="dxa" w:w="15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System</w:t>
            </w:r>
          </w:p>
        </w:tc>
        <w:tc>
          <w:tcPr>
            <w:tcW w:type="dxa" w:w="12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Qubits</w:t>
            </w:r>
          </w:p>
        </w:tc>
        <w:tc>
          <w:tcPr>
            <w:tcW w:type="dxa" w:w="3492"/>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Method</w:t>
            </w:r>
          </w:p>
        </w:tc>
        <w:tc>
          <w:tcPr>
            <w:tcW w:type="dxa" w:w="15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Error (mHa)</w:t>
            </w:r>
          </w:p>
        </w:tc>
        <w:tc>
          <w:tcPr>
            <w:tcW w:type="dxa" w:w="11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Corr. (%)</w:t>
            </w:r>
          </w:p>
        </w:tc>
        <w:tc>
          <w:tcPr>
            <w:tcW w:type="dxa" w:w="10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Chem. acc.</w:t>
            </w:r>
          </w:p>
        </w:tc>
      </w:tr>
      <w:tr>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H₂</w:t>
            </w:r>
          </w:p>
        </w:tc>
        <w:tc>
          <w:tcPr>
            <w:tcW w:type="dxa" w:w="12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4</w:t>
            </w:r>
          </w:p>
        </w:tc>
        <w:tc>
          <w:tcPr>
            <w:tcW w:type="dxa" w:w="3492"/>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Pure GQE (generative)</w:t>
            </w:r>
          </w:p>
        </w:tc>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0.146</w:t>
            </w:r>
          </w:p>
        </w:tc>
        <w:tc>
          <w:tcPr>
            <w:tcW w:type="dxa" w:w="11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99.3</w:t>
            </w:r>
          </w:p>
        </w:tc>
        <w:tc>
          <w:tcPr>
            <w:tcW w:type="dxa" w:w="10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Yes</w:t>
            </w:r>
          </w:p>
        </w:tc>
      </w:tr>
      <w:tr>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H₄</w:t>
            </w:r>
          </w:p>
        </w:tc>
        <w:tc>
          <w:tcPr>
            <w:tcW w:type="dxa" w:w="12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8</w:t>
            </w:r>
          </w:p>
        </w:tc>
        <w:tc>
          <w:tcPr>
            <w:tcW w:type="dxa" w:w="3492"/>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Two-stage GQE</w:t>
            </w:r>
          </w:p>
        </w:tc>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0.009</w:t>
            </w:r>
          </w:p>
        </w:tc>
        <w:tc>
          <w:tcPr>
            <w:tcW w:type="dxa" w:w="11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100.0</w:t>
            </w:r>
          </w:p>
        </w:tc>
        <w:tc>
          <w:tcPr>
            <w:tcW w:type="dxa" w:w="10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Yes</w:t>
            </w:r>
          </w:p>
        </w:tc>
      </w:tr>
      <w:tr>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H₆</w:t>
            </w:r>
          </w:p>
        </w:tc>
        <w:tc>
          <w:tcPr>
            <w:tcW w:type="dxa" w:w="12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12</w:t>
            </w:r>
          </w:p>
        </w:tc>
        <w:tc>
          <w:tcPr>
            <w:tcW w:type="dxa" w:w="3492"/>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Two-stage GQE</w:t>
            </w:r>
          </w:p>
        </w:tc>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0.298</w:t>
            </w:r>
          </w:p>
        </w:tc>
        <w:tc>
          <w:tcPr>
            <w:tcW w:type="dxa" w:w="11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99.5</w:t>
            </w:r>
          </w:p>
        </w:tc>
        <w:tc>
          <w:tcPr>
            <w:tcW w:type="dxa" w:w="10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Yes</w:t>
            </w:r>
          </w:p>
        </w:tc>
      </w:tr>
    </w:tbl>
    <w:p>
      <w:pPr>
        <w:spacing w:after="50" w:before="30" w:line="240" w:lineRule="auto"/>
      </w:pPr>
      <w:r>
        <w:rPr>
          <w:rFonts w:ascii="Times New Roman" w:cs="Times New Roman" w:eastAsia="Times New Roman" w:hAnsi="Times New Roman"/>
          <w:i/>
          <w:iCs/>
          <w:sz w:val="19"/>
          <w:szCs w:val="19"/>
        </w:rPr>
        <w:t xml:space="preserve">Table 1. Demonstrated two-stage GQE accuracy on validated HamLib hydrogen chains (CPU, lightning.qubit); Corr. (%) = fraction of correlation energy recovered.</w:t>
      </w:r>
    </w:p>
    <w:p>
      <w:pPr>
        <w:spacing w:after="50" w:line="240" w:lineRule="auto"/>
      </w:pPr>
      <w:r>
        <w:rPr>
          <w:rFonts w:ascii="Times New Roman" w:cs="Times New Roman" w:eastAsia="Times New Roman" w:hAnsi="Times New Roman"/>
          <w:b/>
          <w:bCs/>
          <w:sz w:val="22"/>
          <w:szCs w:val="22"/>
        </w:rPr>
        <w:t xml:space="preserve">QSCI — chemical accuracy extended to 28 qubits. </w:t>
      </w:r>
      <w:r>
        <w:rPr>
          <w:rFonts w:ascii="Times New Roman" w:cs="Times New Roman" w:eastAsia="Times New Roman" w:hAnsi="Times New Roman"/>
          <w:sz w:val="22"/>
          <w:szCs w:val="22"/>
        </w:rPr>
        <w:t xml:space="preserve">Beyond 12 qubits the bottleneck is the Hamiltonian-expectation cost (H₁₀'s 7,151-term operator: 88.5 s per exact-statevector evaluation), so energies are evaluated by QSCI — diagonalizing the Hamiltonian in a compact selected subspace rather than measuring it in full. This reaches chemical accuracy at 20 qubits with 2,401 determinants and at 28 qubits with 18,201 (Table 2): respectively 3.8% and 0.15% of the spin-conserving FCI space — a vanishing fraction as size grows, quantifying QSCI scalability. The method also runs at the 40-qubit ideal target (converging through 39 mHa), where the 116,000-term Hamiltonian makes further CPU iterations prohibitive — precisely the bottleneck the GPU request resolves. At larger scale the subspace is selected perturbatively as a hardware-independent proxy for this measured sampling, validated against it at 12 qubits above.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200"/>
        <w:gridCol w:w="2100"/>
        <w:gridCol w:w="2692"/>
      </w:tblGrid>
      <w:tr>
        <w:tc>
          <w:tcPr>
            <w:tcW w:type="dxa" w:w="15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System</w:t>
            </w:r>
          </w:p>
        </w:tc>
        <w:tc>
          <w:tcPr>
            <w:tcW w:type="dxa" w:w="13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Qubits</w:t>
            </w:r>
          </w:p>
        </w:tc>
        <w:tc>
          <w:tcPr>
            <w:tcW w:type="dxa" w:w="22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Determinants</w:t>
            </w:r>
          </w:p>
        </w:tc>
        <w:tc>
          <w:tcPr>
            <w:tcW w:type="dxa" w:w="2100"/>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Error (mHa)</w:t>
            </w:r>
          </w:p>
        </w:tc>
        <w:tc>
          <w:tcPr>
            <w:tcW w:type="dxa" w:w="2692"/>
            <w:tcBorders>
              <w:top w:val="single" w:color="888888" w:sz="1"/>
              <w:left w:val="single" w:color="888888" w:sz="1"/>
              <w:bottom w:val="single" w:color="888888" w:sz="1"/>
              <w:right w:val="single" w:color="888888" w:sz="1"/>
            </w:tcBorders>
            <w:shd w:fill="D5E8F0"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bCs/>
                <w:sz w:val="21"/>
                <w:szCs w:val="21"/>
              </w:rPr>
              <w:t xml:space="preserve">Subspace / CI space</w:t>
            </w:r>
          </w:p>
        </w:tc>
      </w:tr>
      <w:tr>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H₄</w:t>
            </w:r>
          </w:p>
        </w:tc>
        <w:tc>
          <w:tcPr>
            <w:tcW w:type="dxa" w:w="13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8</w:t>
            </w:r>
          </w:p>
        </w:tc>
        <w:tc>
          <w:tcPr>
            <w:tcW w:type="dxa" w:w="22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27</w:t>
            </w:r>
          </w:p>
        </w:tc>
        <w:tc>
          <w:tcPr>
            <w:tcW w:type="dxa" w:w="21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0.29</w:t>
            </w:r>
          </w:p>
        </w:tc>
        <w:tc>
          <w:tcPr>
            <w:tcW w:type="dxa" w:w="2692"/>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75%</w:t>
            </w:r>
          </w:p>
        </w:tc>
      </w:tr>
      <w:tr>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H₆</w:t>
            </w:r>
          </w:p>
        </w:tc>
        <w:tc>
          <w:tcPr>
            <w:tcW w:type="dxa" w:w="13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12</w:t>
            </w:r>
          </w:p>
        </w:tc>
        <w:tc>
          <w:tcPr>
            <w:tcW w:type="dxa" w:w="22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148</w:t>
            </w:r>
          </w:p>
        </w:tc>
        <w:tc>
          <w:tcPr>
            <w:tcW w:type="dxa" w:w="21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1.17</w:t>
            </w:r>
          </w:p>
        </w:tc>
        <w:tc>
          <w:tcPr>
            <w:tcW w:type="dxa" w:w="2692"/>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37%</w:t>
            </w:r>
          </w:p>
        </w:tc>
      </w:tr>
      <w:tr>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H₁₀</w:t>
            </w:r>
          </w:p>
        </w:tc>
        <w:tc>
          <w:tcPr>
            <w:tcW w:type="dxa" w:w="13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20</w:t>
            </w:r>
          </w:p>
        </w:tc>
        <w:tc>
          <w:tcPr>
            <w:tcW w:type="dxa" w:w="22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2,401</w:t>
            </w:r>
          </w:p>
        </w:tc>
        <w:tc>
          <w:tcPr>
            <w:tcW w:type="dxa" w:w="21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0.57</w:t>
            </w:r>
          </w:p>
        </w:tc>
        <w:tc>
          <w:tcPr>
            <w:tcW w:type="dxa" w:w="2692"/>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3.8%</w:t>
            </w:r>
          </w:p>
        </w:tc>
      </w:tr>
      <w:tr>
        <w:tc>
          <w:tcPr>
            <w:tcW w:type="dxa" w:w="15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H₁₄</w:t>
            </w:r>
          </w:p>
        </w:tc>
        <w:tc>
          <w:tcPr>
            <w:tcW w:type="dxa" w:w="13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28</w:t>
            </w:r>
          </w:p>
        </w:tc>
        <w:tc>
          <w:tcPr>
            <w:tcW w:type="dxa" w:w="22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18,201</w:t>
            </w:r>
          </w:p>
        </w:tc>
        <w:tc>
          <w:tcPr>
            <w:tcW w:type="dxa" w:w="2100"/>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1.21</w:t>
            </w:r>
          </w:p>
        </w:tc>
        <w:tc>
          <w:tcPr>
            <w:tcW w:type="dxa" w:w="2692"/>
            <w:tcBorders>
              <w:top w:val="single" w:color="888888" w:sz="1"/>
              <w:left w:val="single" w:color="888888" w:sz="1"/>
              <w:bottom w:val="single" w:color="888888" w:sz="1"/>
              <w:right w:val="single" w:color="888888" w:sz="1"/>
            </w:tcBorders>
            <w:shd w:fill="FFFFFF" w:val="clear"/>
            <w:tcMar>
              <w:top w:type="dxa" w:w="40"/>
              <w:left w:type="dxa" w:w="90"/>
              <w:bottom w:type="dxa" w:w="40"/>
              <w:right w:type="dxa" w:w="90"/>
            </w:tcMar>
          </w:tcPr>
          <w:p>
            <w:pPr>
              <w:spacing w:after="0" w:line="240" w:lineRule="auto"/>
              <w:jc w:val="center"/>
            </w:pPr>
            <w:r>
              <w:rPr>
                <w:rFonts w:ascii="Times New Roman" w:cs="Times New Roman" w:eastAsia="Times New Roman" w:hAnsi="Times New Roman"/>
                <w:b w:val="false"/>
                <w:bCs w:val="false"/>
                <w:sz w:val="21"/>
                <w:szCs w:val="21"/>
              </w:rPr>
              <w:t xml:space="preserve">0.15%</w:t>
            </w:r>
          </w:p>
        </w:tc>
      </w:tr>
    </w:tbl>
    <w:p>
      <w:pPr>
        <w:spacing w:after="50" w:before="30" w:line="240" w:lineRule="auto"/>
      </w:pPr>
      <w:r>
        <w:rPr>
          <w:rFonts w:ascii="Times New Roman" w:cs="Times New Roman" w:eastAsia="Times New Roman" w:hAnsi="Times New Roman"/>
          <w:i/>
          <w:iCs/>
          <w:sz w:val="19"/>
          <w:szCs w:val="19"/>
        </w:rPr>
        <w:t xml:space="preserve">Table 2. QSCI subspace diagonalization: chemical accuracy (≤1.6 mHa) to 28 qubits; 40q operational (converging through 39 mHa). Subspace/CI space = selected determinants ÷ full CI space. Perturbative selection is a hardware-independent proxy for circuit-sampled QSCI.</w:t>
      </w:r>
    </w:p>
    <w:p>
      <w:pPr>
        <w:spacing w:after="60" w:line="240" w:lineRule="auto"/>
      </w:pPr>
      <w:r>
        <w:rPr>
          <w:rFonts w:ascii="Times New Roman" w:cs="Times New Roman" w:eastAsia="Times New Roman" w:hAnsi="Times New Roman"/>
          <w:b/>
          <w:bCs/>
          <w:sz w:val="22"/>
          <w:szCs w:val="22"/>
        </w:rPr>
        <w:t xml:space="preserve">Phase 3 benchmarking plan. </w:t>
      </w:r>
      <w:r>
        <w:rPr>
          <w:rFonts w:ascii="Times New Roman" w:cs="Times New Roman" w:eastAsia="Times New Roman" w:hAnsi="Times New Roman"/>
          <w:sz w:val="22"/>
          <w:szCs w:val="22"/>
        </w:rPr>
        <w:t xml:space="preserve">Extend the demonstrated ladder on GPU via MPS to 24–40 qubits; report energy error versus CCSD(T)/DMRG, truncation error versus correlation, and wall-clock versus VQE; validate selected circuits on qBraid hardware (IonQ/IBM) at 10–16 qubits.</w:t>
      </w:r>
    </w:p>
    <w:p>
      <w:pPr>
        <w:spacing w:after="40" w:before="90" w:line="240" w:lineRule="auto"/>
      </w:pPr>
      <w:r>
        <w:rPr>
          <w:rFonts w:ascii="Times New Roman" w:cs="Times New Roman" w:eastAsia="Times New Roman" w:hAnsi="Times New Roman"/>
          <w:b/>
          <w:bCs/>
          <w:sz w:val="22"/>
          <w:szCs w:val="22"/>
        </w:rPr>
        <w:t xml:space="preserve">6. Platform Justification and Resource Needs</w:t>
      </w:r>
    </w:p>
    <w:p>
      <w:pPr>
        <w:spacing w:after="60" w:line="240" w:lineRule="auto"/>
      </w:pPr>
      <w:r>
        <w:rPr>
          <w:rFonts w:ascii="Times New Roman" w:cs="Times New Roman" w:eastAsia="Times New Roman" w:hAnsi="Times New Roman"/>
          <w:sz w:val="22"/>
          <w:szCs w:val="22"/>
        </w:rPr>
        <w:t xml:space="preserve">Two bottlenecks set our requirements: the Hamiltonian-expectation cost (addressed by QSCI, §5) and, at 40 qubits, statevector memory — exact simulation needs ~16 TB and is infeasible — addressed by tensor-network simulation. We therefore request </w:t>
      </w:r>
      <w:r>
        <w:rPr>
          <w:rFonts w:ascii="Times New Roman" w:cs="Times New Roman" w:eastAsia="Times New Roman" w:hAnsi="Times New Roman"/>
          <w:b/>
          <w:bCs/>
          <w:sz w:val="22"/>
          <w:szCs w:val="22"/>
        </w:rPr>
        <w:t xml:space="preserve">NVIDIA H100 or A100 (80 GB) GPUs with the CUDA-Q SDK</w:t>
      </w:r>
      <w:r>
        <w:rPr>
          <w:rFonts w:ascii="Times New Roman" w:cs="Times New Roman" w:eastAsia="Times New Roman" w:hAnsi="Times New Roman"/>
          <w:sz w:val="22"/>
          <w:szCs w:val="22"/>
        </w:rPr>
        <w:t xml:space="preserve">, using the tensornet-mps backend for the 24–40 qubit tier and cuStateVec for exact validation to ~32 qubits. One high-memory GPU suffices for the MPS runs; </w:t>
      </w:r>
      <w:r>
        <w:rPr>
          <w:rFonts w:ascii="Times New Roman" w:cs="Times New Roman" w:eastAsia="Times New Roman" w:hAnsi="Times New Roman"/>
          <w:b/>
          <w:bCs/>
          <w:sz w:val="22"/>
          <w:szCs w:val="22"/>
        </w:rPr>
        <w:t xml:space="preserve">4–8 GPUs with NVLink</w:t>
      </w:r>
      <w:r>
        <w:rPr>
          <w:rFonts w:ascii="Times New Roman" w:cs="Times New Roman" w:eastAsia="Times New Roman" w:hAnsi="Times New Roman"/>
          <w:sz w:val="22"/>
          <w:szCs w:val="22"/>
        </w:rPr>
        <w:t xml:space="preserve"> enable distributed circuit evaluation (innovation 4) and the &gt;40-qubit bonus attempt. We additionally request </w:t>
      </w:r>
      <w:r>
        <w:rPr>
          <w:rFonts w:ascii="Times New Roman" w:cs="Times New Roman" w:eastAsia="Times New Roman" w:hAnsi="Times New Roman"/>
          <w:b/>
          <w:bCs/>
          <w:sz w:val="22"/>
          <w:szCs w:val="22"/>
        </w:rPr>
        <w:t xml:space="preserve">qBraid access</w:t>
      </w:r>
      <w:r>
        <w:rPr>
          <w:rFonts w:ascii="Times New Roman" w:cs="Times New Roman" w:eastAsia="Times New Roman" w:hAnsi="Times New Roman"/>
          <w:sz w:val="22"/>
          <w:szCs w:val="22"/>
        </w:rPr>
        <w:t xml:space="preserve"> for hardware validation at 10–16 qubits. Estimated need ~2 weeks of GPU wall-clock; backend-agnostic and flexible to the allocation.</w:t>
      </w:r>
    </w:p>
    <w:p>
      <w:pPr>
        <w:pageBreakBefore/>
        <w:spacing w:after="40" w:before="120" w:line="240" w:lineRule="auto"/>
      </w:pPr>
      <w:r>
        <w:rPr>
          <w:rFonts w:ascii="Times New Roman" w:cs="Times New Roman" w:eastAsia="Times New Roman" w:hAnsi="Times New Roman"/>
          <w:b/>
          <w:bCs/>
          <w:sz w:val="22"/>
          <w:szCs w:val="22"/>
        </w:rPr>
        <w:t xml:space="preserve">References</w:t>
      </w:r>
    </w:p>
    <w:p>
      <w:pPr>
        <w:spacing w:after="30" w:line="240" w:lineRule="auto"/>
        <w:ind w:left="360" w:hanging="36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K. Nakaji, et al. “The generative quantum eigensolver (GQE) and its application for ground state search.” arXiv:2401.09253 (2024). [Research Center for Emerging Computing Technologies, AIST]</w:t>
      </w:r>
    </w:p>
    <w:p>
      <w:pPr>
        <w:spacing w:after="30" w:line="240" w:lineRule="auto"/>
        <w:ind w:left="360" w:hanging="36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N. P. D. Sawaya, et al. “HamLib: A library of Hamiltonians for benchmarking quantum algorithms and hardware.” Quantum 8, 1559 (2024). arXiv:2306.13126.</w:t>
      </w:r>
    </w:p>
    <w:p>
      <w:pPr>
        <w:spacing w:after="30" w:line="240" w:lineRule="auto"/>
        <w:ind w:left="360" w:hanging="36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S. Minami, K. Nakaji, et al. “Generative quantum combinatorial optimization by means of a novel conditional generative quantum eigensolver.” Digital Discovery 4(8), 2229–2243 (2025).</w:t>
      </w:r>
    </w:p>
    <w:p>
      <w:pPr>
        <w:spacing w:after="30" w:line="240" w:lineRule="auto"/>
        <w:ind w:left="360" w:hanging="36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K. Kanno, et al. “Quantum-selected configuration interaction: classical diagonalization of Hamiltonians in subspaces selected by quantum computers.” arXiv:2302.11320 (2023).</w:t>
      </w:r>
    </w:p>
    <w:p>
      <w:pPr>
        <w:spacing w:after="30" w:line="240" w:lineRule="auto"/>
        <w:ind w:left="360" w:hanging="36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NVIDIA Corporation. CUDA-Q and cuQuantum SDK (cuStateVec and tensornet / tensornet-mps backends). https://developer.nvidia.com/cuda-q (accessed May 2026).</w:t>
      </w:r>
    </w:p>
    <w:p>
      <w:pPr>
        <w:spacing w:after="30" w:line="240" w:lineRule="auto"/>
        <w:ind w:left="360" w:hanging="36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J. Tilly, et al. “The Variational Quantum Eigensolver: A review of methods and best practices.” Physics Reports 986, 1–64 (2022).</w:t>
      </w:r>
    </w:p>
    <w:p>
      <w:pPr>
        <w:spacing w:after="30" w:line="240" w:lineRule="auto"/>
        <w:ind w:left="360" w:hanging="36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P. Fare, et al. “A multi-fidelity machine learning approach to high-throughput materials screening.” npj Computational Materials 8, 257 (2022).</w:t>
      </w:r>
    </w:p>
    <w:p>
      <w:pPr>
        <w:spacing w:after="30" w:line="240" w:lineRule="auto"/>
        <w:ind w:left="360" w:hanging="36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T. D. Kharazi, S. Fomichev, S. Kanno, T. Kobayashi, J. M. Arrazola, Q. Gao, T. F. Stetina. “Quantum Simulations for Extreme Ultraviolet Photolithography.” arXiv:2602.20234 (2026). [Xanadu &amp; Mitsubishi Chemical]</w:t>
      </w:r>
    </w:p>
    <w:p>
      <w:pPr>
        <w:spacing w:after="30" w:line="240" w:lineRule="auto"/>
        <w:ind w:left="360" w:hanging="36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R. Kemmoku, Q. Gao, S. Kanno, K. Keithley, I. Hamamura, N. Yamamoto, K. Nakaji. “Generative Circuit Design for Quantum-Selected Configuration Interaction.” arXiv:2604.09756 (2026). [Mitsubishi Chemical]</w:t>
      </w:r>
    </w:p>
    <w:sectPr>
      <w:pgSz w:w="12240" w:h="15840"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3a1d038e68bef7d7964554e416f89fc785262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2026-05-31T17:21:16.717Z</dcterms:created>
  <dcterms:modified xsi:type="dcterms:W3CDTF">2026-05-31T17:21:16.718Z</dcterms:modified>
</cp:coreProperties>
</file>

<file path=docProps/custom.xml><?xml version="1.0" encoding="utf-8"?>
<Properties xmlns="http://schemas.openxmlformats.org/officeDocument/2006/custom-properties" xmlns:vt="http://schemas.openxmlformats.org/officeDocument/2006/docPropsVTypes"/>
</file>