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makes DFT candidate rankings unreliable — the focus of an active quantum-simulation program by one of this challenge's providers (Kharazi et al., Xanadu &amp; Mitsubishi Chemical, 2026). We quantify the unreliability directly (Figure 1): across six functionals the CrO spin-state splitting spans 1.9 eV and B3LYP flips the ground state, while CASCI and QSCI agree on one quintet (⁵Π) ground state matching the experimental X⁵Π term — a single quantum-accurate number replacing the entire functional-choice band. The pipeline (AI proposes → DFT filters → GQE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180975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The robust claim is the 1.9 eV spread, the B3LYP sign flip, and the experimental-sign agreement, not the precise gap magnitude (CAS/def2-SVP is a fixed modest active space).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 filter ahead of costly synthesis and lithographic testing, where DFT mis-ranks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0.11–0.45 / 0.18–0.23 across environments),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on BeO, loses on SnO (heavy-element ECP chemistry too dissimilar). Target-specific MP2 is the strongest selector on every target: cross-size transfer is robust, cross-chemistry works only when the target resembles training — a zero-cost prior, not a universal one. A same-size conditional-GQE variant (cf. Minami, Nakaji et al. 2025) gave only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0.11–0.45 / 0.18–0.23)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→ 5.02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vs the committed DMRG(χ=400) reference (P2 determinant-band also met, ahead of its ~10⁶-det estimate); the run stopped at iter-3 by a disk ceiling (disclosed in-evidence — variational, so an early stop can only worsen a pass, never manufacture one; attempt-1's old engine stalled at 6k/+14.8 mHa). Absolute accuracy (vs a stricter χ=800 reference, +2.19 mHa) is E3/E6's job, below.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executed, the reference corrected: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h, A100 host; reference committed before access). The pre-registered χ-escalation counter-audit confirms the mechanism rather than a QSCI error — χ=800 and χ=1200 references descend toward the QSCI energy from above (gaps +1.06 / +0.36 mHa) and never cross it: a genuine truncation-error correction verified at three bond dimensions.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simulator tier: +2.0 mHa vs FCI, PASS, job IDs committed), and the trapped-ion flight (AQT ibex-q1, 2,000 shots/job, SHA-pinned exports) decoded 2026-07-20 — number-conserving post-selection kept 28.6% / 25.1% of shots, the device-sampled determinants give +20.4 / +11.1 mHa, and device-seeded QSCI growth recovers exact FCI (0.000 mHa) — genuine 12-qubit trapped-ion samples driving the same QSCI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GQE/QSCI pipeline reproduces the FCI/CASCI reference to chemical accuracy on every instance we can run, including open-shell multireference oxides (CrO, NiO) and EUV Sn-oxides; (ii) scalability — QSCI reaches chemical accuracy on a vanishing fraction of the CI space (3.8% at 20q, 0.15% at 28q), with pool compression holding accuracy at 25–40% of the doubles pool; (iii) transferable structure — a generator trained on small systems proposes good circuits for a larger one it never saw (§3). The honest boundary (at ≤28q classical FCI/DMRG still solve these; the head-to-head win is the 40q+ regime) is stated in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 — realized on GPU hardware by the 28q run.)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ranking (a flipped spin state, a non-variational binding energy) commits multi-month synthesis spend to a false lead — the dominant hidden cost of discovery, which a self-certifying variational selector that stays correct where DFT/CCSD(T) silently fail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77165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within the chemical-accuracy band (≤2.8 mHa even at strongest correlation). CCSD(T) uses the identical embedded active-space Hamiltonian as CASCI (apples-to-apples).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protocols were git-timestamped (preregistration_v2.json + _e67_supplementary.json) before access; reported exactly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determinants, 7.4 h; reference committed pre-run) — the CrO reference-correction reproduced on the actual tin-oxo chemistry, not system-specific.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 — Figure 2's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limit: 40q absolute chemical accuracy demonstrated (≤1.6)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by a classical route fully independent of the killed PT2 certificate.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energies match the proxy on the trained generator (16q: 28.1 vs 26.6; 20q: 50.4 vs 49.3 mHa), extending the sampled pipeline past 12q (at this small shot budget diffuse random sampling edges out the generator on absolute energy — a low-shot coverage effect, not a quality reversal). Determinants for chemical accuracy grow ~1.38× per qubit vs 2.0× for full FCI (log R²=0.99) — a vanishing fraction but still exponential (~10⁶ dets at 40q+);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4–8 GPUs (NVLink) enable distributed evaluation (pillar 4) and the &gt;40q bonus; QPU (IonQ/IBM)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shallow, within MPS reach near equilibrium. QSCI needs ~10³–10⁴ shots/circuit. We estimate ~1–2 weeks single-GPU wall-clock for the full 24→40q sweep plus oxide runs.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≤28q classical FCI/DMRG already solve these instances, so we show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the frozen E3 certificate reached a terminal it5 (external pod kill during it6 growth), prediction ii met, the |PT2|≤0.5 absolute point unreached — reported as-measured (§5e).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narrowing into noise beyond ~28q;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— tensor-network + QSCI tiers, MP2 pool compression — targeting 40 qubits on one GPU, every claim third-party reproducible: a one-command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a “Launch on qBraid” README let judges re-run each headline result unmodified.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2026-07-24T21:54:23.953Z</dcterms:created>
  <dcterms:modified xsi:type="dcterms:W3CDTF">2026-07-24T21:54:23.957Z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