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8097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25 automated checks (16 re-executions + 9 committed-artifact audits incl. the pre-registration SHA-256 and the AQT trapped-ion decode):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25/25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/ +2.4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Honest boundary: at sizes classical FCI/DMRG still solve these instances we show correctness and favourable scaling, not a head-to-head speed win — that win is the 40q+ regime the GPU run targets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(E2–E5; pre-registered before access, executed 2026-07-23,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Five protocols were git-timestamped in preregistration_v2.json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(≤0.47 mHa everywhere) and the dominant-determinant weight collapses 0.95→0.53 — Figure 2's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limit: 40q absolute chemical accuracy demonstrated (≤1.6)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by a classical route fully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tiers, MP2 pool compression —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2026-07-24T15:50:35.414Z</dcterms:created>
  <dcterms:modified xsi:type="dcterms:W3CDTF">2026-07-24T15:50:35.415Z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