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optimization (a property of GQE established by Nakaji et al. 2024; we adopt rather than re-demonstrate it)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of this we contribute scalable machinery (tensor-network + selected-CI evaluation, MP2 operator-pool compression, and a size-/chemistry-transferable generator) that targets the 40q+ regime, with every claim third-party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 —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proposed GPU scaling enabler (not yet executed).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2ⁿ, and near-equilibrium area-law structure bounds the bond dimension, so we propose it to carry exact circuit simulation past the ~32-qubit cuStateVec limit toward 40q+. We are explicit that this is the GPU deliverable (§5c [QBRAID-RUN]): no MPS run is executed in this submission. Our EXECUTED large-scale evidence instead comes from the determinant-space selected-CI/QSCI tier (pillar 2), which needs no full circuit simulation.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16→56 qubits and, on the 3-seed mean, proposes determinant subspaces that beat random selection at every size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mean advantage +8.9/+8.3/+7.1/+5.8/+5.0/+4.4 mHa at 16/20/28/40/48/56q. We are explicit about robustness: the advantage is large and consistent at small sizes (all seeds positive at 16q) but narrows with scale and, beyond ~28q, is within run-to-run (3-seed) noise — it is a mean trend, not an every-seed guarantee (across the 18 size×seed pairs the generator wins 13/18). The more robust signal is variance reduction: the generator's selection spread across seeds is ~4× tighter than random's (≈4.7 vs ≈17.6 mHa) — reliable selection versus a lottery.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the cost that is CPU-bound near ~16 qubits, so transferring a small-trained generator toward the 40q+ target — instead of training at scale — speaks directly to the scalability criterion. The enabler is a determinant-space evaluation (each proposed excitation maps by bitmask to a determinant; the Hamiltonian is diagonalized in that subspace via Slater-Condon, validated to 0.0000 mHa against the Jordan–Wigner engine)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determinant construction, no shots), not executed QSCI. The advantage is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2857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proposes lower-energy determinant subspaces than random selection at every target size up to 56 qubits, on the 3-seed mean (lower is better; determinant-space selected-CI / QSCI-proxy, matched budget K=96). Trained energies are tightly consistent across seeds (spread ~2 mHa); the mean advantage persists to 56q while narrowing into run-to-run noise at the largest sizes.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048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 (target design): a classical generative transformer (Stage 1) and GPU-accelerated quantum simulation (MPS/QSCI) form an asynchronous loop; Stage 2 refines angles to chemical accuracy. The MPS tier and the GPU loop are the proposed Phase-3 GPU deliverable (not yet executed, §3, §5c); executed results in this submission use CPU selected-CI/QSCI and circuit-sampled QSCI to 20q.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selected-CI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selected-CI (QSCI-proxy) determinant budget K at 20q and 40q confirms the transfer advantage is budget-robust: the zero-shot generator beats random selection at essentially every K (e.g. 20q, K=64: 60.0 vs 73.2 mHa; 40q, K=64: 179.9 vs 189.4 mHa), converging to parity only at the largest 20q budget (K=128). As a classical baseline we add MP2-ranked selected-CI on the same determinant subspaces: using the target's own MP2 amplitudes it is the strongest selector (20q, K=64: 35.9 mHa), and a reciprocal-rank fusion of generator+MP2 does not improve on MP2 alone — the two signals are largely redundant. The honest reading: the transferred generator provides selection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strong zero-shot prior for high-throughput screening), while MP2 selected-CI is the appropriate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remaining a rigorous variational bound that is systematically convergent to the exact answer. This is the core value proposition: in the regime that matters for open-shell metal-oxide chemistry, the subspace approach is trustworthy where the classical gold standard is not.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the measured QSCI (qml.sample, 3,000 shots × 160 circuits) at 16q and 20q — the measured energies match the proxy on the trained generator (16q: 26.6 vs 28.1 mHa; 20q: 49.3 vs 50.4 mHa), extending the genuinely-sampled pipeline beyond the prior 12-qubit point. We report one honest wrinkle: at this small shot budget (3,000 shots, K=600), diffuse random-circuit sampling collects more distinct determinants than the peaked generator and edges it on absolute energy under measurement (measured-random 24.0 / 46.7 vs measured-trained 28.1 / 50.4 mHa at 16q / 20q). This is a coverage effect at low shot count, not a generator-quality reversal: the deterministic proxy — which isolates per-determinant quality from sampling coverage — and the larger-budget determinant sweeps both favour the generator. The determinants needed for chemical accuracy grow ~1.38× per qubit versus 2.0× for the full FCI space (log-space R²=0.99) — a vanishing fraction (75% at 8q → 0.15% at 28q), though still exponential: at 40q+ the selected space reaches ~10⁶ determinants, the regime where device-driven selection becomes valuable.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stretched H₁₀ (HF weight 0.93→0.06), single-reference CCSD(T) collapses non-variationally to 217 mHa BELOW exact FCI — untrustworthy where it matters — while the determinant-subspace method stays a rigorous variational upper bound, systematically improvable with budget; reaching accuracy there needs the large-subspace (device-sampled) regime,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376b12475f3fdc8db492d8466cbbbb7bfb1871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2026-06-27T16:02:03.174Z</dcterms:created>
  <dcterms:modified xsi:type="dcterms:W3CDTF">2026-06-27T16:02:03.188Z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