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12–40-qubit GPU run and real QPU silicon remain owed.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Core rows are re-executed end-to-end from a clean checkout by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(13/13 PASS);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executed, and pre-registered).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owed run carries a committed quantitative pass/fail prediction derived only from measured scaling (results/preregistration_v1.json, git-timestamped pre-access): a falsifiable test, not a post-hoc report.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wins clearly on 3 of 6 oxide targets (BeO a within-noise tie)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with an EN-PT2 estimate tightening it from above,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2026-07-03T22:15:50.233Z</dcterms:created>
  <dcterms:modified xsi:type="dcterms:W3CDTF">2026-07-03T22:15:50.233Z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