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direction.</w:t>
      </w:r>
      <w:r>
        <w:t xml:space="preserve">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via the exact circuit (our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One </w:t>
      </w:r>
      <w:r>
        <w:rPr>
          <w:rFonts w:ascii="Courier New" w:hAnsi="Courier New"/>
        </w:rPr>
        <w:t>--device</w:t>
      </w:r>
      <w:r>
        <w:t xml:space="preserve"> flag from a real backend (pending qBraid credits). We thus characterize all four challenge axes: reservoir size, encoding density, shot 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GFC in-sample, 2020 COVID just outside); broader assets/periods are covered only by daily-proxy supporting studies (v2_research: cross-asset, COVID — same negative), not 5-min RV. (iii) Task-level noise is characterized via per-layer single-qubit channels (density-matrix, §5.4) and simulator shot noise (§6); combined noisy-circuit-plus-shot execution is deferred to QPU runs. (iv) g is regularization- and run-configuration-dependent (qualitative gap only). (v) </w:t>
      </w:r>
      <w:r>
        <w:rPr>
          <w:b/>
        </w:rPr>
        <w:t>No real-QPU run yet</w:t>
      </w:r>
      <w:r>
        <w:t xml:space="preserve"> (simulator cross-checked; pending qBraid credit allocation).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 xml:space="preserve">) shows the QRC natively reads nonlinear </w:t>
      </w:r>
      <w:r>
        <w:rPr>
          <w:i/>
        </w:rPr>
        <w:t>state</w:t>
      </w:r>
      <w:r>
        <w:t xml:space="preserve"> functionals (purity, entanglement) a linear readout cannot, but a budget-matched classical still edges it at k≤4 — and the proper baseline, </w:t>
      </w:r>
      <w:r>
        <w:rPr>
          <w:b/>
        </w:rPr>
        <w:t>classical shadows</w:t>
      </w:r>
      <w:r>
        <w:t xml:space="preserve"> (Huang–Kueng–Preskill 2020, also measurement-efficient; not yet run), would be at least as strong: a genuine quantum-data edge is an </w:t>
      </w:r>
      <w:r>
        <w:rPr>
          <w:b/>
        </w:rPr>
        <w:t>honest open question</w:t>
      </w:r>
      <w:r>
        <w:t>, not shown here, and the one regime this challenge's classical-data tracks never probe.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dynamic risk limits and derivatives pricing.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, but a </w:t>
      </w: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scaling + encoding sweeps, the adversarial HAR-X/ESN/RFF test, MNIST + noise, and the sparse/TN frontier are ✓; (vi) gate-Trotter QPU validation (IonQ/IQM/IBM) is simulator-cross-checked (fallback = TN noise emulation).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