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A pre-registered, adversarially-controlled study: at classically-simulable scale (≤16 qubits) the quantum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 xml:space="preserve">, size-matched ESN/RFF, under HAC-DM + Holm + MCS (H0 refuted; robust across a second </w:t>
      </w:r>
      <w:r>
        <w:rPr>
          <w:b/>
        </w:rPr>
        <w:t>Heisenberg</w:t>
      </w:r>
      <w:r>
        <w:t xml:space="preserve"> reservoir family, so the negative is not Ising-specific). Our positive contribution is a </w:t>
      </w:r>
      <w:r>
        <w:rPr>
          <w:b/>
        </w:rPr>
        <w:t>pre-registered, multi-vendor hardware characterization of the coherence-budget wall</w:t>
      </w:r>
      <w:r>
        <w:t xml:space="preserve"> (Fig. 3): the same circuit is signal-bearing on trapped-ion and newer/larger superconducting chips but scrambled on one specific n=8 instance — </w:t>
      </w:r>
      <w:r>
        <w:rPr>
          <w:i/>
        </w:rPr>
        <w:t>instance, not size</w:t>
      </w:r>
      <w:r>
        <w:t xml:space="preserve">, by a same-session cross-seed control. </w:t>
      </w:r>
      <w:r>
        <w:rPr>
          <w:b/>
        </w:rPr>
        <w:t>Desk takeaway:</w:t>
      </w:r>
      <w:r>
        <w:t xml:space="preserve"> vol-time a simple RV forecast (≈halves the 2008 drawdown); quantum adds no economic value here. Reproduces offline in one command (</w:t>
      </w:r>
      <w:r>
        <w:rPr>
          <w:rFonts w:ascii="Courier New" w:hAnsi="Courier New"/>
        </w:rPr>
        <w:t>cli.py verify</w:t>
      </w:r>
      <w:r>
        <w:t>).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≈5×10⁻¹⁶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Cross-platform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executed as net RY(π); the client JSON provably contained both), corrupting ZNE's negated folds; we hardened the emitter (mod-2π angles) and validated on-device (P(|0⁸⟩)=0.996 vs 0.0). The decisive routing-free </w:t>
      </w:r>
      <w:r>
        <w:rPr>
          <w:b/>
        </w:rPr>
        <w:t>IonQ Forte-1 campaign then executed</w:t>
      </w:r>
      <w:r>
        <w:t xml:space="preserve"> under the pre-committed manifest: a smoke gate measured a </w:t>
      </w:r>
      <w:r>
        <w:rPr>
          <w:b/>
        </w:rPr>
        <w:t>2,000-gate/circuit device ceiling</w:t>
      </w:r>
      <w:r>
        <w:t xml:space="preserve"> on the native route (corroborated by an OpenQuantum-route probe), so per abort rule it ran scale-1-only (500 shots — a disclosed, cost-forced deviation from the 4k config, s.e.≈0.004; readout 0.08%/0.65%). </w:t>
      </w:r>
      <w:r>
        <w:rPr>
          <w:b/>
        </w:rPr>
        <w:t>Raw 0.104 — below the 0.196 depolarized limit</w:t>
      </w:r>
      <w:r>
        <w:t xml:space="preserve"> and every superconducting n=8 number: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, under our 0.149 forecast;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instance-specific,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>: generation-dependent at fixed size, temporally controlled. We thus characterize all four challenge axes — reservoir size, encoding density, shot budget, noise — with the program in one view (raw mean feature error vs size-matched fully-depolarized limit; 4k shots, IonQ 500):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6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6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size-matched depolarized limit (black ticks; 4k shots, IonQ 500). Five configs are signal-bearing (below the limit), two scrambled (Garnet n=8 seed-0 0.228; Rigetti 0.242). The adjacent Garnet n=8 seed-1 (0.159) vs seed-0 (0.228) pair — same chip, same session — shows the wall is instance-specific, not size-driven. Per-n limits 0.196/0.179/0.214 at n=8/10/12.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regime claim 9.7–24σ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in-sample, COVID just outside); broader assets/periods are daily-proxy supporting studies (v2_research — same negative), not 5-min RV. (iii) Task-level noise: per-layer single-qubit channels (density-matrix, §5.4) and simulator shot noise; combined noisy-plus-shot execution is measured in the QPU campaigns (§6). (iv) g is regularization- and run-configuration-dependent (qualitative gap only). (v) Superconducting n=8 execution is a </w:t>
      </w:r>
      <w:r>
        <w:rPr>
          <w:b/>
        </w:rPr>
        <w:t>characterized negative</w:t>
      </w:r>
      <w:r>
        <w:t xml:space="preserve"> (Fig. 3;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S7). Mitigation recovery on hardware is at best marginal (ZNE 0.223→0.217 on Rigetti; the ion chain is flat —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(purity, entanglement) a linear readout cannot — but the proper baseline, </w:t>
      </w:r>
      <w:r>
        <w:rPr>
          <w:b/>
        </w:rPr>
        <w:t>classical shadows</w:t>
      </w:r>
      <w:r>
        <w:t xml:space="preserve"> (Huang–Kueng–Preskill 2020), at matched per-state budgets, </w:t>
      </w:r>
      <w:r>
        <w:rPr>
          <w:b/>
        </w:rPr>
        <w:t>wins wherever real information is extracted</w:t>
      </w:r>
      <w:r>
        <w:t xml:space="preserve">, including the shadows-hard Tr(ρ³): </w:t>
      </w:r>
      <w:r>
        <w:rPr>
          <w:b/>
        </w:rPr>
        <w:t>closed negatively at simulable scale</w:t>
      </w:r>
      <w:r>
        <w:t>; hardware-native many-qubit inputs remain the one untested regime (</w:t>
      </w:r>
      <w:r>
        <w:rPr>
          <w:rFonts w:ascii="Courier New" w:hAnsi="Courier New"/>
        </w:rPr>
        <w:t>results/shadows_hard_findings.md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risk limits and pricing;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on the RV forecast </w:t>
      </w:r>
      <w:r>
        <w:rPr>
          <w:b/>
        </w:rPr>
        <w:t>nearly halves the 2008 max drawdown (−61%→−32%)</w:t>
      </w:r>
      <w:r>
        <w:t xml:space="preserve"> — but a </w:t>
      </w:r>
      <w:r>
        <w:rPr>
          <w:b/>
        </w:rPr>
        <w:t>plain HAR</w:t>
      </w:r>
      <w:r>
        <w:t xml:space="preserve"> captures it (negative CE fees for the reservoir), so the decision-useful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(i)–(vi) — pre-registration, sweeps, the adversarial test, MNIST+noise, sparse/TN frontier, QPU on three vendors — all ✓ (§6). </w:t>
      </w:r>
      <w:r>
        <w:rPr>
          <w:b/>
        </w:rPr>
        <w:t>AI disclosure:</w:t>
      </w:r>
      <w:r>
        <w:t xml:space="preserve"> Claude (Anthropic) assisted with code and drafting;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