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it is larger but </w:t>
      </w:r>
      <w:r>
        <w:rPr>
          <w:b/>
        </w:rPr>
        <w:t>non-monotonic</w:t>
      </w:r>
      <w:r>
        <w:t xml:space="preserve"> (≈125/158/88 at n=8/10/12; fixed ridge — the qualitative separation, not the value, is the claim). At ≤12–16 qubits the map stays classically simulable, so distinctness is </w:t>
      </w:r>
      <w:r>
        <w:rPr>
          <w:b/>
        </w:rPr>
        <w:t>necessary, not sufficient</w:t>
      </w:r>
      <w:r>
        <w:t xml:space="preserve"> — which we now </w:t>
      </w:r>
      <w:r>
        <w:rPr>
          <w:i/>
        </w:rPr>
        <w:t>measure</w:t>
      </w:r>
      <w:r>
        <w:t xml:space="preserve">: over </w:t>
      </w:r>
      <w:r>
        <w:rPr>
          <w:b/>
        </w:rPr>
        <w:t>30 seeded n=8 instances</w:t>
      </w:r>
      <w:r>
        <w:t xml:space="preserve">, per-instance entanglement shows </w:t>
      </w:r>
      <w:r>
        <w:rPr>
          <w:b/>
        </w:rPr>
        <w:t>no detectable correlation</w:t>
      </w:r>
      <w:r>
        <w:t xml:space="preserve"> with forecast error (r=−0.19, p=0.32) and </w:t>
      </w:r>
      <w:r>
        <w:rPr>
          <w:b/>
        </w:rPr>
        <w:t>0/30 beat HAR-X</w:t>
      </w:r>
      <w:r>
        <w:t xml:space="preserve"> on crisis </w:t>
      </w:r>
      <w:r>
        <w:rPr>
          <w:i/>
        </w:rPr>
        <w:t>and</w:t>
      </w:r>
      <w:r>
        <w:t xml:space="preserve"> calm. Nor does instance quality </w:t>
      </w:r>
      <w:r>
        <w:rPr>
          <w:b/>
        </w:rPr>
        <w:t>transfer</w:t>
      </w:r>
      <w:r>
        <w:t xml:space="preserve"> — crisis/calm rankings are unrelated (Spearman +0.01, p=0.96) — so best-of-N seed selection is selection on noise. Detectable |r|≳0.5, so we exclude a </w:t>
      </w:r>
      <w:r>
        <w:rPr>
          <w:i/>
        </w:rPr>
        <w:t>strong</w:t>
      </w:r>
      <w:r>
        <w:t xml:space="preserve"> link, not a weak one (</w:t>
      </w:r>
      <w:r>
        <w:rPr>
          <w:rFonts w:ascii="Courier New" w:hAnsi="Courier New"/>
        </w:rPr>
        <w:t>expressivity_accuracy_findings.md</w:t>
      </w:r>
      <w:r>
        <w:t>, exploratory).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 xml:space="preserve">: generation-dependent at fixed size, temporally controlled. The program characterizes reservoir size, encoding density, shot budget and noise, with in one view. The criterion is exactly </w:t>
      </w:r>
      <w:r>
        <w:rPr>
          <w:b/>
        </w:rPr>
        <w:t>SNR &gt; 1</w:t>
      </w:r>
      <w:r>
        <w:t xml:space="preserve"> — raw error is mean|F−F_exact|, the limit is mean|F_exact| — so the bar is </w:t>
      </w:r>
      <w:r>
        <w:rPr>
          <w:b/>
        </w:rPr>
        <w:t>instance</w:t>
      </w:r>
      <w:r>
        <w:t>-matched (signal magnitude is a property of the circuit, not of n) and the test transfers to any quantum feature map: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06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06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 at n=8/10/12; seed-1 carries its own 0.1806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 (measured: §3, r≈0 vs accuracy over 30 instances);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Denser instances face a </w:t>
      </w:r>
      <w:r>
        <w:rPr>
          <w:b/>
        </w:rPr>
        <w:t>tighter</w:t>
      </w:r>
      <w:r>
        <w:t xml:space="preserve"> bar (r=−0.40, p=0.03), yet structure </w:t>
      </w:r>
      <w:r>
        <w:rPr>
          <w:b/>
        </w:rPr>
        <w:t>mis-ranks the two instances we measured</w:t>
      </w:r>
      <w:r>
        <w:t>: denser, tighter-bar seed-1 was signal-bearing while sparser seed-0 scrambled; and the density→entanglement link is only suggestive (r=+0.34, p=0.07). Structure does not give the answer; measurement does (</w:t>
      </w:r>
      <w:r>
        <w:rPr>
          <w:rFonts w:ascii="Courier New" w:hAnsi="Courier New"/>
        </w:rPr>
        <w:t>instance_ensemble_findings.md</w:t>
      </w:r>
      <w:r>
        <w:t xml:space="preserve">, exploratory).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