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(an RY(π)RY(−π) identity pair executed as net RY(π); the client-side JSON provably contained both) — corrupting ZNE's negated fold gates. We hardened the emitter (angles mod 2π; diagonal-only calibrations) and validated on-device: P(|0⁸⟩)=0.996 vs 0.0 pre-fix.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both access routes, so per abort rule it ran scale-1-only (500 shots,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 — one pre-registered circuit measuring the coherence wall from both sides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(table below): Garnet turns </w:t>
      </w:r>
      <w:r>
        <w:rPr>
          <w:b/>
        </w:rPr>
        <w:t>signal-bearing at n=10/n=12</w:t>
      </w:r>
      <w:r>
        <w:t xml:space="preserve"> while a </w:t>
      </w:r>
      <w:r>
        <w:rPr>
          <w:b/>
        </w:rPr>
        <w:t>same-session n=8 anchor</w:t>
      </w:r>
      <w:r>
        <w:t xml:space="preserve"> stays scrambled — the size effect is </w:t>
      </w:r>
      <w:r>
        <w:rPr>
          <w:b/>
        </w:rPr>
        <w:t>real and drift-controlled</w:t>
      </w:r>
      <w:r>
        <w:t xml:space="preserve"> by the manifest's pre-committed decision rule (mechanism honestly open: instance structure vs lattice embedding)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device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technology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raw error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regime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IonQ Forte-1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trapped-ion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0.104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(prediction (ii) ✓)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Emerald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supercond., newer gen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0.169–0.179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(S3b refuted high; same-window pair)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10 / 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0.159 / 0.190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0.179 / 0.214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(S1/S2 refuted; anchor-controlled)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0.222–0.231 (3 days)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— the stable control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Rigetti Cepheus-1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0.223–0.261 (2 days)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(drift band measured)</w:t>
            </w:r>
          </w:p>
        </w:tc>
      </w:tr>
    </w:tbl>
    <w:p>
      <w:pPr>
        <w:jc w:val="both"/>
      </w:pPr>
      <w:r>
        <w:rPr>
          <w:b/>
        </w:rPr>
        <w:t>Execution provenance (externally verifiable).</w:t>
      </w:r>
      <w:r>
        <w:t xml:space="preserve"> All ten campaigns were pre-registered in a committed manifest (budgets, abort and decision rules amended </w:t>
      </w:r>
      <w:r>
        <w:rPr>
          <w:i/>
        </w:rPr>
        <w:t>before</w:t>
      </w:r>
      <w:r>
        <w:t xml:space="preserve"> each launch); every job embeds the repo commit hash and campaign tag in qBraid's timestamped records — a hash-preimage commitment that predictions predate data — and per-job billing matched estimates to the half-credit (</w:t>
      </w:r>
      <w:r>
        <w:rPr>
          <w:rFonts w:ascii="Courier New" w:hAnsi="Courier New"/>
        </w:rPr>
        <w:t>results/CREDIT_BUDGET.md</w:t>
      </w:r>
      <w:r>
        <w:t>: ≈64k credits; every rejected submission billed 0). Controls were bought exactly where claims needed them: a Rigetti replication (day-drift band), a same-session n=8 anchor (drift excluded from the size effect), a same-window two-chip pair (generation effect temporally controlled). The S5/S6 outlook (hardware-in-the-loop forecasting; hardware-native dissipation) is pre-committed the same way.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(§6 table; measured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size/instance- and generation-dependent, not absolute, mechanism unresolved. Mitigation </w:t>
      </w:r>
      <w:r>
        <w:rPr>
          <w:i/>
        </w:rPr>
        <w:t>recovery</w:t>
      </w:r>
      <w:r>
        <w:t xml:space="preserve"> on hardware is at best marginal (ZNE 0.223→0.217 on the Rigetti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(purity, entanglement) a linear readout cannot — but the proper baseline, </w:t>
      </w:r>
      <w:r>
        <w:rPr>
          <w:b/>
        </w:rPr>
        <w:t>classical shadows</w:t>
      </w:r>
      <w:r>
        <w:t xml:space="preserve"> (Huang–Kueng–Preskill 2020), run head-to-head at matched per-state budgets with an ensemble-prior guard, </w:t>
      </w:r>
      <w:r>
        <w:rPr>
          <w:b/>
        </w:rPr>
        <w:t>wins wherever real information is extracted</w:t>
      </w:r>
      <w:r>
        <w:t xml:space="preserve">, including the shadows-hard Tr(ρ³): </w:t>
      </w:r>
      <w:r>
        <w:rPr>
          <w:b/>
        </w:rPr>
        <w:t>closed negatively at simulable scale</w:t>
      </w:r>
      <w:r>
        <w:t>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risk limits and derivatives pricing — and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it; the quantum reservoir adds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— pre-registration, scaling/encoding sweeps, the adversarial HAR-X/ESN/RFF test, MNIST + noise, sparse/TN frontier — all ✓; (vi) QPU validation </w:t>
      </w:r>
      <w:r>
        <w:rPr>
          <w:b/>
        </w:rPr>
        <w:t>executed on three vendors</w:t>
      </w:r>
      <w:r>
        <w:t xml:space="preserve"> (§6).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