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it is larger but </w:t>
      </w:r>
      <w:r>
        <w:rPr>
          <w:b/>
        </w:rPr>
        <w:t>non-monotonic</w:t>
      </w:r>
      <w:r>
        <w:t xml:space="preserve"> (≈125/158/88 at n=8/10/12; fixed ridge — the qualitative separation, not the value, is the claim). At ≤12–16 qubits the map stays classically simulable, so distinctness is </w:t>
      </w:r>
      <w:r>
        <w:rPr>
          <w:b/>
        </w:rPr>
        <w:t>necessary, not sufficient</w:t>
      </w:r>
      <w:r>
        <w:t xml:space="preserve"> — which we now </w:t>
      </w:r>
      <w:r>
        <w:rPr>
          <w:i/>
        </w:rPr>
        <w:t>measure</w:t>
      </w:r>
      <w:r>
        <w:t xml:space="preserve">: over </w:t>
      </w:r>
      <w:r>
        <w:rPr>
          <w:b/>
        </w:rPr>
        <w:t>30 seeded n=8 instances</w:t>
      </w:r>
      <w:r>
        <w:t xml:space="preserve">, per-instance entanglement shows </w:t>
      </w:r>
      <w:r>
        <w:rPr>
          <w:b/>
        </w:rPr>
        <w:t>no detectable correlation</w:t>
      </w:r>
      <w:r>
        <w:t xml:space="preserve"> with forecast error (r=−0.19, p=0.32) and </w:t>
      </w:r>
      <w:r>
        <w:rPr>
          <w:b/>
        </w:rPr>
        <w:t>0/30 beat HAR-X</w:t>
      </w:r>
      <w:r>
        <w:t xml:space="preserve"> on crisis </w:t>
      </w:r>
      <w:r>
        <w:rPr>
          <w:i/>
        </w:rPr>
        <w:t>and</w:t>
      </w:r>
      <w:r>
        <w:t xml:space="preserve"> calm (bounding the beat-rate at ≤9.5%, exact one-sided 95%). Nor does instance quality detectably </w:t>
      </w:r>
      <w:r>
        <w:rPr>
          <w:b/>
        </w:rPr>
        <w:t>transfer</w:t>
      </w:r>
      <w:r>
        <w:t xml:space="preserve"> — crisis/calm rankings are unrelated (Spearman +0.01) — so best-of-N seed selection is selection on noise. These detect only |r|≳0.5, so we exclude </w:t>
      </w:r>
      <w:r>
        <w:rPr>
          <w:i/>
        </w:rPr>
        <w:t>strong</w:t>
      </w:r>
      <w:r>
        <w:t xml:space="preserve"> links, not weak ones (</w:t>
      </w:r>
      <w:r>
        <w:rPr>
          <w:rFonts w:ascii="Courier New" w:hAnsi="Courier New"/>
        </w:rPr>
        <w:t>expressivity_accuracy_findings.md</w:t>
      </w:r>
      <w:r>
        <w:t>; exploratory, uncorrected).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 xml:space="preserve">-adjusted across the comparison family, and the Model Confidence Set (Hansen–Lunde–Nason 2011). Holm/MCS are scoped to this </w:t>
      </w:r>
      <w:r>
        <w:rPr>
          <w:b/>
        </w:rPr>
        <w:t>pre-registered</w:t>
      </w:r>
      <w:r>
        <w:t xml:space="preserve"> family; §3/§8 correlations are exploratory, </w:t>
      </w:r>
      <w:r>
        <w:rPr>
          <w:b/>
        </w:rPr>
        <w:t>uncorrected</w:t>
      </w:r>
      <w:r>
        <w:t>, and none survives Holm.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→ net RY(π)), corrupting ZNE's negated folds; we hardened the emitter (mod-2π)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 xml:space="preserve">: generation-dependent at fixed size, temporally controlled. The program spans reservoir size, encoding density, shot budget and noise; Fig. 3 collects the hardware verdicts. The criterion is exactly </w:t>
      </w:r>
      <w:r>
        <w:rPr>
          <w:b/>
        </w:rPr>
        <w:t>SNR &gt; 1</w:t>
      </w:r>
      <w:r>
        <w:t xml:space="preserve"> — raw error is mean|F−F_exact|, the limit is mean|F_exact| — so the bar is </w:t>
      </w:r>
      <w:r>
        <w:rPr>
          <w:b/>
        </w:rPr>
        <w:t>instance</w:t>
      </w:r>
      <w:r>
        <w:t>-matched (signal magnitude is a circuit property, not an n property) and the test transfers to any quantum feature 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50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5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signal-bearing, two scrambled. The adjacent Garnet n=8 seed-1 (0.159) vs seed-0 (0.228) pair — same chip and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law. Seed-0 limits 0.196/0.179/0.214; seed-1 carries its own 0.1806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anchor, and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(COVID just outside); broader assets/periods are daily-proxy supporting studies (v2_research — same negative), not 5-min RV. (iii) Task-level noise: per-layer channels (§5.4) and shot noise; combined noisy-plus-shot execution is measured in the QPU campaigns (§6). (iv) g is regularization- and configuration-dependent (qualitative only). (v) Superconducting n=8 execution is a </w:t>
      </w:r>
      <w:r>
        <w:rPr>
          <w:b/>
        </w:rPr>
        <w:t>characterized negative</w:t>
      </w:r>
      <w:r>
        <w:t xml:space="preserve"> (Fig. 3; day-drift exceeds shot noise, so </w:t>
      </w:r>
      <w:r>
        <w:rPr>
          <w:i/>
        </w:rPr>
        <w:t>regime</w:t>
      </w:r>
      <w:r>
        <w:t xml:space="preserve">, not point value, is the robust claim), while n=10/n=12 and the newer generation land inside their limits: the wall is instance- and generation-dependent, not absolute (n=8 scrambling is seed-0-instance-specific — S7; and in a 30-instance ensemble the scrambled instance is among the </w:t>
      </w:r>
      <w:r>
        <w:rPr>
          <w:i/>
        </w:rPr>
        <w:t>sparsest</w:t>
      </w:r>
      <w:r>
        <w:t xml:space="preserve">, so gate count </w:t>
      </w:r>
      <w:r>
        <w:rPr>
          <w:b/>
        </w:rPr>
        <w:t>anti-predicts</w:t>
      </w:r>
      <w:r>
        <w:t xml:space="preserve"> the wall — §8).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(measured, §3);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</w:t>
      </w:r>
      <w:r>
        <w:t xml:space="preserve"> — and our data shows it is </w:t>
      </w:r>
      <w:r>
        <w:rPr>
          <w:i/>
        </w:rPr>
        <w:t>necessary</w:t>
      </w:r>
      <w:r>
        <w:t xml:space="preserve">. Structure </w:t>
      </w:r>
      <w:r>
        <w:rPr>
          <w:b/>
        </w:rPr>
        <w:t>mis-ranked both instances we measured on metal</w:t>
      </w:r>
      <w:r>
        <w:t>, and across 30 instances no structural quantity survives multiplicity correction as a predictor of the hardware bar, nor predicts accuracy at all. Structure does not give the answer; measurement does (</w:t>
      </w:r>
      <w:r>
        <w:rPr>
          <w:rFonts w:ascii="Courier New" w:hAnsi="Courier New"/>
        </w:rPr>
        <w:t>instance_ensemble_findings.md</w:t>
      </w:r>
      <w:r>
        <w:t xml:space="preserve">, exploratory). Hence </w:t>
      </w:r>
      <w:r>
        <w:rPr>
          <w:b/>
        </w:rPr>
        <w:t>trust in a quantum yes/no</w:t>
      </w:r>
      <w:r>
        <w:t xml:space="preserve">: a pre-registered, vendor-neutral </w:t>
      </w:r>
      <w:r>
        <w:rPr>
          <w:b/>
        </w:rPr>
        <w:t>workload→QPU qualification</w:t>
      </w:r>
      <w:r>
        <w:t xml:space="preserve"> earned by an instrument that </w:t>
      </w:r>
      <w:r>
        <w:rPr>
          <w:b/>
        </w:rPr>
        <w:t>falsifies its own predictions</w:t>
      </w:r>
      <w:r>
        <w:t xml:space="preserve"> — it split our runs </w:t>
      </w:r>
      <w:r>
        <w:rPr>
          <w:b/>
        </w:rPr>
        <w:t>five signal-bearing, two scrambled</w:t>
      </w:r>
      <w:r>
        <w:t xml:space="preserve"> (Fig. 3) at ≈$70–$205 per campaign. Target profiles only; no customers or LOIs claimed. </w:t>
      </w:r>
      <w:r>
        <w:rPr>
          <w:b/>
        </w:rPr>
        <w:t>Desk impact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risk control, not alpha — but </w:t>
      </w:r>
      <w:r>
        <w:rPr>
          <w:b/>
        </w:rPr>
        <w:t>plain HAR</w:t>
      </w:r>
      <w:r>
        <w:t xml:space="preserve"> captures it (CE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AI disclosure:</w:t>
      </w:r>
      <w:r>
        <w:t xml:space="preserve"> Claude (Anthropic) assisted with code and drafting; all decisions and results are the team's own. Milestones (i)–(vi) all ✓ (§6).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