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jc w:val="both"/>
      </w:pPr>
      <w:r>
        <w:rPr>
          <w:b/>
        </w:rPr>
        <w:t>Abstract.</w:t>
      </w:r>
      <w:r>
        <w:t xml:space="preserve"> We contribute a </w:t>
      </w:r>
      <w:r>
        <w:rPr>
          <w:b/>
        </w:rPr>
        <w:t>pre-registered, adversarially-controlled evaluation instrument</w:t>
      </w:r>
      <w:r>
        <w:t xml:space="preserve"> for quantum reservoir computing — reproducible </w:t>
      </w:r>
      <w:r>
        <w:rPr>
          <w:b/>
        </w:rPr>
        <w:t>offline in one command</w:t>
      </w:r>
      <w:r>
        <w:t xml:space="preserve"> (</w:t>
      </w:r>
      <w:r>
        <w:rPr>
          <w:rFonts w:ascii="Courier New" w:hAnsi="Courier New"/>
        </w:rPr>
        <w:t>cli.py verify</w:t>
      </w:r>
      <w:r>
        <w:t xml:space="preserve">), with every hardware prediction bound to a prior commit by a </w:t>
      </w:r>
      <w:r>
        <w:rPr>
          <w:b/>
        </w:rPr>
        <w:t>hash-preimage commitment</w:t>
      </w:r>
      <w:r>
        <w:t xml:space="preserve"> — and apply it to S&amp;P 500 realized-volatility forecasting across </w:t>
      </w:r>
      <w:r>
        <w:rPr>
          <w:b/>
        </w:rPr>
        <w:t>four devices from three QPU vendors</w:t>
      </w:r>
      <w:r>
        <w:t xml:space="preserve"> (IonQ, IQM, Rigetti). Two measurements stand on their own: an empirical </w:t>
      </w:r>
      <w:r>
        <w:rPr>
          <w:b/>
        </w:rPr>
        <w:t>quantum-complexity metric</w:t>
      </w:r>
      <w:r>
        <w:t xml:space="preserve"> (the reservoir's MPS bond dimension is essentially full, </w:t>
      </w:r>
      <w:r>
        <w:rPr>
          <w:b/>
        </w:rPr>
        <w:t>χ_eff ≈ 2^(n/2)</w:t>
      </w:r>
      <w:r>
        <w:t xml:space="preserve">, marking the classical-simulability boundary) and a cross-platform </w:t>
      </w:r>
      <w:r>
        <w:rPr>
          <w:b/>
        </w:rPr>
        <w:t>coherence-budget wall</w:t>
      </w:r>
      <w:r>
        <w:t xml:space="preserve"> (Fig. 3) whose readout-corrected fingerprint separates </w:t>
      </w:r>
      <w:r>
        <w:rPr>
          <w:b/>
        </w:rPr>
        <w:t>coherent circuit routing from depolarizing/damping noise</w:t>
      </w:r>
      <w:r>
        <w:t xml:space="preserve">, each bootstrapped regime verdict </w:t>
      </w:r>
      <w:r>
        <w:rPr>
          <w:b/>
        </w:rPr>
        <w:t>9.7–23.9σ</w:t>
      </w:r>
      <w:r>
        <w:t xml:space="preserve"> beyond shot noise. Applied honestly, the instrument returns a </w:t>
      </w:r>
      <w:r>
        <w:rPr>
          <w:b/>
        </w:rPr>
        <w:t>well-characterized negative</w:t>
      </w:r>
      <w:r>
        <w:t xml:space="preserve">: at simulable scale (≤16 qubits) the reservoir is </w:t>
      </w:r>
      <w:r>
        <w:rPr>
          <w:i/>
        </w:rPr>
        <w:t>distinct but not more accurate</w:t>
      </w:r>
      <w:r>
        <w:t xml:space="preserve"> than the strongest fair baselines — </w:t>
      </w:r>
      <w:r>
        <w:rPr>
          <w:b/>
        </w:rPr>
        <w:t>HAR-X</w:t>
      </w:r>
      <w:r>
        <w:t>, size-matched ESN/RFF, under HAC-DM + Holm + MCS (</w:t>
      </w:r>
      <w:r>
        <w:rPr>
          <w:b/>
        </w:rPr>
        <w:t>H0 refuted</w:t>
      </w:r>
      <w:r>
        <w:t xml:space="preserve">) — robust across a second </w:t>
      </w:r>
      <w:r>
        <w:rPr>
          <w:b/>
        </w:rPr>
        <w:t>Heisenberg</w:t>
      </w:r>
      <w:r>
        <w:t xml:space="preserve"> reservoir family (not Ising-specific) and a second (weather) domain, and our program </w:t>
      </w:r>
      <w:r>
        <w:rPr>
          <w:b/>
        </w:rPr>
        <w:t>falsified four of its own pre-registered predictions</w:t>
      </w:r>
      <w:r>
        <w:t xml:space="preserve"> under controls (a same-session cross-seed control shows the n=8 scrambling is </w:t>
      </w:r>
      <w:r>
        <w:rPr>
          <w:i/>
        </w:rPr>
        <w:t>seed-0-instance-specific, not a size law</w:t>
      </w:r>
      <w:r>
        <w:t xml:space="preserve">). </w:t>
      </w:r>
      <w:r>
        <w:rPr>
          <w:b/>
        </w:rPr>
        <w:t>Desk takeaway:</w:t>
      </w:r>
      <w:r>
        <w:t xml:space="preserve"> vol-timing a simple RV forecast ≈halves the 2008 drawdown; quantum adds no economic value at this scale.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H0 and </w:t>
      </w:r>
      <w:r>
        <w:rPr>
          <w:i/>
        </w:rPr>
        <w:t>attacked our own result</w:t>
      </w:r>
      <w:r>
        <w:t xml:space="preserve"> with fair controls: the dominant accuracy lever is </w:t>
      </w:r>
      <w:r>
        <w:rPr>
          <w:i/>
        </w:rPr>
        <w:t>which features are encoded</w:t>
      </w:r>
      <w:r>
        <w:t xml:space="preserve">, not quantum nonlinearity. What survives for the reservoir — kernel distinctness, lower seed variance, full-rank entanglement (classical-simulation hardness) — is </w:t>
      </w:r>
      <w:r>
        <w:rPr>
          <w:i/>
        </w:rPr>
        <w:t>necessary, not sufficient</w:t>
      </w:r>
      <w:r>
        <w:t xml:space="preserve">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≈3.9×10⁻¹⁶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1.81→3.14, n=8→12).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and is indistinguishable from the classical ESN/RFF after Holm (one raw loss to RFF at crisis n=8, p=0.049). </w:t>
      </w:r>
      <w:r>
        <w:rPr>
          <w:b/>
        </w:rPr>
        <w:t>After Holm correction no comparison is significant in either direction, and the 95% MCS retains all four models (n=10)</w:t>
      </w:r>
      <w:r>
        <w:t xml:space="preserve"> — a statistical tie. The earlier "beats HAR" result was an artifact of a </w:t>
      </w:r>
      <w:r>
        <w:rPr>
          <w:i/>
        </w:rPr>
        <w:t>feature-poor</w:t>
      </w:r>
      <w:r>
        <w:t xml:space="preserve"> HAR: the gain is the encoded realized measures (a known SHAR/HARQ effect), not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(n=12: 0.009 vs 0.015) and </w:t>
      </w:r>
      <w:r>
        <w:rPr>
          <w:b/>
        </w:rPr>
        <w:t>beats it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search to 800 nodes) confirms the control was not crippled (0.6020 vs CHIMERA 0.6094, within noise of HAR-X); and </w:t>
      </w:r>
      <w:r>
        <w:rPr>
          <w:b/>
        </w:rPr>
        <w:t>named canonical models</w:t>
      </w:r>
      <w:r>
        <w:t xml:space="preserve"> (SHAR, HAR-CJ, HARQ, HEAVY-RM; MSE + QLIKE DM) — </w:t>
      </w:r>
      <w:r>
        <w:rPr>
          <w:b/>
        </w:rPr>
        <w:t>none beats HAR-X</w:t>
      </w:r>
      <w:r>
        <w:t xml:space="preserve">, with CHIMERA tying best on RMSE and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cli.py run canonical</w:t>
      </w:r>
      <w:r>
        <w:t xml:space="preserve">, </w:t>
      </w:r>
      <w:r>
        <w:rPr>
          <w:rFonts w:ascii="Courier New" w:hAnsi="Courier New"/>
        </w:rPr>
        <w:t>esn_tuning_robustness_findings.md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is a </w:t>
      </w:r>
      <w:r>
        <w:rPr>
          <w:i/>
        </w:rPr>
        <w:t>readout</w:t>
      </w:r>
      <w:r>
        <w:t xml:space="preserve"> property, not circuit-level robustness; accumulated gate error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(S ≈ 1.7–3.2 nats): the reservoir admits </w:t>
      </w:r>
      <w:r>
        <w:rPr>
          <w:b/>
        </w:rPr>
        <w:t>no low-bond-dimension (MPS/TEBD) shortcut</w:t>
      </w:r>
      <w:r>
        <w:t xml:space="preserve">, exact cost stays exponential — the precondition any beyond-frontier advantage would need, though none appears at the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study).</w:t>
      </w:r>
      <w:r>
        <w:t xml:space="preserve"> </w:t>
      </w:r>
      <w:r>
        <w:rPr>
          <w:i/>
        </w:rPr>
        <w:t>Second family:</w:t>
      </w:r>
      <w:r>
        <w:t xml:space="preserve"> a </w:t>
      </w:r>
      <w:r>
        <w:rPr>
          <w:b/>
        </w:rPr>
        <w:t>Heisenberg (XXZ)</w:t>
      </w:r>
      <w:r>
        <w:t xml:space="preserve"> reservoir — equally kernel-distinct (g≈55) — also fails to beat HAR-X (0.650 vs 0.642, 8 seeds, full-sample config), so the negative is </w:t>
      </w:r>
      <w:r>
        <w:rPr>
          <w:b/>
        </w:rPr>
        <w:t>not Ising-specific</w:t>
      </w:r>
      <w:r>
        <w:t xml:space="preserve"> (</w:t>
      </w:r>
      <w:r>
        <w:rPr>
          <w:rFonts w:ascii="Courier New" w:hAnsi="Courier New"/>
        </w:rPr>
        <w:t>cli.py run second_family</w:t>
      </w:r>
      <w:r>
        <w:t xml:space="preserve">).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RMSE °C: CHIMERA 0.85 at its qubit-range ceiling vs RFF 0.78 / recurrent ESN 0.71 at larger budgets). </w:t>
      </w: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fixed the mechanism</w:t>
      </w:r>
      <w:r>
        <w:t xml:space="preserve">: engineered memory-qubit damping traces the pre-registered inverted-U, lifting autonomous VPT ≈+60% to </w:t>
      </w:r>
      <w:r>
        <w:rPr>
          <w:b/>
        </w:rPr>
        <w:t>parity</w:t>
      </w:r>
      <w:r>
        <w:t xml:space="preserve"> with the 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layers): n=8/10/12 use </w:t>
      </w:r>
      <w:r>
        <w:rPr>
          <w:b/>
        </w:rPr>
        <w:t>220/480/760 two-qubit + 160/200/240 one-qubit</w:t>
      </w:r>
      <w:r>
        <w:t xml:space="preserve"> gates, yielding </w:t>
      </w:r>
      <w:r>
        <w:rPr>
          <w:b/>
        </w:rPr>
        <w:t>36/55/78 observables</w:t>
      </w:r>
      <w:r>
        <w:t xml:space="preserve"> — all Z-basis-diagonal, so </w:t>
      </w:r>
      <w:r>
        <w:rPr>
          <w:b/>
        </w:rPr>
        <w:t>one S-shot set (S≈2–8k, ε≈1/√S) reads every observable</w:t>
      </w:r>
      <w:r>
        <w:t xml:space="preserve"> (statevector build ≤~1 min over this range).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(the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first on </w:t>
      </w:r>
      <w:r>
        <w:rPr>
          <w:b/>
        </w:rPr>
        <w:t>Rigetti Cepheus-1-108q</w:t>
      </w:r>
      <w:r>
        <w:t xml:space="preserve"> (12 logged cloud jobs; bit order auto-detected; readout 2.3%/6.4%): after lattice routing, scale-1 already exceeds the coherence budget — the accumulated two-qubit-gate cost §5.4 predicts, measured on metal (ZNE marginal; a 4k-shot replication showed the beyond-limit regime stable under day-scale drift). The pre-registered </w:t>
      </w:r>
      <w:r>
        <w:rPr>
          <w:b/>
        </w:rPr>
        <w:t>Garnet protocol</w:t>
      </w:r>
      <w:r>
        <w:t xml:space="preserve"> replicated the regime on a second vendor (raw 0.230 &gt; our routing-free 0.171 forecast — </w:t>
      </w:r>
      <w:r>
        <w:rPr>
          <w:b/>
        </w:rPr>
        <w:t>prediction (iii) confirmed</w:t>
      </w:r>
      <w:r>
        <w:t xml:space="preserve">). Cross-platform execution also surfaced a </w:t>
      </w:r>
      <w:r>
        <w:rPr>
          <w:b/>
        </w:rPr>
        <w:t>platform-level finding</w:t>
      </w:r>
      <w:r>
        <w:t xml:space="preserve">: negative-angle rotations are </w:t>
      </w:r>
      <w:r>
        <w:rPr>
          <w:b/>
        </w:rPr>
        <w:t>silently lost server-side on the IonQ route</w:t>
      </w:r>
      <w:r>
        <w:t xml:space="preserve"> (RY(π)RY(−π) executed as net RY(π); the client JSON provably contained both), corrupting ZNE's negated folds; we hardened the emitter (mod-2π angles) and validated on-device (P(|0⁸⟩)=0.996 vs 0.0). The decisive routing-free </w:t>
      </w:r>
      <w:r>
        <w:rPr>
          <w:b/>
        </w:rPr>
        <w:t>IonQ Forte-1 campaign then executed</w:t>
      </w:r>
      <w:r>
        <w:t xml:space="preserve"> under the pre-committed manifest: a smoke gate measured a </w:t>
      </w:r>
      <w:r>
        <w:rPr>
          <w:b/>
        </w:rPr>
        <w:t>2,000-gate/circuit device ceiling</w:t>
      </w:r>
      <w:r>
        <w:t xml:space="preserve"> on the native route (corroborated by an OpenQuantum-route probe), so per abort rule it ran scale-1-only (500 shots — a disclosed, cost-forced deviation from the 4k config, s.e.≈0.004; readout 0.08%/0.65%). </w:t>
      </w:r>
      <w:r>
        <w:rPr>
          <w:b/>
        </w:rPr>
        <w:t>Raw 0.104 — below the 0.196 depolarized limit</w:t>
      </w:r>
      <w:r>
        <w:t xml:space="preserve"> and every superconducting n=8 number: the </w:t>
      </w:r>
      <w:r>
        <w:rPr>
          <w:b/>
        </w:rPr>
        <w:t>first 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 xml:space="preserve">, under our 0.149 forecast; 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refuted our own statements on metal (Fig. 3): Garnet turns </w:t>
      </w:r>
      <w:r>
        <w:rPr>
          <w:b/>
        </w:rPr>
        <w:t>signal-bearing at n=10/n=12</w:t>
      </w:r>
      <w:r>
        <w:t xml:space="preserve"> while the </w:t>
      </w:r>
      <w:r>
        <w:rPr>
          <w:b/>
        </w:rPr>
        <w:t>same-session seed-0 n=8 anchor</w:t>
      </w:r>
      <w:r>
        <w:t xml:space="preserve"> stays scrambled — but a pre-registered cross-seed control (</w:t>
      </w:r>
      <w:r>
        <w:rPr>
          <w:b/>
        </w:rPr>
        <w:t>S7</w:t>
      </w:r>
      <w:r>
        <w:t xml:space="preserve">) found an </w:t>
      </w:r>
      <w:r>
        <w:rPr>
          <w:b/>
        </w:rPr>
        <w:t>independent seed-1 n=8 instance signal-bearing</w:t>
      </w:r>
      <w:r>
        <w:t xml:space="preserve"> in the same session, so the n=8 scrambling is </w:t>
      </w:r>
      <w:r>
        <w:rPr>
          <w:b/>
        </w:rPr>
        <w:t>specific to the seed-0 instance, not a size law</w:t>
      </w:r>
      <w:r>
        <w:t xml:space="preserve"> (seed-1 n=10 also signal-bearing) — and the newer-generation </w:t>
      </w:r>
      <w:r>
        <w:rPr>
          <w:b/>
        </w:rPr>
        <w:t>Emerald is signal-bearing at the very size Garnet scrambles</w:t>
      </w:r>
      <w:r>
        <w:t xml:space="preserve">, reproduced in a </w:t>
      </w:r>
      <w:r>
        <w:rPr>
          <w:b/>
        </w:rPr>
        <w:t>same-window two-chip pair</w:t>
      </w:r>
      <w:r>
        <w:t>: generation-dependent at fixed size, temporally controlled. We thus characterize all four challenge axes — reservoir size, encoding density, shot budget, noise — with the program in one view (raw mean feature error vs size-matched fully-depolarized limit; 4k shots, IonQ 500):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3768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herence_w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6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3.</w:t>
      </w:r>
      <w:r>
        <w:rPr>
          <w:i/>
          <w:sz w:val="18"/>
        </w:rPr>
        <w:t xml:space="preserve"> Cross-platform coherence-budget wall: mean raw feature error vs the </w:t>
      </w:r>
      <w:r>
        <w:rPr>
          <w:b/>
          <w:i/>
          <w:sz w:val="18"/>
        </w:rPr>
        <w:t>instance-matched</w:t>
      </w:r>
      <w:r>
        <w:rPr>
          <w:i/>
          <w:sz w:val="18"/>
        </w:rPr>
        <w:t xml:space="preserve"> depolarized limit mean|F_exact| (black ticks; 4k shots, IonQ 500). Five configs are signal-bearing (below the limit), two scrambled (Garnet n=8 seed-0 0.228; Rigetti 0.223). The adjacent Garnet n=8 seed-1 (0.159) vs seed-0 (0.228) pair — same chip, same session — refutes a </w:t>
      </w:r>
      <w:r>
        <w:rPr>
          <w:i/>
          <w:sz w:val="18"/>
        </w:rPr>
        <w:t>size</w:t>
      </w:r>
      <w:r>
        <w:rPr>
          <w:i/>
          <w:sz w:val="18"/>
        </w:rPr>
        <w:t xml:space="preserve"> law: the n=8 scrambling is specific to the seed-0 instance. Seed-0 limits 0.196/0.179/0.214 at n=8/10/12; seed-1 carries its own 0.1806 (n=8) — verdict unchanged (§6).</w:t>
      </w:r>
    </w:p>
    <w:p>
      <w:pPr>
        <w:jc w:val="both"/>
      </w:pPr>
      <w:r>
        <w:rPr>
          <w:b/>
        </w:rPr>
        <w:t>Execution provenance (externally verifiable).</w:t>
      </w:r>
      <w:r>
        <w:t xml:space="preserve"> Every campaign ran against pre-committed predictions — the ten funded ones under a committed manifest (abort/decision rules fixed </w:t>
      </w:r>
      <w:r>
        <w:rPr>
          <w:i/>
        </w:rPr>
        <w:t>before</w:t>
      </w:r>
      <w:r>
        <w:t xml:space="preserve"> each launch); every funded-campaign job embeds the repo commit hash and campaign tag in qBraid's timestamped records — a hash-preimage commitment that predictions predate data — and billing matched estimates to the half-credit (</w:t>
      </w:r>
      <w:r>
        <w:rPr>
          <w:rFonts w:ascii="Courier New" w:hAnsi="Courier New"/>
        </w:rPr>
        <w:t>results/CREDIT_BUDGET.md</w:t>
      </w:r>
      <w:r>
        <w:t xml:space="preserve">: ≈64k credits). Bootstrap from the committed counts re-derives every number above and puts </w:t>
      </w:r>
      <w:r>
        <w:rPr>
          <w:b/>
        </w:rPr>
        <w:t>each of the nine bootstrapped regime claims 9.7–23.9σ beyond shot noise</w:t>
      </w:r>
      <w:r>
        <w:t>; a readout-corrected fingerprint attributes the scrambled regime to predominantly coherent error (</w:t>
      </w:r>
      <w:r>
        <w:rPr>
          <w:rFonts w:ascii="Courier New" w:hAnsi="Courier New"/>
        </w:rPr>
        <w:t>qpu_bootstrap</w:t>
      </w:r>
      <w:r>
        <w:t xml:space="preserve">, </w:t>
      </w:r>
      <w:r>
        <w:rPr>
          <w:rFonts w:ascii="Courier New" w:hAnsi="Courier New"/>
        </w:rPr>
        <w:t>qpu_fingerprint</w:t>
      </w:r>
      <w:r>
        <w:t>). Controls were bought where needed: a Rigetti replication (day-drift), a same-session n=8 anchor (drift), a same-window two-chip pair (generation). S5–S6 pre-committed; S7 executed (above).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in-sample, COVID just outside); broader assets/periods are daily-proxy supporting studies (v2_research — same negative), not 5-min RV. (iii) Task-level noise: per-layer single-qubit channels (density-matrix, §5.4) and simulator shot noise; combined noisy-plus-shot execution is measured in the QPU campaigns (§6). (iv) g is regularization- and run-configuration-dependent (qualitative gap only). (v) Superconducting n=8 execution is a </w:t>
      </w:r>
      <w:r>
        <w:rPr>
          <w:b/>
        </w:rPr>
        <w:t>characterized negative</w:t>
      </w:r>
      <w:r>
        <w:t xml:space="preserve"> (Fig. 3; day-scale drift exceeds shot noise, so </w:t>
      </w:r>
      <w:r>
        <w:rPr>
          <w:i/>
        </w:rPr>
        <w:t>regime</w:t>
      </w:r>
      <w:r>
        <w:t xml:space="preserve"> — not point value — is the robust claim), while n=10/n=12 and the newer generation land inside their limits: the wall is instance- and generation-dependent, not absolute (n=8 scrambling is seed-0-instance-specific — S7). Mitigation recovery on hardware is at best marginal (ZNE 0.223→0.217 on Rigetti; the ion chain is flat).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shows the QRC natively reads nonlinear </w:t>
      </w:r>
      <w:r>
        <w:rPr>
          <w:i/>
        </w:rPr>
        <w:t>state</w:t>
      </w:r>
      <w:r>
        <w:t xml:space="preserve"> functionals a linear readout cannot, but the proper baseline — </w:t>
      </w:r>
      <w:r>
        <w:rPr>
          <w:b/>
        </w:rPr>
        <w:t>classical shadows</w:t>
      </w:r>
      <w:r>
        <w:t xml:space="preserve"> (Huang–Kueng–Preskill 2020) at matched per-state budgets — </w:t>
      </w:r>
      <w:r>
        <w:rPr>
          <w:b/>
        </w:rPr>
        <w:t>wins wherever real information is extracted</w:t>
      </w:r>
      <w:r>
        <w:t>, including the shadows-hard Tr(ρ³): closed negatively at simulable scale; hardware-native many-qubit inputs remain the one untested regime (</w:t>
      </w:r>
      <w:r>
        <w:rPr>
          <w:rFonts w:ascii="Courier New" w:hAnsi="Courier New"/>
        </w:rPr>
        <w:t>results/shadows_hard_findings.md</w:t>
      </w:r>
      <w:r>
        <w:t>).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rPr>
          <w:b/>
        </w:rPr>
        <w:t>The durable asset is the audit instrument, not the forecast.</w:t>
      </w:r>
      <w:r>
        <w:t xml:space="preserve"> It sells </w:t>
      </w:r>
      <w:r>
        <w:rPr>
          <w:b/>
        </w:rPr>
        <w:t>trust in a quantum yes/no</w:t>
      </w:r>
      <w:r>
        <w:t xml:space="preserve"> — a pre-registered, vendor-neutral </w:t>
      </w:r>
      <w:r>
        <w:rPr>
          <w:b/>
        </w:rPr>
        <w:t>workload→QPU qualification</w:t>
      </w:r>
      <w:r>
        <w:t xml:space="preserve"> (does a device retain a client's </w:t>
      </w:r>
      <w:r>
        <w:rPr>
          <w:i/>
        </w:rPr>
        <w:t>own</w:t>
      </w:r>
      <w:r>
        <w:t xml:space="preserve"> circuit's signal?), and that trust is earned by an instrument that </w:t>
      </w:r>
      <w:r>
        <w:rPr>
          <w:b/>
        </w:rPr>
        <w:t>falsifies its own predictions</w:t>
      </w:r>
      <w:r>
        <w:t xml:space="preserve"> rather than defending them: the same instrument split the runs </w:t>
      </w:r>
      <w:r>
        <w:rPr>
          <w:b/>
        </w:rPr>
        <w:t>five signal-bearing, two scrambled</w:t>
      </w:r>
      <w:r>
        <w:t xml:space="preserve"> (Fig. 3), at ≈$70 QPU per single-device test (profiles, not customers). </w:t>
      </w:r>
      <w:r>
        <w:rPr>
          <w:b/>
        </w:rPr>
        <w:t>Concrete desk impact today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</w:t>
      </w:r>
      <w:r>
        <w:rPr>
          <w:b/>
        </w:rPr>
        <w:t>nearly halves the 2008 max drawdown (−61%→−32%)</w:t>
      </w:r>
      <w:r>
        <w:t xml:space="preserve"> — but a </w:t>
      </w:r>
      <w:r>
        <w:rPr>
          <w:b/>
        </w:rPr>
        <w:t>plain HAR</w:t>
      </w:r>
      <w:r>
        <w:t xml:space="preserve"> captures it, so the decision-useful lever is </w:t>
      </w:r>
      <w:r>
        <w:rPr>
          <w:b/>
        </w:rPr>
        <w:t>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(i)–(vi) all ✓ (§6). </w:t>
      </w:r>
      <w:r>
        <w:rPr>
          <w:b/>
        </w:rPr>
        <w:t>AI disclosure:</w:t>
      </w:r>
      <w:r>
        <w:t xml:space="preserve"> Claude (Anthropic) assisted with code and drafting; all decisions and results are the team's own.</w:t>
      </w:r>
    </w:p>
    <w:p>
      <w:r>
        <w:br w:type="page"/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