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on </w:t>
      </w:r>
      <w:r>
        <w:rPr>
          <w:b/>
        </w:rPr>
        <w:t>Rigetti Cepheus-1-108q</w:t>
      </w:r>
      <w:r>
        <w:t xml:space="preserve"> (12 logged cloud jobs; little-endian bit order auto-detected; measured readout errors 2.3%/6.4%): after lattice routing the scale-1 circuit already exceeds the coherence budget (raw feature error 0.261 vs the 0.196 fully-depolarized limit), so folded ZNE cannot recover — measuring on metal exactly the accumulated two-qubit-gate cost §5.4 predicts. A first </w:t>
      </w:r>
      <w:r>
        <w:rPr>
          <w:b/>
        </w:rPr>
        <w:t>IQM Garnet</w:t>
      </w:r>
      <w:r>
        <w:t xml:space="preserve"> reservoir window replicates this regime on a second superconducting vendor (raw 0.238; readout 0.6%/3.6%), while cross-platform execution surfaced a </w:t>
      </w:r>
      <w:r>
        <w:rPr>
          <w:b/>
        </w:rPr>
        <w:t>platform-level finding</w:t>
      </w:r>
      <w:r>
        <w:t xml:space="preserve">: an RY(π)RY(−π) identity pair executed as </w:t>
      </w:r>
      <w:r>
        <w:rPr>
          <w:b/>
        </w:rPr>
        <w:t>net RY(π)</w:t>
      </w:r>
      <w:r>
        <w:t xml:space="preserve"> on the IonQ route — the client-side IonQ JSON provably contained both signed rotations, so negative-angle gates are lost server-side, which would silently corrupt ZNE's negated fold gates. We hardened the emitter (angles mod 2π; diagonal-only |0…0⟩ calibration, exact under </w:t>
      </w:r>
      <w:r>
        <w:rPr>
          <w:i/>
        </w:rPr>
        <w:t>any</w:t>
      </w:r>
      <w:r>
        <w:t xml:space="preserve"> subset of gates executing) and validated the fix on-device: P(|0⁸⟩)=0.996 vs 0.0 pre-fix, with trapped-ion readout ≈0.4%/qubit — the device-class contrast §5.4 anticipates. The full pre-registered 4k-shot Garnet protocol and the decisive routing-free IonQ Forte-1 campaign are funded and in execution under a pre-committed manifest (per-job budget, abort rules: </w:t>
      </w:r>
      <w:r>
        <w:rPr>
          <w:rFonts w:ascii="Courier New" w:hAnsi="Courier New"/>
        </w:rPr>
        <w:t>results/qpu_campaign_manifest.md</w:t>
      </w:r>
      <w:r>
        <w:t xml:space="preserve">; predictions committed before execution: </w:t>
      </w:r>
      <w:r>
        <w:rPr>
          <w:rFonts w:ascii="Courier New" w:hAnsi="Courier New"/>
        </w:rPr>
        <w:t>results/qpu_hardware_findings.md</w:t>
      </w:r>
      <w:r>
        <w:t>).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Hardware execution (Rigetti + first Garnet window, §6) is a </w:t>
      </w:r>
      <w:r>
        <w:rPr>
          <w:b/>
        </w:rPr>
        <w:t>characterized negative</w:t>
      </w:r>
      <w:r>
        <w:t xml:space="preserve"> — scale-1 beyond the coherence budget after routing; mitigation </w:t>
      </w:r>
      <w:r>
        <w:rPr>
          <w:i/>
        </w:rPr>
        <w:t>recovery</w:t>
      </w:r>
      <w:r>
        <w:t xml:space="preserve"> remains unvalidated on hardware (trapped-ion campaign in execution).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the proper baseline — </w:t>
      </w:r>
      <w:r>
        <w:rPr>
          <w:b/>
        </w:rPr>
        <w:t>classical shadows</w:t>
      </w:r>
      <w:r>
        <w:t xml:space="preserve"> (Huang–Kueng–Preskill 2020), now run head-to-head at matched per-state budgets with an ensemble-prior guard — </w:t>
      </w:r>
      <w:r>
        <w:rPr>
          <w:b/>
        </w:rPr>
        <w:t>wins wherever real information is extracted</w:t>
      </w:r>
      <w:r>
        <w:t xml:space="preserve">, including the shadows-hard Tr(ρ³) (nominal QRC "wins" at tiny budgets equal the trivial prior and are discarded; </w:t>
      </w:r>
      <w:r>
        <w:rPr>
          <w:rFonts w:ascii="Courier New" w:hAnsi="Courier New"/>
        </w:rPr>
        <w:t>results/shadows_hard_findings.md</w:t>
      </w:r>
      <w:r>
        <w:t xml:space="preserve">): the quantum-data question is </w:t>
      </w:r>
      <w:r>
        <w:rPr>
          <w:b/>
        </w:rPr>
        <w:t>closed negatively at simulable scale</w:t>
      </w:r>
      <w:r>
        <w:t>; hardware-native many-qubit inputs remain the one untested regime.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(IonQ/IQM/IBM) is simulator-cross-checked (fallback = TN noise emulation).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