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CHIMERA-QRC — Physics Work Package</w:t>
      </w:r>
    </w:p>
    <w:p>
      <w:r>
        <w:rPr>
          <w:b/>
        </w:rPr>
        <w:t>For:</w:t>
      </w:r>
      <w:r>
        <w:t xml:space="preserve"> J. M. Aguiar Hualde (Team EIGENNEXUS) · </w:t>
      </w:r>
      <w:r>
        <w:rPr>
          <w:b/>
        </w:rPr>
        <w:t>Scope:</w:t>
      </w:r>
      <w:r>
        <w:t xml:space="preserve"> every calculation in the Phase-3 program — model definitions, protocols, rationale, assumptions, current hardware status · </w:t>
      </w:r>
      <w:r>
        <w:rPr>
          <w:b/>
        </w:rPr>
        <w:t>Provenance:</w:t>
      </w:r>
      <w:r>
        <w:t xml:space="preserve"> every number in this document traces to a committed artifact in the repository; file pointers are given throughout. All definitions below were re-verified against the code at writing time.</w:t>
      </w:r>
    </w:p>
    <w:p>
      <w:pPr>
        <w:pStyle w:val="Heading1"/>
      </w:pPr>
      <w:r>
        <w:t>1. Program in one paragraph</w:t>
      </w:r>
    </w:p>
    <w:p>
      <w:r>
        <w:t xml:space="preserve">We test whether a small quantum reservoir computer (QRC) — a fixed, untrained quantum dynamical system used as a feature map — offers any advantage over fairly-matched classical methods for forecasting S&amp;P 500 realized volatility (Track A), and we characterize why or why not across simulation, noise models, and three real QPU platforms. The program is pre-registered (hypotheses and thresholds committed before decisive runs), adversarially audited, and its headline is an honest negative with mechanism: </w:t>
      </w:r>
      <w:r>
        <w:rPr>
          <w:b/>
        </w:rPr>
        <w:t>statistical parity with tuned classical baselines, no accuracy win in 12+ fair tests, and a measured hardware coherence-budget failure on superconducting devices</w:t>
      </w:r>
      <w:r>
        <w:t xml:space="preserve"> — with one decisive test (routing-free trapped-ion) in execution now.</w:t>
      </w:r>
    </w:p>
    <w:p>
      <w:pPr>
        <w:pStyle w:val="Heading1"/>
      </w:pPr>
      <w:r>
        <w:t>2. The reservoir: model definitions (verified against `qrc_engine.py`, `qpu_run.py`)</w:t>
      </w:r>
    </w:p>
    <w:p>
      <w:pPr>
        <w:pStyle w:val="Heading2"/>
      </w:pPr>
      <w:r>
        <w:t>2.1 Hamiltonian</w:t>
      </w:r>
    </w:p>
    <w:p>
      <w:r>
        <w:t>Transverse-field Ising on a random graph:</w:t>
      </w:r>
    </w:p>
    <w:p>
      <w:pPr>
        <w:ind w:left="576"/>
      </w:pPr>
      <w:r>
        <w:rPr>
          <w:rFonts w:ascii="Consolas" w:hAnsi="Consolas"/>
          <w:sz w:val="20"/>
        </w:rPr>
        <w:t>H = Σ_{i&lt;j} J_ij Z_i Z_j + h_x Σ_i X_i        (h_z term available, set to 0)</w:t>
      </w:r>
    </w:p>
    <w:p>
      <w:pPr>
        <w:pStyle w:val="ListBullet"/>
      </w:pPr>
      <w:r>
        <w:rPr>
          <w:b/>
        </w:rPr>
        <w:t>Couplings:</w:t>
      </w:r>
      <w:r>
        <w:t xml:space="preserve"> J_ij symmetric, random graph with edge probability (connectivity) </w:t>
      </w:r>
      <w:r>
        <w:rPr>
          <w:b/>
        </w:rPr>
        <w:t>c = 0.5</w:t>
      </w:r>
      <w:r>
        <w:t xml:space="preserve">; on edges, </w:t>
      </w:r>
      <w:r>
        <w:rPr>
          <w:b/>
        </w:rPr>
        <w:t>J_ij ~ Uniform(0.5, 1.5)</w:t>
      </w:r>
      <w:r>
        <w:t xml:space="preserve"> — strictly positive (antiferromagnetic in this sign convention), seeded (</w:t>
      </w:r>
      <w:r>
        <w:rPr>
          <w:rFonts w:ascii="Consolas" w:hAnsi="Consolas"/>
          <w:color w:val="1F4E79"/>
          <w:sz w:val="19"/>
        </w:rPr>
        <w:t>generate_coupling_matrix</w:t>
      </w:r>
      <w:r>
        <w:t>, seed 0 for all hardware work).</w:t>
      </w:r>
    </w:p>
    <w:p>
      <w:pPr>
        <w:pStyle w:val="ListBullet"/>
      </w:pPr>
      <w:r>
        <w:rPr>
          <w:b/>
        </w:rPr>
        <w:t>Transverse field:</w:t>
      </w:r>
      <w:r>
        <w:t xml:space="preserve"> h_x = 1.0.</w:t>
      </w:r>
    </w:p>
    <w:p>
      <w:pPr>
        <w:pStyle w:val="ListBullet"/>
      </w:pPr>
      <w:r>
        <w:rPr>
          <w:b/>
        </w:rPr>
        <w:t>Evolution time:</w:t>
      </w:r>
      <w:r>
        <w:t xml:space="preserve"> τ = 2.0 (single-scale; the engine supports multi-τ, the hardware protocol uses one).</w:t>
      </w:r>
    </w:p>
    <w:p>
      <w:pPr>
        <w:pStyle w:val="ListBullet"/>
      </w:pPr>
      <w:r>
        <w:t xml:space="preserve">n = 8 qubits for all hardware and the core benchmark; sweeps to n = 16 exact (sparse </w:t>
      </w:r>
      <w:r>
        <w:rPr>
          <w:rFonts w:ascii="Consolas" w:hAnsi="Consolas"/>
          <w:color w:val="1F4E79"/>
          <w:sz w:val="19"/>
        </w:rPr>
        <w:t>expm_multiply</w:t>
      </w:r>
      <w:r>
        <w:t>) in simulation.</w:t>
      </w:r>
    </w:p>
    <w:p>
      <w:pPr>
        <w:pStyle w:val="Heading2"/>
      </w:pPr>
      <w:r>
        <w:t>2.2 Input encoding (delay embedding)</w:t>
      </w:r>
    </w:p>
    <w:p>
      <w:r>
        <w:t xml:space="preserve">One volatility lag per qubit: input window w ∈ [0,1]^n (min-max normalized on the training split, clipped), encoded as product-state rotations </w:t>
      </w:r>
      <w:r>
        <w:rPr>
          <w:b/>
        </w:rPr>
        <w:t>RY(π·w_q)|0⟩</w:t>
      </w:r>
      <w:r>
        <w:t xml:space="preserve"> on qubit q. Qubits beyond the input dimension stay |0⟩. This is a static (non-recurrent) reservoir read: state prep → evolve U = e^{-iHτ} → measure. The recurrent variant (V3 studies) carries a persistent density matrix with input-qubit reset each step.</w:t>
      </w:r>
    </w:p>
    <w:p>
      <w:pPr>
        <w:pStyle w:val="Heading2"/>
      </w:pPr>
      <w:r>
        <w:t>2.3 Measurement &amp; features</w:t>
      </w:r>
    </w:p>
    <w:p>
      <w:r>
        <w:t xml:space="preserve">Single measurement setting: all observables are computational-basis-diagonal — </w:t>
      </w:r>
      <w:r>
        <w:rPr>
          <w:b/>
        </w:rPr>
        <w:t>⟨Z_i⟩ (n of them) and ⟨Z_i Z_j⟩ (C(n,2))</w:t>
      </w:r>
      <w:r>
        <w:t xml:space="preserve">, so one shot set yields all n + n(n−1)/2 features (36 at n=8). Features feed a </w:t>
      </w:r>
      <w:r>
        <w:rPr>
          <w:b/>
        </w:rPr>
        <w:t>ridge regression</w:t>
      </w:r>
      <w:r>
        <w:t xml:space="preserve"> readout; in the benchmark the quantum features are nested over the linear/HAR-X block, so the QRC must add value beyond the classical information to win.</w:t>
      </w:r>
    </w:p>
    <w:p>
      <w:pPr>
        <w:pStyle w:val="Heading2"/>
      </w:pPr>
      <w:r>
        <w:t>2.4 Hardware (Trotterized) form — `base_ops`</w:t>
      </w:r>
    </w:p>
    <w:p>
      <w:r>
        <w:t xml:space="preserve">First-order Trotter, </w:t>
      </w:r>
      <w:r>
        <w:rPr>
          <w:b/>
        </w:rPr>
        <w:t>L = 20 layers</w:t>
      </w:r>
      <w:r>
        <w:t xml:space="preserve">, dt = τ/L = 0.1. Per layer: all ZZ terms as CX(i,j)·RZ(2·J_ij·dt)(j)·CX(i,j) [IsingZZ(φ) = exp(−iφ/2 · ZZ) with φ = 2·J_ij·dt], then RX(2·h_x·dt) on every qubit. Circuit size at n=8: </w:t>
      </w:r>
      <w:r>
        <w:rPr>
          <w:b/>
        </w:rPr>
        <w:t>828 gates in expanded native form (440 two-qubit)</w:t>
      </w:r>
      <w:r>
        <w:t xml:space="preserve">; the paper's "≈380 native gates (220 two-qubit)" counts each ZZ interaction as one entangling operation. Trotter systematic at L=20: </w:t>
      </w:r>
      <w:r>
        <w:rPr>
          <w:b/>
        </w:rPr>
        <w:t>max feature deviation ≈ 0.039–0.04</w:t>
      </w:r>
      <w:r>
        <w:t xml:space="preserve"> vs the exact propagator — deliberately kept below hardware-relevant scales and always quoted alongside hardware errors.</w:t>
      </w:r>
    </w:p>
    <w:p>
      <w:r>
        <w:rPr>
          <w:b/>
        </w:rPr>
        <w:t>Equivalence guarantee (`--selftest`):</w:t>
      </w:r>
      <w:r>
        <w:t xml:space="preserve"> an independent QASM interpreter (not the engine, not PennyLane) simulates the emitted string and matches the exact-diagonalization engine to the Trotter systematic (0.0392); ZNE folding (below) is verified as a noiseless identity to ~1e-12. This is the "the QASM we submit IS the reservoir" proof.</w:t>
      </w:r>
    </w:p>
    <w:p>
      <w:r>
        <w:rPr>
          <w:b/>
        </w:rPr>
        <w:t>Angle convention (hardened):</w:t>
      </w:r>
      <w:r>
        <w:t xml:space="preserve"> all rotation angles are emitted </w:t>
      </w:r>
      <w:r>
        <w:rPr>
          <w:b/>
        </w:rPr>
        <w:t>mod 2π</w:t>
      </w:r>
      <w:r>
        <w:t>. Rationale: RY/RZ/RX(θ+2π) = −(same rotation), a global phase, so all measurement statistics are identical — and we measured (see §7.3) that one platform silently mishandles negative angles. ZNE fold circuits contain inverses (negated angles pre-hardening), so this protects the mitigation chain itself.</w:t>
      </w:r>
    </w:p>
    <w:p>
      <w:pPr>
        <w:pStyle w:val="Heading1"/>
      </w:pPr>
      <w:r>
        <w:t>3. Task, data, learning protocol</w:t>
      </w:r>
    </w:p>
    <w:p>
      <w:pPr>
        <w:pStyle w:val="ListBullet"/>
      </w:pPr>
      <w:r>
        <w:rPr>
          <w:b/>
        </w:rPr>
        <w:t>Data:</w:t>
      </w:r>
      <w:r>
        <w:t xml:space="preserve"> S&amp;P 500 realized volatility (5-min RV), log-RV target, horizon 1 day; delay-embedded lags as inputs; sample ends Feb-2020 (2008 crisis in-sample; COVID excluded — a stated limitation, §7 of the paper). Supporting daily-proxy studies (V2) cover cross-asset and COVID windows with the same conclusions.</w:t>
      </w:r>
    </w:p>
    <w:p>
      <w:pPr>
        <w:pStyle w:val="ListBullet"/>
      </w:pPr>
      <w:r>
        <w:rPr>
          <w:b/>
        </w:rPr>
        <w:t>Splits:</w:t>
      </w:r>
      <w:r>
        <w:t xml:space="preserve"> 70% train; </w:t>
      </w:r>
      <w:r>
        <w:rPr>
          <w:b/>
        </w:rPr>
        <w:t>crisis and calm evaluation windows</w:t>
      </w:r>
      <w:r>
        <w:t xml:space="preserve"> are analyzed separately (regime-dependence is part of the pre-registration).</w:t>
      </w:r>
    </w:p>
    <w:p>
      <w:pPr>
        <w:pStyle w:val="ListBullet"/>
      </w:pPr>
      <w:r>
        <w:rPr>
          <w:b/>
        </w:rPr>
        <w:t>Baselines (all tuned, all size-matched):</w:t>
      </w:r>
      <w:r>
        <w:t xml:space="preserve"> HAR-X (the econometric standard — linear in RV aggregates), ESN (echo-state network, recurrent, matched feature count, tuned spectral radius/leak), RFF (random Fourier features — the static-kernel analogue of the QRC's feature map), LSTM (capacity-matched).</w:t>
      </w:r>
    </w:p>
    <w:p>
      <w:pPr>
        <w:pStyle w:val="ListBullet"/>
      </w:pPr>
      <w:r>
        <w:rPr>
          <w:b/>
        </w:rPr>
        <w:t>Statistics:</w:t>
      </w:r>
      <w:r>
        <w:t xml:space="preserve"> Diebold–Mariano tests with HAC variance (Harvey–Leybourne–Newbold small-sample correction), </w:t>
      </w:r>
      <w:r>
        <w:rPr>
          <w:b/>
        </w:rPr>
        <w:t>Holm</w:t>
      </w:r>
      <w:r>
        <w:t xml:space="preserve"> multiple-comparison control, and the </w:t>
      </w:r>
      <w:r>
        <w:rPr>
          <w:b/>
        </w:rPr>
        <w:t>Model Confidence Set</w:t>
      </w:r>
      <w:r>
        <w:t xml:space="preserve"> on the decisive four-model family (result: all four retained in both regimes — formal statistical parity). 8 seeds; s.d. reported.</w:t>
      </w:r>
    </w:p>
    <w:p>
      <w:pPr>
        <w:pStyle w:val="ListBullet"/>
      </w:pPr>
      <w:r>
        <w:rPr>
          <w:b/>
        </w:rPr>
        <w:t>Pre-registration:</w:t>
      </w:r>
      <w:r>
        <w:t xml:space="preserve"> thresholds and hypotheses (H0/H1/H4) locked in </w:t>
      </w:r>
      <w:r>
        <w:rPr>
          <w:rFonts w:ascii="Consolas" w:hAnsi="Consolas"/>
          <w:color w:val="1F4E79"/>
          <w:sz w:val="19"/>
        </w:rPr>
        <w:t>preregistration.py</w:t>
      </w:r>
      <w:r>
        <w:t xml:space="preserve"> before decisive runs; hardware predictions committed before hardware execution (§7.2).</w:t>
      </w:r>
    </w:p>
    <w:p>
      <w:pPr>
        <w:pStyle w:val="Heading1"/>
      </w:pPr>
      <w:r>
        <w:t>4. Simulation experiment catalog — what, why, outcome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Experiment (artifact)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Axis-B benchmark (</w:t>
            </w:r>
            <w:r>
              <w:rPr>
                <w:rFonts w:ascii="Consolas" w:hAnsi="Consolas"/>
                <w:color w:val="1F4E79"/>
                <w:sz w:val="18"/>
              </w:rPr>
              <w:t>axisB_rigorous.py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Does the QRC beat tuned classical baselines on RV, crisis &amp; calm?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Parity.</w:t>
            </w:r>
            <w:r>
              <w:rPr>
                <w:sz w:val="18"/>
              </w:rPr>
              <w:t xml:space="preserve"> No significant wins after HAC-DM+Holm; MCS retains all four models in both windows.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Scaling sweep (</w:t>
            </w:r>
            <w:r>
              <w:rPr>
                <w:rFonts w:ascii="Consolas" w:hAnsi="Consolas"/>
                <w:color w:val="1F4E79"/>
                <w:sz w:val="18"/>
              </w:rPr>
              <w:t>scaling_sweep.py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How do memory curves, spectral gap, feature rank scale with n?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Diagnostics support reservoir validity; no advantage signal.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Information capacity (Dambre IPC, </w:t>
            </w:r>
            <w:r>
              <w:rPr>
                <w:rFonts w:ascii="Consolas" w:hAnsi="Consolas"/>
                <w:color w:val="1F4E79"/>
                <w:sz w:val="18"/>
              </w:rPr>
              <w:t>information_capacity.py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 the quantum feature map more nonlinearly expressive at matched size?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 — slightly less</w:t>
            </w:r>
            <w:r>
              <w:rPr>
                <w:sz w:val="18"/>
              </w:rPr>
              <w:t xml:space="preserve"> than matched RFF/ESN.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Efficiency frontier (</w:t>
            </w:r>
            <w:r>
              <w:rPr>
                <w:rFonts w:ascii="Consolas" w:hAnsi="Consolas"/>
                <w:color w:val="1F4E79"/>
                <w:sz w:val="18"/>
              </w:rPr>
              <w:t>frontier_scaling.py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 a small QRC substitute for a larger classical reservoir? Does classical irreproducibility g grow with n?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No.</w:t>
            </w:r>
            <w:r>
              <w:rPr>
                <w:sz w:val="18"/>
              </w:rPr>
              <w:t xml:space="preserve"> QRC saturates at its qubit ceiling (weather RMSE 0.85 °C vs classical 0.78/0.71 — lower is better); g declines with n (ρ = −0.90) though D_eff and rank grow. Higher dimension ≠ harder to replicate.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MNIST cross-team benchmark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Mandatory cross-team task; PCA(n) encodings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n=12: 0.852, n=15: 0.878 vs ESN 0.884 — competitive, not better.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Noise studies (</w:t>
            </w:r>
            <w:r>
              <w:rPr>
                <w:rFonts w:ascii="Consolas" w:hAnsi="Consolas"/>
                <w:color w:val="1F4E79"/>
                <w:sz w:val="18"/>
              </w:rPr>
              <w:t>noisy_circuit.py</w:t>
            </w:r>
            <w:r>
              <w:rPr>
                <w:sz w:val="18"/>
              </w:rPr>
              <w:t>, per-layer channels)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Where does accumulated two-qubit error kill the reservoir?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Predicts the hardware coherence-budget failure later measured on metal (§7).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Weather negatives (5 stations incl. Denver/Rapid City)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Does the negative generalize across domains and chaoticity (+0–78% unpredictability)?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Negative robust everywhere</w:t>
            </w:r>
            <w:r>
              <w:rPr>
                <w:sz w:val="18"/>
              </w:rPr>
              <w:t>; one statistical tie (Rapid City h=1).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Recurrent VPT (Lorenz-63; Jena/Denver weather)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Autonomous prediction: valid-prediction-time (Lyapunov-normalized) vs matched ESN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QRC below ESN — unitary evolution lacks the contraction behind ESN "generalized synchronization."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Engineered dissipation (</w:t>
            </w:r>
            <w:r>
              <w:rPr>
                <w:rFonts w:ascii="Consolas" w:hAnsi="Consolas"/>
                <w:color w:val="1F4E79"/>
                <w:sz w:val="18"/>
              </w:rPr>
              <w:t>v3_research/dissipative_qrc.py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 deliberate non-unitarity fix #8? Per-step amplitude damping (rate γ) on memory qubits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Mechanism demonstrated:</w:t>
            </w:r>
            <w:r>
              <w:rPr>
                <w:sz w:val="18"/>
              </w:rPr>
              <w:t xml:space="preserve"> pre-registered inverted-U in γ confirmed; VPT +60% (replicated on fresh starts), lifting QRC from clearly-behind to </w:t>
            </w:r>
            <w:r>
              <w:rPr>
                <w:b/>
                <w:sz w:val="18"/>
              </w:rPr>
              <w:t>parity</w:t>
            </w:r>
            <w:r>
              <w:rPr>
                <w:sz w:val="18"/>
              </w:rPr>
              <w:t xml:space="preserve"> with matched ESN — not better. Channel implementation verified against Kraus form to ~1e-17.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Classical shadows head-to-head (</w:t>
            </w:r>
            <w:r>
              <w:rPr>
                <w:rFonts w:ascii="Consolas" w:hAnsi="Consolas"/>
                <w:color w:val="1F4E79"/>
                <w:sz w:val="18"/>
              </w:rPr>
              <w:t>v3_research/shadows_hard_test.py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quantum-data tasks (purity, Tr(ρ³)), does QRC beat the proper baseline (Huang–Kueng–Preskill shadows) at matched per-state budgets?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Shadows win wherever information is extracted.</w:t>
            </w:r>
            <w:r>
              <w:rPr>
                <w:sz w:val="18"/>
              </w:rPr>
              <w:t xml:space="preserve"> Apparent QRC wins at tiny budgets equal the trivial ensemble prior (guarded, discarded). Quantum-data question closed negatively at simulable scale.</w:t>
            </w:r>
          </w:p>
        </w:tc>
      </w:tr>
    </w:tbl>
    <w:p>
      <w:r>
        <w:t>Amplitude damping definition used in #9: per memory qubit per step, Kraus K₀ = diag(1, √(1−γ)), K₁ = γ-amplitude lowering; implemented as a fast sliced-index channel on the density matrix, verified against the explicit Kraus contraction.</w:t>
      </w:r>
    </w:p>
    <w:p>
      <w:pPr>
        <w:pStyle w:val="Heading1"/>
      </w:pPr>
      <w:r>
        <w:t>5. Overall scientific conclusion (committed: `results/OVERALL_QRC_CONCLUSION.md`)</w:t>
      </w:r>
    </w:p>
    <w:p>
      <w:r>
        <w:t xml:space="preserve">Across 12+ fair, size-matched tests spanning finance, weather, images, chaotic systems, and quantum-data tasks: </w:t>
      </w:r>
      <w:r>
        <w:rPr>
          <w:b/>
        </w:rPr>
        <w:t>the QRC wins none on accuracy.</w:t>
      </w:r>
      <w:r>
        <w:t xml:space="preserve"> The surviving true statements: per-feature parity of the static maps; dissipation as a genuine mechanism (noise as a resource); and the untested beyond-frontier regime (&gt;40 qubits, hardware-native inputs) — reported as open, explicitly less encouraged by the within-reach trend (g declines with n).</w:t>
      </w:r>
    </w:p>
    <w:p>
      <w:pPr>
        <w:pStyle w:val="Heading1"/>
      </w:pPr>
      <w:r>
        <w:t>6. Error/estimation budget — the numbers to keep in mind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Term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Shot floor (mean abs feature error)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1/√S: 0.016 @ 4k, 0.022 @ 2k, 0.045 @ 500 shots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binomial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Trotter systematic (L=20)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 0.04 max-feature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selftest vs exact engine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Fold identity (noiseless)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~1e-12–1e-14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selftest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Fully-depolarized reference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0.1958</w:t>
            </w:r>
            <w:r>
              <w:rPr>
                <w:sz w:val="18"/>
              </w:rPr>
              <w:t xml:space="preserve"> mean abs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= mean|F_exact|over the 3 RV windows × 36 observables: a totally scrambled device drives all features → 0, so its error equals the mean feature magnitude. </w:t>
            </w:r>
            <w:r>
              <w:rPr>
                <w:b/>
                <w:sz w:val="18"/>
              </w:rPr>
              <w:t>Measured error above this line ⇒ coherent/structured error, not mere depolarization.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Readout (measured): Rigetti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P(1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0)=2.26%, P(0|1)=6.39%|calibration jobs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Readout: IQM Garnet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0.56% / 3.55%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calibration jobs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Readout: IonQ Forte-1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≈0.4%/qubit (excitation probe); hardened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0⁸⟩ prep measured 498/500|probe + control</w:t>
            </w:r>
          </w:p>
        </w:tc>
      </w:tr>
    </w:tbl>
    <w:p>
      <w:pPr>
        <w:pStyle w:val="Heading1"/>
      </w:pPr>
      <w:r>
        <w:t>7. Hardware program</w:t>
      </w:r>
    </w:p>
    <w:p>
      <w:pPr>
        <w:pStyle w:val="Heading2"/>
      </w:pPr>
      <w:r>
        <w:t>7.1 Protocol anatomy (12 circuits per device; `qpu_run.py`)</w:t>
      </w:r>
    </w:p>
    <w:p>
      <w:pPr>
        <w:pStyle w:val="ListNumber"/>
      </w:pPr>
      <w:r>
        <w:rPr>
          <w:b/>
        </w:rPr>
        <w:t>Orientation probe</w:t>
      </w:r>
      <w:r>
        <w:t xml:space="preserve"> (RY(π) on qubit 0 only): detects bitstring endianness — all three vendors key little-endian through this stack; auto-corrected. Binary question ⇒ 100 shots suffice (</w:t>
      </w:r>
      <w:r>
        <w:rPr>
          <w:rFonts w:ascii="Consolas" w:hAnsi="Consolas"/>
          <w:color w:val="1F4E79"/>
          <w:sz w:val="19"/>
        </w:rPr>
        <w:t>--probe-shots</w:t>
      </w:r>
      <w:r>
        <w:t>).</w:t>
      </w:r>
    </w:p>
    <w:p>
      <w:pPr>
        <w:pStyle w:val="ListNumber"/>
      </w:pPr>
      <w:r>
        <w:rPr>
          <w:b/>
        </w:rPr>
        <w:t>Readout calibration:</w:t>
      </w:r>
      <w:r>
        <w:t xml:space="preserve"> |0…0⟩ prep as </w:t>
      </w:r>
      <w:r>
        <w:rPr>
          <w:b/>
        </w:rPr>
        <w:t>rz-only</w:t>
      </w:r>
      <w:r>
        <w:t xml:space="preserve"> circuit (diagonal ⇒ exact under any subset of gates executing — see §7.3 for why that paranoia is warranted) and |1…1⟩ as RY(π)⊗n. Builds per-qubit 2×2 confusion matrices; mitigation = tensor-product inverse applied to the counts distribution (exact 2^8 inversion — mthree-style approximations unnecessary at n=8).</w:t>
      </w:r>
    </w:p>
    <w:p>
      <w:pPr>
        <w:pStyle w:val="ListNumber"/>
      </w:pPr>
      <w:r>
        <w:rPr>
          <w:b/>
        </w:rPr>
        <w:t>3 RV windows × ZNE fold scales {1,3,5}:</w:t>
      </w:r>
      <w:r>
        <w:t xml:space="preserve"> global folding G(G†G)^k multiplies coherent exposure; linear and Richardson extrapolation to zero noise. </w:t>
      </w:r>
      <w:r>
        <w:rPr>
          <w:b/>
        </w:rPr>
        <w:t>ZNE's validity assumption: scale 1 must be inside the coherence budget</w:t>
      </w:r>
      <w:r>
        <w:t xml:space="preserve"> — the Rigetti run demonstrates what happens when it is not.</w:t>
      </w:r>
    </w:p>
    <w:p>
      <w:pPr>
        <w:pStyle w:val="ListNumber"/>
      </w:pPr>
      <w:r>
        <w:rPr>
          <w:b/>
        </w:rPr>
        <w:t>Classical cross-check:</w:t>
      </w:r>
      <w:r>
        <w:t xml:space="preserve"> every hardware feature vector is scored against the exact engine — |F_hw − F_exact| per stage of the mitigation chain.</w:t>
      </w:r>
    </w:p>
    <w:p>
      <w:r>
        <w:t xml:space="preserve">Ops hardening (all production-tested): job-level checkpointing (completed counts and in-flight job IDs persisted; resume never re-bills), fail-fast on billed "insufficient credits", submit-retry on transient platform failures, per-job provenance: </w:t>
      </w:r>
      <w:r>
        <w:rPr>
          <w:b/>
        </w:rPr>
        <w:t>each job embeds the repo commit hash in the platform's timestamped records</w:t>
      </w:r>
      <w:r>
        <w:t xml:space="preserve"> (hash-preimage argument ⇒ the pre-registration ordering is externally verifiable — no trust in our git dates required).</w:t>
      </w:r>
    </w:p>
    <w:p>
      <w:pPr>
        <w:pStyle w:val="Heading2"/>
      </w:pPr>
      <w:r>
        <w:t>7.2 Pre-registered predictions (committed before execution)</w:t>
      </w:r>
    </w:p>
    <w:p>
      <w:r>
        <w:t xml:space="preserve">Probe-calibrated depolarizing+readout stand-in models predicted the full chains (4k-shot config): Garnet 0.171 → 0.147, IonQ 0.149 → 0.122 (raw → Richardson). Three falsifiable statements: </w:t>
      </w:r>
      <w:r>
        <w:rPr>
          <w:b/>
        </w:rPr>
        <w:t>(i)</w:t>
      </w:r>
      <w:r>
        <w:t xml:space="preserve"> monotone mitigation recovery on both devices; </w:t>
      </w:r>
      <w:r>
        <w:rPr>
          <w:b/>
        </w:rPr>
        <w:t>(ii)</w:t>
      </w:r>
      <w:r>
        <w:t xml:space="preserve"> IonQ raw &lt; superconducting raw; </w:t>
      </w:r>
      <w:r>
        <w:rPr>
          <w:b/>
        </w:rPr>
        <w:t>(iii)</w:t>
      </w:r>
      <w:r>
        <w:t xml:space="preserve"> Garnet measured raw exceeds 0.171 (we chose not to model SWAP routing — the prediction is knowingly optimistic).</w:t>
      </w:r>
    </w:p>
    <w:p>
      <w:pPr>
        <w:pStyle w:val="Heading2"/>
      </w:pPr>
      <w:r>
        <w:t>7.3 Executed so far — results and findings</w:t>
      </w:r>
    </w:p>
    <w:p>
      <w:pPr>
        <w:pStyle w:val="ListBullet"/>
      </w:pPr>
      <w:r>
        <w:rPr>
          <w:b/>
        </w:rPr>
        <w:t>Rigetti Cepheus-1-108q (full protocol, 12 jobs):</w:t>
      </w:r>
      <w:r>
        <w:t xml:space="preserve"> raw 0.261 &gt; depolarized limit 0.196 — after lattice routing (~10³ native 2q gates at scale 1) the circuit is coherently scrambled, not merely noise-flattened; readout mitigation is a no-op (gate ≫ readout error); ZNE cannot recover because scale 1 already exceeds the budget. </w:t>
      </w:r>
      <w:r>
        <w:rPr>
          <w:b/>
        </w:rPr>
        <w:t>(iii)-analog confirmed, (i) refuted on this class</w:t>
      </w:r>
      <w:r>
        <w:t xml:space="preserve"> — a characterized negative that measures exactly what the §4-#6 noise study predicted.</w:t>
      </w:r>
    </w:p>
    <w:p>
      <w:pPr>
        <w:pStyle w:val="ListBullet"/>
      </w:pPr>
      <w:r>
        <w:rPr>
          <w:b/>
        </w:rPr>
        <w:t>IQM Garnet (first window, checkpointed):</w:t>
      </w:r>
      <w:r>
        <w:t xml:space="preserve"> raw 0.238 — same regime, second superconducting vendor; completion (8 circuits) funded and queued.</w:t>
      </w:r>
    </w:p>
    <w:p>
      <w:pPr>
        <w:pStyle w:val="ListBullet"/>
      </w:pPr>
      <w:r>
        <w:rPr>
          <w:b/>
        </w:rPr>
        <w:t>IonQ Forte-1:</w:t>
      </w:r>
      <w:r>
        <w:t xml:space="preserve"> the </w:t>
      </w:r>
      <w:r>
        <w:rPr>
          <w:b/>
        </w:rPr>
        <w:t>negative-angle platform finding</w:t>
      </w:r>
      <w:r>
        <w:t xml:space="preserve">: an RY(π)RY(−π) identity pair executed as </w:t>
      </w:r>
      <w:r>
        <w:rPr>
          <w:b/>
        </w:rPr>
        <w:t>net RY(π)</w:t>
      </w:r>
      <w:r>
        <w:t xml:space="preserve"> (94.8% |1⁸⟩) while the client-side IonQ JSON provably contained both signed rotations — negative-angle rotations are lost server-side. Global-phase-equivalent hardening (mod-2π emission + diagonal calibration) validated on-device: 99.6% |0⁸⟩. Reported to qBraid with reproduction bundle (</w:t>
      </w:r>
      <w:r>
        <w:rPr>
          <w:rFonts w:ascii="Consolas" w:hAnsi="Consolas"/>
          <w:color w:val="1F4E79"/>
          <w:sz w:val="19"/>
        </w:rPr>
        <w:t>results/platform_feedback_bundle/</w:t>
      </w:r>
      <w:r>
        <w:t xml:space="preserve">) — </w:t>
      </w:r>
      <w:r>
        <w:rPr>
          <w:b/>
        </w:rPr>
        <w:t>vendor confirmation pending</w:t>
      </w:r>
      <w:r>
        <w:t>. Full 11-circuit campaign (500-shot config, a disclosed cost deviation from the 4k prediction config) awaits its slot after Garnet.</w:t>
      </w:r>
    </w:p>
    <w:p>
      <w:pPr>
        <w:pStyle w:val="ListBullet"/>
      </w:pPr>
      <w:r>
        <w:t>Also documented: qir-sv cloud simulator reproducibly deviates at n=12 (~9× shot floor) while n≤10 is exact — reported, confirmation pending.</w:t>
      </w:r>
    </w:p>
    <w:p>
      <w:pPr>
        <w:pStyle w:val="Heading2"/>
      </w:pPr>
      <w:r>
        <w:t>7.4 Current campaign state (as of writing)</w:t>
      </w:r>
    </w:p>
    <w:p>
      <w:r>
        <w:t>Campaign A (Garnet native route, 4k shots — the pre-registered config): orientation probe queued awaiting the device availability window; ~6,755 qBraid credits budgeted of a 60k allocation under a pre-committed manifest with abort rules (</w:t>
      </w:r>
      <w:r>
        <w:rPr>
          <w:rFonts w:ascii="Consolas" w:hAnsi="Consolas"/>
          <w:color w:val="1F4E79"/>
          <w:sz w:val="19"/>
        </w:rPr>
        <w:t>results/qpu_campaign_manifest.md</w:t>
      </w:r>
      <w:r>
        <w:t>). Campaign B (IonQ, ≈46k credits) follows sequentially after an explicit go decision, gated on a low-shot smoke test of the fold-5 circuit class (4,140 expanded gates — never yet billed at this length).</w:t>
      </w:r>
    </w:p>
    <w:p>
      <w:pPr>
        <w:pStyle w:val="Heading1"/>
      </w:pPr>
      <w:r>
        <w:t>8. Assumptions register (the honest list)</w:t>
      </w:r>
    </w:p>
    <w:p>
      <w:pPr>
        <w:pStyle w:val="ListNumber"/>
      </w:pPr>
      <w:r>
        <w:rPr>
          <w:b/>
        </w:rPr>
        <w:t>Readout noise model:</w:t>
      </w:r>
      <w:r>
        <w:t xml:space="preserve"> uncorrelated per-qubit confusion (tensor product). Cross-talk readout correlations are not modeled; at n=8 with the measured error rates this is second-order, but it is an assumption.</w:t>
      </w:r>
    </w:p>
    <w:p>
      <w:pPr>
        <w:pStyle w:val="ListNumber"/>
      </w:pPr>
      <w:r>
        <w:rPr>
          <w:b/>
        </w:rPr>
        <w:t>ZNE noise-scaling assumption:</w:t>
      </w:r>
      <w:r>
        <w:t xml:space="preserve"> folding multiplies a time-stationary, gate-proportional noise channel. Violated when scale 1 exceeds the coherence budget (measured on Rigetti) or when noise is strongly coherent.</w:t>
      </w:r>
    </w:p>
    <w:p>
      <w:pPr>
        <w:pStyle w:val="ListNumber"/>
      </w:pPr>
      <w:r>
        <w:rPr>
          <w:b/>
        </w:rPr>
        <w:t>Trotter order/depth fixed</w:t>
      </w:r>
      <w:r>
        <w:t xml:space="preserve"> (first-order, L=20): systematic ≈0.04 accepted and disclosed rather than extrapolated away.</w:t>
      </w:r>
    </w:p>
    <w:p>
      <w:pPr>
        <w:pStyle w:val="ListNumber"/>
      </w:pPr>
      <w:r>
        <w:rPr>
          <w:b/>
        </w:rPr>
        <w:t>Prediction noise model:</w:t>
      </w:r>
      <w:r>
        <w:t xml:space="preserve"> per-2q-gate depolarizing + readout flips, no routing/SWAP modeling (declared before the runs; the basis of statement (iii)); the per-qubit split of prep vs readout error from the excitation probe is not identifiable — attributed to readout.</w:t>
      </w:r>
    </w:p>
    <w:p>
      <w:pPr>
        <w:pStyle w:val="ListNumber"/>
      </w:pPr>
      <w:r>
        <w:rPr>
          <w:b/>
        </w:rPr>
        <w:t>Data limitation:</w:t>
      </w:r>
      <w:r>
        <w:t xml:space="preserve"> RV sample ends Feb-2020; COVID out-of-sample; V2 daily-proxy studies cover it with the same conclusion, at lower data quality.</w:t>
      </w:r>
    </w:p>
    <w:p>
      <w:pPr>
        <w:pStyle w:val="ListNumber"/>
      </w:pPr>
      <w:r>
        <w:rPr>
          <w:b/>
        </w:rPr>
        <w:t>g (kernel irreproducibility) is regularization- and configuration-dependent</w:t>
      </w:r>
      <w:r>
        <w:t xml:space="preserve"> — reported as a qualitative gap only.</w:t>
      </w:r>
    </w:p>
    <w:p>
      <w:pPr>
        <w:pStyle w:val="ListNumber"/>
      </w:pPr>
      <w:r>
        <w:rPr>
          <w:b/>
        </w:rPr>
        <w:t>Distinctness/rank are necessary, not sufficient</w:t>
      </w:r>
      <w:r>
        <w:t xml:space="preserve"> for advantage; conversion beyond the simulable frontier is untested (and the within-reach trend discourages extrapolation).</w:t>
      </w:r>
    </w:p>
    <w:p>
      <w:pPr>
        <w:pStyle w:val="ListNumber"/>
      </w:pPr>
      <w:r>
        <w:rPr>
          <w:b/>
        </w:rPr>
        <w:t>500-shot IonQ config</w:t>
      </w:r>
      <w:r>
        <w:t xml:space="preserve"> is a disclosed deviation from the pre-registered 4k config (cost-driven); decisive claims (monotone recovery, cross-platform ordering) are read from the mean over 108 observables, s.e. ≈ 0.004 — resolvable at 500 shots.</w:t>
      </w:r>
    </w:p>
    <w:p>
      <w:pPr>
        <w:pStyle w:val="Heading1"/>
      </w:pPr>
      <w:r>
        <w:t>9. Where everything lives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4E79"/>
                <w:sz w:val="18"/>
              </w:rPr>
              <w:t>PHASE3_PAPER.md/pdf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5-page submission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4E79"/>
                <w:sz w:val="18"/>
              </w:rPr>
              <w:t>results/qpu_hardware_predictions.md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Pre-registered predictions + calibration inputs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4E79"/>
                <w:sz w:val="18"/>
              </w:rPr>
              <w:t>results/qpu_hardware_findings.md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Rigetti characterized negative, scored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4E79"/>
                <w:sz w:val="18"/>
              </w:rPr>
              <w:t>results/qpu_campaign_manifest.md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60k-credit campaign, per-job budget, abort rules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4E79"/>
                <w:sz w:val="18"/>
              </w:rPr>
              <w:t>results/qpu_ckpt_*.json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Job-level checkpoints (counts + job IDs)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4E79"/>
                <w:sz w:val="18"/>
              </w:rPr>
              <w:t>results/platform_feedback_qbraid.md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1F4E79"/>
                <w:sz w:val="18"/>
              </w:rPr>
              <w:t>_bundle/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Both platform findings with reproduction evidence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4E79"/>
                <w:sz w:val="18"/>
              </w:rPr>
              <w:t>results/OVERALL_QRC_CONCLUSION.md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12-test synthesis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4E79"/>
                <w:sz w:val="18"/>
              </w:rPr>
              <w:t>results/*_findings.md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Per-experiment write-ups (capacity, frontier, dissipation, shadows, …)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4E79"/>
                <w:sz w:val="18"/>
              </w:rPr>
              <w:t>score_campaign.py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Automated prediction-scoring for completed campaigns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1F4E79"/>
                <w:sz w:val="18"/>
              </w:rPr>
              <w:t>tests.py</w:t>
            </w:r>
            <w:r>
              <w:rPr>
                <w:sz w:val="18"/>
              </w:rPr>
              <w:t xml:space="preserve"> (24 checks) · </w:t>
            </w:r>
            <w:r>
              <w:rPr>
                <w:rFonts w:ascii="Consolas" w:hAnsi="Consolas"/>
                <w:color w:val="1F4E79"/>
                <w:sz w:val="18"/>
              </w:rPr>
              <w:t>cli.py reproduce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One-command verification &amp; reproduction</w:t>
            </w:r>
          </w:p>
        </w:tc>
      </w:tr>
    </w:tbl>
    <w:p>
      <w:r>
        <w:rPr>
          <w:b/>
        </w:rPr>
        <w:t>Suggested first checks for a fresh pair of physicist eyes:</w:t>
      </w:r>
      <w:r>
        <w:t xml:space="preserve"> (a) the depolarized-limit argument in §6 — it is load-bearing for the "coherently scrambled, not depolarized" claim; (b) the global-phase argument for mod-2π emission (§2.4) — trivial but everything downstream trusts it; (c) the ZNE validity condition vs the measured Rigetti chain; (d) whether the tensor-product readout model is adequate for Garnet's 3.55% P(0|1) at n=8.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