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jc w:val="both"/>
      </w:pPr>
      <w:r>
        <w:rPr>
          <w:b/>
        </w:rPr>
        <w:t>Vs. prior work.</w:t>
      </w:r>
      <w:r>
        <w:t xml:space="preserve"> The closest study (Li et al. 2025/26 — QRC for realized volatility) presents</w:t>
      </w:r>
    </w:p>
    <w:p>
      <w:pPr>
        <w:jc w:val="both"/>
      </w:pPr>
      <w:r>
        <w:t>the approach as a competitive, noise-resilient *proof-of-concept*; we add the control-hardened,</w:t>
      </w:r>
    </w:p>
    <w:p>
      <w:pPr>
        <w:jc w:val="both"/>
      </w:pPr>
      <w:r>
        <w:t xml:space="preserve">pre-registered evaluation it omits — the decisive </w:t>
      </w:r>
      <w:r>
        <w:rPr>
          <w:b/>
        </w:rPr>
        <w:t>HAR-X</w:t>
      </w:r>
      <w:r>
        <w:t xml:space="preserve"> control, HAC-DM/Holm/MCS, and explicit</w:t>
      </w:r>
    </w:p>
    <w:p>
      <w:pPr>
        <w:jc w:val="both"/>
      </w:pPr>
      <w:r>
        <w:t>capability and per-layer-noise audits — turning an encouraging proof-of-concept into a falsifiable</w:t>
      </w:r>
    </w:p>
    <w:p>
      <w:pPr>
        <w:jc w:val="both"/>
      </w:pPr>
      <w:r>
        <w:t>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 (an all-to-all</w:t>
      </w:r>
    </w:p>
    <w:p>
      <w:pPr>
        <w:jc w:val="both"/>
      </w:pPr>
      <w:r>
        <w:t>reservoir would need ≈720).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125 at n=8, rising to ≈158 at n=10). (g is reported at a fixed ridge</w:t>
      </w:r>
    </w:p>
    <w:p>
      <w:pPr>
        <w:jc w:val="both"/>
      </w:pPr>
      <w:r>
        <w:t>regularization; the qualitative ~15–40× separation over the classical–classical control, not</w:t>
      </w:r>
    </w:p>
    <w:p>
      <w:pPr>
        <w:jc w:val="both"/>
      </w:pPr>
      <w:r>
        <w:t>the exact value, is the claim.) 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both"/>
      </w:pP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>): running the models a finance referee</w:t>
      </w:r>
    </w:p>
    <w:p>
      <w:pPr>
        <w:jc w:val="both"/>
      </w:pPr>
      <w:r>
        <w:t xml:space="preserve">expects —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>, under MSE- *and* QLIKE-loss DM —</w:t>
      </w:r>
    </w:p>
    <w:p>
      <w:pPr>
        <w:jc w:val="both"/>
      </w:pPr>
      <w:r>
        <w:rPr>
          <w:b/>
        </w:rPr>
        <w:t>none beats HAR-X</w:t>
      </w:r>
      <w:r>
        <w:t xml:space="preserve"> (confirming it is a fair, strong stand-in, not a strawman), and CHIMERA ties</w:t>
      </w:r>
    </w:p>
    <w:p>
      <w:pPr>
        <w:jc w:val="both"/>
      </w:pPr>
      <w:r>
        <w:t>the best of them on RMSE with only a *raw, non-Holm-significant* QLIKE/MZ-efficiency edge</w:t>
      </w:r>
    </w:p>
    <w:p>
      <w:pPr>
        <w:jc w:val="both"/>
      </w:pPr>
      <w:r>
        <w:t>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</w:t>
      </w:r>
    </w:p>
    <w:p>
      <w:pPr>
        <w:jc w:val="both"/>
      </w:pPr>
      <w:r>
        <w:t xml:space="preserve">(the benchmark's purpose); a matched ESN </w:t>
      </w:r>
      <w:r>
        <w:rPr>
          <w:b/>
        </w:rPr>
        <w:t>ties or slightly exceeds</w:t>
      </w:r>
      <w:r>
        <w:t xml:space="preserve"> CHIMERA (within ≈1% for</w:t>
      </w:r>
    </w:p>
    <w:p>
      <w:pPr>
        <w:jc w:val="both"/>
      </w:pPr>
      <w:r>
        <w:t xml:space="preserve">n≥8; 2.9% at n=5) — 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— provably, because depolarizing is a uniform Bloch contraction that</w:t>
      </w:r>
    </w:p>
    <w:p>
      <w:pPr>
        <w:jc w:val="both"/>
      </w:pPr>
      <w:r>
        <w:t>per-feature standardization removes exactly (accuracy identical across rates 0.05–0.30) — and</w:t>
      </w:r>
    </w:p>
    <w:p>
      <w:pPr>
        <w:jc w:val="both"/>
      </w:pP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</w:t>
      </w:r>
    </w:p>
    <w:p>
      <w:pPr>
        <w:jc w:val="both"/>
      </w:pPr>
      <w:r>
        <w:t>per-Trotter-layer density-matrix study shows the *converse* — accumulated two-qubit noise *during*</w:t>
      </w:r>
    </w:p>
    <w:p>
      <w:pPr>
        <w:jc w:val="both"/>
      </w:pPr>
      <w:r>
        <w:t xml:space="preserve">evolution is </w:t>
      </w:r>
      <w:r>
        <w:rPr>
          <w:b/>
        </w:rPr>
        <w:t>not</w:t>
      </w:r>
      <w:r>
        <w:t xml:space="preserve"> removed by standardization (standardized feature error grows with rate, vs</w:t>
      </w:r>
    </w:p>
    <w:p>
      <w:pPr>
        <w:jc w:val="both"/>
      </w:pPr>
      <w:r>
        <w:rPr>
          <w:b/>
        </w:rPr>
        <w:t>≈0</w:t>
      </w:r>
      <w:r>
        <w:t xml:space="preserve"> for readout-only depolarizing), so the invariance above is a property of the *readout*, not</w:t>
      </w:r>
    </w:p>
    <w:p>
      <w:pPr>
        <w:jc w:val="both"/>
      </w:pPr>
      <w:r>
        <w:t>a circuit-level noise-robustness claim; accumulated 2-qubit error over the 380-gate circuit is the</w:t>
      </w:r>
    </w:p>
    <w:p>
      <w:pPr>
        <w:jc w:val="both"/>
      </w:pPr>
      <w:r>
        <w:t>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 (peaking near n=14; S is noisier</w:t>
      </w:r>
    </w:p>
    <w:p>
      <w:pPr>
        <w:jc w:val="both"/>
      </w:pPr>
      <w:r>
        <w:t xml:space="preserve">than the rank). The reservoir therefore admits </w:t>
      </w:r>
      <w:r>
        <w:rPr>
          <w:b/>
        </w:rPr>
        <w:t>no low-bond-dimension (MPS/TEBD) shortcut</w:t>
      </w:r>
      <w:r>
        <w:t xml:space="preserve"> —</w:t>
      </w:r>
    </w:p>
    <w:p>
      <w:pPr>
        <w:jc w:val="both"/>
      </w:pPr>
      <w:r>
        <w:t>exact cost stays exponential (full entanglement is *necessary, not sufficient* for true classical</w:t>
      </w:r>
    </w:p>
    <w:p>
      <w:pPr>
        <w:jc w:val="both"/>
      </w:pPr>
      <w:r>
        <w:t>hardness) — the precondition any beyond-frontier advantage would need, even though no advantage</w:t>
      </w:r>
    </w:p>
    <w:p>
      <w:pPr>
        <w:jc w:val="both"/>
      </w:pPr>
      <w:r>
        <w:t xml:space="preserve">appears at the simulable scale we can test. </w:t>
      </w:r>
      <w:r>
        <w:rPr>
          <w:b/>
        </w:rPr>
        <w:t>Capability check (`cli.py run capacity`):</w:t>
      </w:r>
      <w:r>
        <w:t xml:space="preserve"> an</w:t>
      </w:r>
    </w:p>
    <w:p>
      <w:pPr>
        <w:jc w:val="both"/>
      </w:pPr>
      <w:r>
        <w:t>information-processing-capacity probe (Dambre et al. 2012) finds that at matched feature count the</w:t>
      </w:r>
    </w:p>
    <w:p>
      <w:pPr>
        <w:jc w:val="both"/>
      </w:pPr>
      <w:r>
        <w:t xml:space="preserve">quantum reservoir is </w:t>
      </w:r>
      <w:r>
        <w:rPr>
          <w:b/>
        </w:rPr>
        <w:t>not more</w:t>
      </w:r>
      <w:r>
        <w:t xml:space="preserve"> — indeed slightly *less* — nonlinearly expressive than a matched</w:t>
      </w:r>
    </w:p>
    <w:p>
      <w:pPr>
        <w:jc w:val="both"/>
      </w:pPr>
      <w:r>
        <w:t>RFF/ESN, so the negative is not "the task wastes the reservoir's extra expressivity" but "there is</w:t>
      </w:r>
    </w:p>
    <w:p>
      <w:pPr>
        <w:jc w:val="both"/>
      </w:pPr>
      <w:r>
        <w:t>no excess expressivity to exploit at simulable scale." A frontier check (</w:t>
      </w:r>
      <w:r>
        <w:rPr>
          <w:rFonts w:ascii="Courier New" w:hAnsi="Courier New"/>
        </w:rPr>
        <w:t>cli.py run frontier</w:t>
      </w:r>
      <w:r>
        <w:t>) adds</w:t>
      </w:r>
    </w:p>
    <w:p>
      <w:pPr>
        <w:jc w:val="both"/>
      </w:pPr>
      <w:r>
        <w:t xml:space="preserve">that classical-irreproducibility g(n) does </w:t>
      </w:r>
      <w:r>
        <w:rPr>
          <w:b/>
        </w:rPr>
        <w:t>not</w:t>
      </w:r>
      <w:r>
        <w:t xml:space="preserve"> widen toward n=16 under informed encoding (it</w:t>
      </w:r>
    </w:p>
    <w:p>
      <w:pPr>
        <w:jc w:val="both"/>
      </w:pPr>
      <w:r>
        <w:t>declines; D_eff/rank grow but a matched ESN keeps pace) — the simulable-scale evidence does not</w:t>
      </w:r>
    </w:p>
    <w:p>
      <w:pPr>
        <w:jc w:val="both"/>
      </w:pPr>
      <w:r>
        <w:t>point to a gap opening with scale.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qubits, sparse/tensor-network to ≈16, GPU for</w:t>
      </w:r>
    </w:p>
    <w:p>
      <w:pPr>
        <w:jc w:val="both"/>
      </w:pPr>
      <w:r>
        <w:t xml:space="preserve">larger. </w:t>
      </w:r>
      <w:r>
        <w:rPr>
          <w:b/>
        </w:rPr>
        <w:t>Resource estimates</w:t>
      </w:r>
      <w:r>
        <w:t xml:space="preserve"> (gate-Trotter, 20 layers; readout is single-basis because all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are diagonal in the computational basis, so one set of S shots yields </w:t>
      </w:r>
      <w:r>
        <w:rPr>
          <w:b/>
        </w:rPr>
        <w:t>all</w:t>
      </w:r>
    </w:p>
    <w:p>
      <w:pPr>
        <w:jc w:val="both"/>
      </w:pPr>
      <w:r>
        <w:t>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16 (sparse)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~40 min/point</w:t>
            </w:r>
          </w:p>
        </w:tc>
      </w:tr>
    </w:tbl>
    <w:p>
      <w:pPr>
        <w:jc w:val="both"/>
      </w:pPr>
      <w:r>
        <w:t>*(wall-clock is hardware-dependent — measured on a single CPU here; it is an engineering, not a scientific, quantity.)*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>mapping (trapped-ion all-to-all natively supports the arbitrary couplings) — with **ZNE +</w:t>
      </w:r>
    </w:p>
    <w:p>
      <w:pPr>
        <w:jc w:val="both"/>
      </w:pPr>
      <w:r>
        <w:t>measurement mitigation** and a classical cross-check for every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(the classical cross-check we run for every</w:t>
      </w:r>
    </w:p>
    <w:p>
      <w:pPr>
        <w:jc w:val="both"/>
      </w:pPr>
      <w:r>
        <w:t xml:space="preserve">hardware execution), (ii) characterizes the </w:t>
      </w:r>
      <w:r>
        <w:rPr>
          <w:b/>
        </w:rPr>
        <w:t>shot budget</w:t>
      </w:r>
      <w:r>
        <w:t xml:space="preserve"> — mean feature error 0.046 / 0.013</w:t>
      </w:r>
    </w:p>
    <w:p>
      <w:pPr>
        <w:jc w:val="both"/>
      </w:pPr>
      <w:r>
        <w:t>/ 0.0066 at S = 256 / 4k / 16k shots, the ε≈1/√S law, with the gate-Trotter(20) approximation</w:t>
      </w:r>
    </w:p>
    <w:p>
      <w:pPr>
        <w:jc w:val="both"/>
      </w:pPr>
      <w:r>
        <w:t xml:space="preserve">adding ≈0.04 — and (iii) demonstrates </w:t>
      </w:r>
      <w:r>
        <w:rPr>
          <w:b/>
        </w:rPr>
        <w:t>zero-noise extrapolation</w:t>
      </w:r>
      <w:r>
        <w:t xml:space="preserve"> recovering toward the</w:t>
      </w:r>
    </w:p>
    <w:p>
      <w:pPr>
        <w:jc w:val="both"/>
      </w:pPr>
      <w:r>
        <w:t>noiseless value under a depolarizing sweep. It is one flag (</w:t>
      </w:r>
      <w:r>
        <w:rPr>
          <w:rFonts w:ascii="Courier New" w:hAnsi="Courier New"/>
        </w:rPr>
        <w:t>--device</w:t>
      </w:r>
      <w:r>
        <w:t>) from a real backend,</w:t>
      </w:r>
    </w:p>
    <w:p>
      <w:pPr>
        <w:jc w:val="both"/>
      </w:pPr>
      <w:r>
        <w:t>pending qBraid credit allocation. We thus characterize all four challenge axes: reservoir size</w:t>
      </w:r>
    </w:p>
    <w:p>
      <w:pPr>
        <w:jc w:val="both"/>
      </w:pPr>
      <w:r>
        <w:t>(§5.1/5.5), encoding density (§5.2/5.3), shot budget, and noise (§5.4). *(QCi Dirac-3 is the</w:t>
      </w:r>
    </w:p>
    <w:p>
      <w:pPr>
        <w:jc w:val="both"/>
      </w:pPr>
      <w:r>
        <w:t>separate optimization challenge's device.)*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The S&amp;P 500 RV sample ends Feb-2020 — the 2008 GFC</w:t>
      </w:r>
    </w:p>
    <w:p>
      <w:pPr>
        <w:jc w:val="both"/>
      </w:pPr>
      <w:r>
        <w:t>is in-sample, the 2020 COVID shock just outside it; broader assets/periods untested. (iii) Noise is studied on MNIST with single-qubit</w:t>
      </w:r>
    </w:p>
    <w:p>
      <w:pPr>
        <w:jc w:val="both"/>
      </w:pPr>
      <w:r>
        <w:t>channels at the readout; full noisy-circuit and shot-noise simulation is deferred to the QPU</w:t>
      </w:r>
    </w:p>
    <w:p>
      <w:pPr>
        <w:jc w:val="both"/>
      </w:pPr>
      <w:r>
        <w:t>runs. (iv) g is regularization-dependent (we report the qualitative gap, not a tuned value).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Reliable volatility forecasts feed portfolio hedging, dynamic risk limits and derivatives pricing.</w:t>
      </w:r>
    </w:p>
    <w:p>
      <w:pPr>
        <w:jc w:val="both"/>
      </w:pPr>
      <w:r>
        <w:t xml:space="preserve">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>): a volatility-timing backtest that sizes</w:t>
      </w:r>
    </w:p>
    <w:p>
      <w:pPr>
        <w:jc w:val="both"/>
      </w:pPr>
      <w:r>
        <w:t>S&amp;P-500 exposure by the one-step RV forecast **nearly halves the max drawdown in the 2008 crisis</w:t>
      </w:r>
    </w:p>
    <w:p>
      <w:pPr>
        <w:jc w:val="both"/>
      </w:pPr>
      <w:r>
        <w:t>(−61%→−32%)</w:t>
      </w:r>
      <w:r>
        <w:rPr>
          <w:b/>
        </w:rPr>
        <w:t xml:space="preserve"> at a 10% vol target — a deployable risk lever — but a </w:t>
      </w:r>
      <w:r>
        <w:t>plain HAR** forecast captures</w:t>
      </w:r>
    </w:p>
    <w:p>
      <w:pPr>
        <w:jc w:val="both"/>
      </w:pPr>
      <w:r>
        <w:t xml:space="preserve">it, and rich features *and* the quantum reservoir add </w:t>
      </w:r>
      <w:r>
        <w:rPr>
          <w:b/>
        </w:rPr>
        <w:t>no</w:t>
      </w:r>
      <w:r>
        <w:t xml:space="preserve"> economic value (negative</w:t>
      </w:r>
    </w:p>
    <w:p>
      <w:pPr>
        <w:jc w:val="both"/>
      </w:pPr>
      <w:r>
        <w:t>certainty-equivalent fees). So the credible *negative* is decision-useful: the near-term lever is</w:t>
      </w:r>
    </w:p>
    <w:p>
      <w:pPr>
        <w:jc w:val="both"/>
      </w:pPr>
      <w:r>
        <w:rPr>
          <w:b/>
        </w:rPr>
        <w:t>vol-timing on a simple realized-variance forecast, not quantum hardware</w:t>
      </w:r>
      <w:r>
        <w:t xml:space="preserve">. </w:t>
      </w:r>
      <w:r>
        <w:rPr>
          <w:b/>
        </w:rPr>
        <w:t>Milestone plan:</w:t>
      </w:r>
      <w:r>
        <w:t xml:space="preserve"> (i) pre-register ✓; (ii) scaling +</w:t>
      </w:r>
    </w:p>
    <w:p>
      <w:pPr>
        <w:jc w:val="both"/>
      </w:pPr>
      <w:r>
        <w:t>encoding-density sweeps ✓; (iii) adversarial HAR-X/ESN/RFF test ✓; (iv) MNIST + noise ✓;</w:t>
      </w:r>
    </w:p>
    <w:p>
      <w:pPr>
        <w:jc w:val="both"/>
      </w:pPr>
      <w:r>
        <w:t>(v) sparse/TN frontier + bond dimension ✓; (vi) gate-Trotter QPU validation (IonQ/IQM/IBM) —</w:t>
      </w:r>
    </w:p>
    <w:p>
      <w:pPr>
        <w:jc w:val="both"/>
      </w:pPr>
      <w:r>
        <w:t xml:space="preserve">simulator cross-checked; fallback = TN + density-matrix noise emulation.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formulations,</w:t>
      </w:r>
    </w:p>
    <w:p>
      <w:pPr>
        <w:jc w:val="both"/>
      </w:pPr>
      <w:r>
        <w:t>decisions, and results are the team's own, produced by executing team code on public data.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(arXiv:2407.02553) · Zhu et al. 2025 (PRR 7, 023290) · Ahmed, Tennie &amp;</w:t>
      </w:r>
    </w:p>
    <w:p>
      <w:pPr>
        <w:jc w:val="both"/>
      </w:pPr>
      <w:r>
        <w:t>Magri 2025 (Proc. R. Soc. A 481) · Li et al. 2025 (arXiv:2505.13933) · Tandon et al. 2025</w:t>
      </w:r>
    </w:p>
    <w:p>
      <w:pPr>
        <w:jc w:val="both"/>
      </w:pPr>
      <w:r>
        <w:t>(arXiv:2505.22837) · Hou et al. 2025 (arXiv:2508.12383) · Čindrak et al. 2026 (arXiv:2603.21371)</w:t>
      </w:r>
    </w:p>
    <w:p>
      <w:pPr>
        <w:jc w:val="both"/>
      </w:pPr>
      <w:r>
        <w:t>· Antoncich et al. 2026 (arXiv:2602.14641) · Kobayashi &amp; Motome 2026 (PRL 136, 040602) · Huang</w:t>
      </w:r>
    </w:p>
    <w:p>
      <w:pPr>
        <w:jc w:val="both"/>
      </w:pPr>
      <w:r>
        <w:t>et al. 2021 (Nat. Commun. 12, 2631) · Corsi 2009 · Patton 2011 · Hansen, Lunde &amp; Nason 2011 ·</w:t>
      </w:r>
    </w:p>
    <w:p>
      <w:pPr>
        <w:jc w:val="both"/>
      </w:pPr>
      <w:r>
        <w:t>Diebold &amp; Mariano 1995 · Bollerslev 1986 · Jaeger 2001 · 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