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limit; a 4k-shot replication measured 0.223 — the beyond-limit regime is stable under day-scale drift, ZNE recovering only marginally to 0.217)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executed: on Garnet, </w:t>
      </w:r>
      <w:r>
        <w:rPr>
          <w:b/>
        </w:rPr>
        <w:t>n=10 raw 0.159 &lt; limit 0.179 and n=12 raw 0.190 &lt; limit 0.214</w:t>
      </w:r>
      <w:r>
        <w:t xml:space="preserve"> — two </w:t>
      </w:r>
      <w:r>
        <w:rPr>
          <w:b/>
        </w:rPr>
        <w:t>signal-bearing superconducting runs</w:t>
      </w:r>
      <w:r>
        <w:t xml:space="preserve">, refuting our own statements S1/S2 — while a </w:t>
      </w:r>
      <w:r>
        <w:rPr>
          <w:b/>
        </w:rPr>
        <w:t>same-session n=8 anchor</w:t>
      </w:r>
      <w:r>
        <w:t xml:space="preserve"> (interleaved jobs, matching calibration fingerprint) measured 0.222 ≥ 0.196: by the decision rule pre-committed in the manifest </w:t>
      </w:r>
      <w:r>
        <w:rPr>
          <w:i/>
        </w:rPr>
        <w:t>before</w:t>
      </w:r>
      <w:r>
        <w:t xml:space="preserve"> execution, the size effect is </w:t>
      </w:r>
      <w:r>
        <w:rPr>
          <w:b/>
        </w:rPr>
        <w:t>real and drift-controlled</w:t>
      </w:r>
      <w:r>
        <w:t xml:space="preserve">; the mechanism (instance structure vs lattice embedding) is honestly open. Finally, </w:t>
      </w:r>
      <w:r>
        <w:rPr>
          <w:b/>
        </w:rPr>
        <w:t>IQM Emerald</w:t>
      </w:r>
      <w:r>
        <w:t xml:space="preserve"> (54q, newer generation) at n=8 measured </w:t>
      </w:r>
      <w:r>
        <w:rPr>
          <w:b/>
        </w:rPr>
        <w:t>raw 0.179 &lt; 0.196</w:t>
      </w:r>
      <w:r>
        <w:t xml:space="preserve"> — signal-bearing at the very size Garnet scrambles (S3b refuted high) — and a pre-registered </w:t>
      </w:r>
      <w:r>
        <w:rPr>
          <w:b/>
        </w:rPr>
        <w:t>same-window pair</w:t>
      </w:r>
      <w:r>
        <w:t xml:space="preserve"> (both chips on the clock simultaneously) reproduced the split, Emerald 0.169 vs Garnet 0.231: the wall is </w:t>
      </w:r>
      <w:r>
        <w:rPr>
          <w:b/>
        </w:rPr>
        <w:t>generation-dependent at fixed size, temporally controlled</w:t>
      </w:r>
      <w:r>
        <w:t>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at n=8 (Rigetti twice + Garnet, §6) is a </w:t>
      </w:r>
      <w:r>
        <w:rPr>
          <w:b/>
        </w:rPr>
        <w:t>characterized negative</w:t>
      </w:r>
      <w:r>
        <w:t xml:space="preserve"> — scale-1 beyond the coherence budget after routing on both days (raw 0.261→0.223 across a replication: day-scale drift exceeds shot noise; regime, not point value, is the robust claim) — while Garnet at n=10/n=12 and Emerald at n=8 landed </w:t>
      </w:r>
      <w:r>
        <w:rPr>
          <w:i/>
        </w:rPr>
        <w:t>inside</w:t>
      </w:r>
      <w:r>
        <w:t xml:space="preserve"> their limits with the same-session Garnet n=8 anchor beyond: the wall is size/instance- and generation-dependent, not absolute, with the mechanism unresolved. The trapped-ion run is signal-bearing, but mitigation </w:t>
      </w:r>
      <w:r>
        <w:rPr>
          <w:i/>
        </w:rPr>
        <w:t>recovery</w:t>
      </w:r>
      <w:r>
        <w:t xml:space="preserve"> on hardware is at best marginal (Richardson 0.223→0.217 on the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