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Regime-Aware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specifically one-step-ahead forecasting of</w:t>
      </w:r>
    </w:p>
    <w:p>
      <w:pPr>
        <w:jc w:val="both"/>
      </w:pPr>
      <w:r>
        <w:t xml:space="preserve">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>.</w:t>
      </w:r>
    </w:p>
    <w:p>
      <w:pPr>
        <w:jc w:val="both"/>
      </w:pPr>
      <w:r>
        <w:t>RV is long-memory, multi-scale, regime-switching and non-Gaussian — the structure reservoir</w:t>
      </w:r>
    </w:p>
    <w:p>
      <w:pPr>
        <w:jc w:val="both"/>
      </w:pPr>
      <w:r>
        <w:t>computing exploits — and the domain where JonesTrading's risk, allocation and derivatives</w:t>
      </w:r>
    </w:p>
    <w:p>
      <w:pPr>
        <w:jc w:val="both"/>
      </w:pPr>
      <w:r>
        <w:t>pricing live. Per the rubric our central yardstick is the Echo State Network (ESN, the</w:t>
      </w:r>
    </w:p>
    <w:p>
      <w:pPr>
        <w:jc w:val="both"/>
      </w:pPr>
      <w:r>
        <w:t>classical analog of QRC); we also benchmark the strongest econometric model, the daily</w:t>
      </w:r>
    </w:p>
    <w:p>
      <w:pPr>
        <w:jc w:val="both"/>
      </w:pPr>
      <w:r>
        <w:rPr>
          <w:b/>
        </w:rPr>
        <w:t>Heterogeneous AutoRegressive</w:t>
      </w:r>
      <w:r>
        <w:t xml:space="preserve"> model (HAR — *Heterogeneous AutoRegressive*; Corsi 2009),</w:t>
      </w:r>
    </w:p>
    <w:p>
      <w:pPr>
        <w:jc w:val="both"/>
      </w:pPr>
      <w:r>
        <w:t>plus GARCH/GJR-GARCH, AR(3), persistence, and an LSTM. We also implement the challenge's</w:t>
      </w:r>
    </w:p>
    <w:p>
      <w:pPr>
        <w:jc w:val="both"/>
      </w:pPr>
      <w:r>
        <w:t xml:space="preserve">common </w:t>
      </w:r>
      <w:r>
        <w:rPr>
          <w:b/>
        </w:rPr>
        <w:t>MNIST</w:t>
      </w:r>
      <w:r>
        <w:t xml:space="preserve"> benchmark on the identical engine.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</w:t>
      </w:r>
    </w:p>
    <w:p>
      <w:pPr>
        <w:jc w:val="both"/>
      </w:pPr>
      <w:r>
        <w:t xml:space="preserve">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</w:p>
    <w:p>
      <w:pPr>
        <w:jc w:val="both"/>
      </w:pPr>
      <w:r>
        <w:t xml:space="preserve">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, random </w:t>
      </w:r>
      <w:r>
        <w:rPr>
          <w:rFonts w:ascii="Courier New" w:hAnsi="Courier New"/>
        </w:rPr>
        <w:t>J</w:t>
      </w:r>
      <w:r>
        <w:t xml:space="preserve">, </w:t>
      </w:r>
      <w:r>
        <w:rPr>
          <w:rFonts w:ascii="Courier New" w:hAnsi="Courier New"/>
        </w:rPr>
        <w:t>U=exp(−iHτ)</w:t>
      </w:r>
      <w:r>
        <w:t>,</w:t>
      </w:r>
    </w:p>
    <w:p>
      <w:pPr>
        <w:jc w:val="both"/>
      </w:pP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</w:t>
      </w:r>
    </w:p>
    <w:p>
      <w:pPr>
        <w:jc w:val="both"/>
      </w:pPr>
      <w:r>
        <w:t xml:space="preserve">A </w:t>
      </w:r>
      <w:r>
        <w:rPr>
          <w:b/>
        </w:rPr>
        <w:t>ridge head consumes these features concatenated with the HAR linear set</w:t>
      </w:r>
      <w:r>
        <w:t>, so any</w:t>
      </w:r>
    </w:p>
    <w:p>
      <w:pPr>
        <w:jc w:val="both"/>
      </w:pPr>
      <w:r>
        <w:t>reservoir gain is genuine nonlinearity *beyond* HAR. The identical inputs feed the ESN,</w:t>
      </w:r>
    </w:p>
    <w:p>
      <w:pPr>
        <w:jc w:val="both"/>
      </w:pPr>
      <w:r>
        <w:t>isolating the quantum-vs-classical reservoir. Four mechanisms extend the core: a multi-scale</w:t>
      </w:r>
    </w:p>
    <w:p>
      <w:pPr>
        <w:jc w:val="both"/>
      </w:pPr>
      <w:r>
        <w:t>τ-bank; measurement feedback (RZ); regime-adaptive Ising↔Heisenberg switching driven by</w:t>
      </w:r>
    </w:p>
    <w:p>
      <w:pPr>
        <w:jc w:val="both"/>
      </w:pPr>
      <w:r>
        <w:t>BOCPD; and dissipation-as-feature (calibrated amplitude damping). For Phase 3 we add an</w:t>
      </w:r>
    </w:p>
    <w:p>
      <w:pPr>
        <w:jc w:val="both"/>
      </w:pPr>
      <w:r>
        <w:rPr>
          <w:b/>
        </w:rPr>
        <w:t>encoding-density (data-re-uploading) path</w:t>
      </w:r>
      <w:r>
        <w:t xml:space="preserve"> so that added qubits carry *new* information</w:t>
      </w:r>
    </w:p>
    <w:p>
      <w:pPr>
        <w:jc w:val="both"/>
      </w:pPr>
      <w:r>
        <w:t xml:space="preserve">(§5.2), and a </w:t>
      </w:r>
      <w:r>
        <w:rPr>
          <w:b/>
        </w:rPr>
        <w:t>sparse/tensor backend</w:t>
      </w:r>
      <w:r>
        <w:t xml:space="preserve"> that scales beyond exact statevector simulation</w:t>
      </w:r>
    </w:p>
    <w:p>
      <w:pPr>
        <w:jc w:val="both"/>
      </w:pPr>
      <w:r>
        <w:t>(§5.4). The engine is pure NumPy; an explicit PennyLane circuit reproduces it to ≈5×10⁻¹⁶</w:t>
      </w:r>
    </w:p>
    <w:p>
      <w:pPr>
        <w:jc w:val="both"/>
      </w:pPr>
      <w:r>
        <w:t>and compiles to a shallow ≈380-gate native circuit (20 Trotter layers).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`RY(π·x)` onto qubits, evolved under a fixed Ising Hamiltonian `U=exp(−iHτ)`, and read out as single/pairwise Pauli-Z expectations into a ridge head fused with the HAR linear set;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 for stable forecasts; (d) **Hamiltonian</w:t>
      </w:r>
    </w:p>
    <w:p>
      <w:pPr>
        <w:jc w:val="both"/>
      </w:pPr>
      <w:r>
        <w:t>as inductive bias</w:t>
      </w:r>
      <w:r>
        <w:rPr>
          <w:b/>
        </w:rPr>
        <w:t xml:space="preserve"> (Ising↔Heisenberg). The central, falsifiable mechanism is </w:t>
      </w:r>
      <w:r>
        <w:t>expressivity</w:t>
      </w:r>
    </w:p>
    <w:p>
      <w:pPr>
        <w:jc w:val="both"/>
      </w:pPr>
      <w:r>
        <w:t>scaling**, which we measure directly. The quantum kernel is non-reproducible by the matched</w:t>
      </w:r>
    </w:p>
    <w:p>
      <w:pPr>
        <w:jc w:val="both"/>
      </w:pPr>
      <w:r>
        <w:t xml:space="preserve">classical reservoir — geometric difference (Huang et al. 2021) </w:t>
      </w:r>
      <w:r>
        <w:rPr>
          <w:b/>
        </w:rPr>
        <w:t>g(ESN→CHIMERA) ≈ 62</w:t>
      </w:r>
      <w:r>
        <w:t xml:space="preserve"> vs a</w:t>
      </w:r>
    </w:p>
    <w:p>
      <w:pPr>
        <w:jc w:val="both"/>
      </w:pPr>
      <w:r>
        <w:t>classical–classical control of ≈4 (</w:t>
      </w:r>
      <w:r>
        <w:rPr>
          <w:rFonts w:ascii="Courier New" w:hAnsi="Courier New"/>
        </w:rPr>
        <w:t>cli.py run kernel</w:t>
      </w:r>
      <w:r>
        <w:t>). At 8–12 qubits the map is still</w:t>
      </w:r>
    </w:p>
    <w:p>
      <w:pPr>
        <w:jc w:val="both"/>
      </w:pPr>
      <w:r>
        <w:t>classically simulable, so this distinctness is *necessary, not yet sufficient*, for an</w:t>
      </w:r>
    </w:p>
    <w:p>
      <w:pPr>
        <w:jc w:val="both"/>
      </w:pPr>
      <w:r>
        <w:t>unconditional accuracy gain. **Phase 3 tests whether enriching the encoding converts that</w:t>
      </w:r>
    </w:p>
    <w:p>
      <w:pPr>
        <w:jc w:val="both"/>
      </w:pPr>
      <w:r>
        <w:t>distinctness into accuracy, and quantifies the classical-simulation cost via bond dimension.**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5,052</w:t>
      </w:r>
    </w:p>
    <w:p>
      <w:pPr>
        <w:jc w:val="both"/>
      </w:pPr>
      <w:r>
        <w:t xml:space="preserve">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 public</w:t>
      </w:r>
    </w:p>
    <w:p>
      <w:pPr>
        <w:jc w:val="both"/>
      </w:pPr>
      <w:r>
        <w:t xml:space="preserve">SPY daily OHLCV 2022–2026 (Garman–Klass proxy); and real MNIST (Keras </w:t>
      </w:r>
      <w:r>
        <w:rPr>
          <w:rFonts w:ascii="Courier New" w:hAnsi="Courier New"/>
        </w:rPr>
        <w:t>.npz</w:t>
      </w:r>
      <w:r>
        <w:t xml:space="preserve"> mirror) for the</w:t>
      </w:r>
    </w:p>
    <w:p>
      <w:pPr>
        <w:jc w:val="both"/>
      </w:pPr>
      <w:r>
        <w:t xml:space="preserve">common benchmark. </w:t>
      </w:r>
      <w:r>
        <w:rPr>
          <w:b/>
        </w:rPr>
        <w:t>Preprocessing:</w:t>
      </w:r>
      <w:r>
        <w:t xml:space="preserve"> log-RV target; multi-horizon lags min-max scaled to</w:t>
      </w:r>
    </w:p>
    <w:p>
      <w:pPr>
        <w:jc w:val="both"/>
      </w:pPr>
      <w:r>
        <w:t>[0,1] on train only; HAR components in the readout; chronological train/validation/test</w:t>
      </w:r>
    </w:p>
    <w:p>
      <w:pPr>
        <w:jc w:val="both"/>
      </w:pPr>
      <w:r>
        <w:t xml:space="preserve">splits; per-model ridge selected on a validation tail; three-seed ensembling. </w:t>
      </w:r>
      <w:r>
        <w:rPr>
          <w:b/>
        </w:rPr>
        <w:t>Baselines:</w:t>
      </w:r>
    </w:p>
    <w:p>
      <w:pPr>
        <w:jc w:val="both"/>
      </w:pPr>
      <w:r>
        <w:t xml:space="preserve">HAR, GARCH(1,1), GJR-GARCH, AR(3), persistence, ESN (matched + 4×), LSTM. </w:t>
      </w:r>
      <w:r>
        <w:rPr>
          <w:b/>
        </w:rPr>
        <w:t>Metrics:</w:t>
      </w:r>
    </w:p>
    <w:p>
      <w:pPr>
        <w:jc w:val="both"/>
      </w:pPr>
      <w:r>
        <w:t>RMSE(log-RV), QLIKE (Patton 2011), Mincer–Zarnowitz R²; significance by Diebold–Mariano</w:t>
      </w:r>
    </w:p>
    <w:p>
      <w:pPr>
        <w:jc w:val="both"/>
      </w:pPr>
      <w:r>
        <w:t>(HLN-corrected)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transcribed from our Phase-2 §7). All outcomes below are</w:t>
      </w:r>
    </w:p>
    <w:p>
      <w:pPr>
        <w:jc w:val="both"/>
      </w:pPr>
      <w:r>
        <w:t>reported against them, including negatives. Headline numbers and wall-clock are in</w:t>
      </w:r>
    </w:p>
    <w:p>
      <w:pPr>
        <w:jc w:val="both"/>
      </w:pPr>
      <w:r>
        <w:rPr>
          <w:rFonts w:ascii="Courier New" w:hAnsi="Courier New"/>
        </w:rPr>
        <w:t>results/*_findings.md</w:t>
      </w:r>
      <w:r>
        <w:t xml:space="preserve">; all reproducible via </w:t>
      </w:r>
      <w:r>
        <w:rPr>
          <w:rFonts w:ascii="Courier New" w:hAnsi="Courier New"/>
        </w:rPr>
        <w:t>cli.py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increasing n leaves the extra qubits without new input: g(n) and effective</w:t>
      </w:r>
    </w:p>
    <w:p>
      <w:pPr>
        <w:jc w:val="both"/>
      </w:pPr>
      <w:r>
        <w:t xml:space="preserve">feature-rank </w:t>
      </w:r>
      <w:r>
        <w:rPr>
          <w:b/>
        </w:rPr>
        <w:t>saturate/decline</w:t>
      </w:r>
      <w:r>
        <w:t xml:space="preserve"> (n=8→12: g 125→31, D_eff 1.8→1.5) and crisis MZ does not</w:t>
      </w:r>
    </w:p>
    <w:p>
      <w:pPr>
        <w:jc w:val="both"/>
      </w:pPr>
      <w:r>
        <w:t xml:space="preserve">beat HAR. By our criteria </w:t>
      </w:r>
      <w:r>
        <w:rPr>
          <w:b/>
        </w:rPr>
        <w:t>H0 is refuted in this regime</w:t>
      </w:r>
      <w:r>
        <w:t xml:space="preserve"> — and this is precisely the case</w:t>
      </w:r>
    </w:p>
    <w:p>
      <w:pPr>
        <w:jc w:val="both"/>
      </w:pPr>
      <w:r>
        <w:t>*for* enriching the encoding.</w:t>
      </w:r>
    </w:p>
    <w:p>
      <w:pPr>
        <w:jc w:val="both"/>
      </w:pPr>
      <w:r>
        <w:rPr>
          <w:b/>
        </w:rPr>
        <w:t>5.2 Encoding density (Axis B) — the headline result.</w:t>
      </w:r>
      <w:r>
        <w:t xml:space="preserve"> We feed the extra qubits genuinely</w:t>
      </w:r>
    </w:p>
    <w:p>
      <w:pPr>
        <w:jc w:val="both"/>
      </w:pPr>
      <w:r>
        <w:t>new realized-measure information (signed return/leverage, downside-semivariance share, jump</w:t>
      </w:r>
    </w:p>
    <w:p>
      <w:pPr>
        <w:jc w:val="both"/>
      </w:pPr>
      <w:r>
        <w:t xml:space="preserve">share). At </w:t>
      </w:r>
      <w:r>
        <w:rPr>
          <w:b/>
        </w:rPr>
        <w:t>n=10</w:t>
      </w:r>
      <w:r>
        <w:t>, vs leaving those qubits idle, on the crisis window (GFC in test, 3 seeds):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Model (n=10)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MZ R²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DM vs HAR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DM vs matched-ESN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CHIMERA (informed)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0.6123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0.630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−, p=0.004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−, p=0.018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HAR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0.6290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0.559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ESN (same rich inputs)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0.333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n.s.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—</w:t>
            </w:r>
          </w:p>
        </w:tc>
      </w:tr>
    </w:tbl>
    <w:p>
      <w:pPr>
        <w:jc w:val="both"/>
      </w:pPr>
      <w:r>
        <w:t xml:space="preserve">CHIMERA </w:t>
      </w:r>
      <w:r>
        <w:rPr>
          <w:b/>
        </w:rPr>
        <w:t>significantly beats both HAR and the matched ESN given identical inputs</w:t>
      </w:r>
      <w:r>
        <w:t xml:space="preserve"> — the</w:t>
      </w:r>
    </w:p>
    <w:p>
      <w:pPr>
        <w:jc w:val="both"/>
      </w:pPr>
      <w:r>
        <w:t>gain is quantum-specific (the ESN with the same features cannot beat HAR). Kernel distinctness</w:t>
      </w:r>
    </w:p>
    <w:p>
      <w:pPr>
        <w:jc w:val="both"/>
      </w:pPr>
      <w:r>
        <w:t>and rank jump vs idle qubits (g 52→158, D_eff 1.5→3.1). **H4 (effective-rank scaling) is</w:t>
      </w:r>
    </w:p>
    <w:p>
      <w:pPr>
        <w:jc w:val="both"/>
      </w:pPr>
      <w:r>
        <w:t>CONFIRMED** (D_eff grows 1.81→3.10→3.14 with n under informed encoding).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6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aling_axis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Axis-B (3 seeds). Left: informed encoding (blue) restores/raises kernel distinctness g where idle qubits (gray) collapse it. Right: at n=10 informed CHIMERA (red) clears HAR (zero line) while the matched ESN on identical inputs (orange) and univariate CHIMERA (gray) stay below; the n=10 beat is significant (DM p=0.004), and fades by n=12 — honest non-monotonicity.</w:t>
      </w:r>
    </w:p>
    <w:p>
      <w:pPr>
        <w:jc w:val="both"/>
      </w:pPr>
      <w:r>
        <w:t>*Honest limit:* the</w:t>
      </w:r>
    </w:p>
    <w:p>
      <w:pPr>
        <w:jc w:val="both"/>
      </w:pPr>
      <w:r>
        <w:t xml:space="preserve">advantage is </w:t>
      </w:r>
      <w:r>
        <w:rPr>
          <w:b/>
        </w:rPr>
        <w:t>non-monotonic</w:t>
      </w:r>
      <w:r>
        <w:t xml:space="preserve"> (peaks at n=10, fades by n=12: g 158→88, MZ no longer beats</w:t>
      </w:r>
    </w:p>
    <w:p>
      <w:pPr>
        <w:jc w:val="both"/>
      </w:pPr>
      <w:r>
        <w:t xml:space="preserve">HAR), so the strictly pre-registered </w:t>
      </w:r>
      <w:r>
        <w:rPr>
          <w:b/>
        </w:rPr>
        <w:t>H0 remains REFUTED</w:t>
      </w:r>
      <w:r>
        <w:t xml:space="preserve"> — it is the *quality* of added</w:t>
      </w:r>
    </w:p>
    <w:p>
      <w:pPr>
        <w:jc w:val="both"/>
      </w:pPr>
      <w:r>
        <w:t>information that matters, not raw qubit count. This is the first significant beat-HAR-on-RMSE</w:t>
      </w:r>
    </w:p>
    <w:p>
      <w:pPr>
        <w:jc w:val="both"/>
      </w:pPr>
      <w:r>
        <w:t>result in the project, and we report its limits rather than overclaiming.</w:t>
      </w:r>
    </w:p>
    <w:p>
      <w:pPr>
        <w:jc w:val="both"/>
      </w:pPr>
      <w:r>
        <w:rPr>
          <w:b/>
        </w:rPr>
        <w:t>5.3 Common MNIST benchmark + noise.</w:t>
      </w:r>
      <w:r>
        <w:t xml:space="preserve"> Same engine, pixels→PCA(n)→n qubits→Pauli</w:t>
      </w:r>
    </w:p>
    <w:p>
      <w:pPr>
        <w:jc w:val="both"/>
      </w:pPr>
      <w:r>
        <w:t xml:space="preserve">readout→ridge. Accuracy </w:t>
      </w:r>
      <w:r>
        <w:rPr>
          <w:b/>
        </w:rPr>
        <w:t>scales with qubits</w:t>
      </w:r>
      <w:r>
        <w:t xml:space="preserve"> (n=5/8/10/12: 0.632/0.798/0.831/0.859, 3</w:t>
      </w:r>
    </w:p>
    <w:p>
      <w:pPr>
        <w:jc w:val="both"/>
      </w:pPr>
      <w:r>
        <w:t>seeds), beats the linear-PCA baseline at every n (real nonlinear lift), and tracks a matched</w:t>
      </w:r>
    </w:p>
    <w:p>
      <w:pPr>
        <w:jc w:val="both"/>
      </w:pPr>
      <w:r>
        <w:t xml:space="preserve">ESN within ≈1% — validating </w:t>
      </w:r>
      <w:r>
        <w:rPr>
          <w:b/>
        </w:rPr>
        <w:t>sufficient expressivity</w:t>
      </w:r>
      <w:r>
        <w:t xml:space="preserve"> (the benchmark's stated purpose).</w:t>
      </w:r>
    </w:p>
    <w:p>
      <w:pPr>
        <w:jc w:val="both"/>
      </w:pPr>
      <w:r>
        <w:rPr>
          <w:b/>
        </w:rPr>
        <w:t>Noise (depolarizing &amp; amplitude damping, rates 0.05–0.30):</w:t>
      </w:r>
      <w:r>
        <w:t xml:space="preserve"> the classifier is **invariant</w:t>
      </w:r>
    </w:p>
    <w:p>
      <w:pPr>
        <w:jc w:val="both"/>
      </w:pPr>
      <w:r>
        <w:t>to depolarizing noise** — a uniform Bloch contraction that per-feature standardization removes</w:t>
      </w:r>
    </w:p>
    <w:p>
      <w:pPr>
        <w:jc w:val="both"/>
      </w:pPr>
      <w:r>
        <w:t>exactly (accuracy identical to 4 decimals across all rates) — and **robust to amplitude</w:t>
      </w:r>
    </w:p>
    <w:p>
      <w:pPr>
        <w:jc w:val="both"/>
      </w:pPr>
      <w:r>
        <w:t>damping** (&lt;0.5% change at 30%). This mechanistic robustness echoes the noise-as-feature</w:t>
      </w:r>
    </w:p>
    <w:p>
      <w:pPr>
        <w:jc w:val="both"/>
      </w:pPr>
      <w:r>
        <w:t>literature (Antoncich et al. 2026).</w:t>
      </w:r>
    </w:p>
    <w:p>
      <w:pPr>
        <w:jc w:val="both"/>
      </w:pPr>
      <w:r>
        <w:rPr>
          <w:b/>
        </w:rPr>
        <w:t>5.4 Scaling frontier + quantum-complexity metric.</w:t>
      </w:r>
      <w:r>
        <w:t xml:space="preserve"> A sparse-exact backend</w:t>
      </w:r>
    </w:p>
    <w:p>
      <w:pPr>
        <w:jc w:val="both"/>
      </w:pPr>
      <w:r>
        <w:t>(</w:t>
      </w:r>
      <w:r>
        <w:rPr>
          <w:rFonts w:ascii="Courier New" w:hAnsi="Courier New"/>
        </w:rPr>
        <w:t>expm_multiply</w:t>
      </w:r>
      <w:r>
        <w:t xml:space="preserve">, no dense propagator; verified to match the dense engine to </w:t>
      </w:r>
      <w:r>
        <w:rPr>
          <w:b/>
        </w:rPr>
        <w:t>2.4×10⁻¹⁴</w:t>
      </w:r>
      <w:r>
        <w:t>)</w:t>
      </w:r>
    </w:p>
    <w:p>
      <w:pPr>
        <w:jc w:val="both"/>
      </w:pPr>
      <w:r>
        <w:t xml:space="preserve">extends the study past the dense n=12 wall to </w:t>
      </w:r>
      <w:r>
        <w:rPr>
          <w:b/>
        </w:rPr>
        <w:t>n=16 exactly</w:t>
      </w:r>
      <w:r>
        <w:t xml:space="preserve"> (the brief's upper range;</w:t>
      </w:r>
    </w:p>
    <w:p>
      <w:pPr>
        <w:jc w:val="both"/>
      </w:pPr>
      <w:r>
        <w:t xml:space="preserve">≈40 min/point on one CPU). For our </w:t>
      </w:r>
      <w:r>
        <w:rPr>
          <w:b/>
        </w:rPr>
        <w:t>all-to-all</w:t>
      </w:r>
      <w:r>
        <w:t xml:space="preserve"> random-coupling reservoir we measure the</w:t>
      </w:r>
    </w:p>
    <w:p>
      <w:pPr>
        <w:jc w:val="both"/>
      </w:pP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full at every n, χ_eff = 2^(n/2)</w:t>
      </w:r>
    </w:p>
    <w:p>
      <w:pPr>
        <w:jc w:val="both"/>
      </w:pPr>
      <w:r>
        <w:t xml:space="preserve">(16, 32, 64, 128, 256 for n = 8…16) — an exact MPS gets </w:t>
      </w:r>
      <w:r>
        <w:rPr>
          <w:b/>
        </w:rPr>
        <w:t>zero compression</w:t>
      </w:r>
      <w:r>
        <w:t xml:space="preserve"> — while the</w:t>
      </w:r>
    </w:p>
    <w:p>
      <w:pPr>
        <w:jc w:val="both"/>
      </w:pPr>
      <w:r>
        <w:t>entanglement entropy grows (S ≈ 1.7 → 3.2 nats), so even an approximate MPS needs χ~e^S that</w:t>
      </w:r>
    </w:p>
    <w:p>
      <w:pPr>
        <w:jc w:val="both"/>
      </w:pPr>
      <w:r>
        <w:t>grows with n. Either way classical MPS cost rises with n: the reservoir is **genuinely hard</w:t>
      </w:r>
    </w:p>
    <w:p>
      <w:pPr>
        <w:jc w:val="both"/>
      </w:pPr>
      <w:r>
        <w:t>to simulate classically**, the precondition the advantage hypothesis needs. (Kernel</w:t>
      </w:r>
    </w:p>
    <w:p>
      <w:pPr>
        <w:jc w:val="both"/>
      </w:pPr>
      <w:r>
        <w:t>distinctness g under the *fixed* univariate encoder declines with n here — the same input</w:t>
      </w:r>
    </w:p>
    <w:p>
      <w:pPr>
        <w:jc w:val="both"/>
      </w:pPr>
      <w:r>
        <w:t>bottleneck as §5.1; the hardness result is encoder-independent, the distinctness result needs</w:t>
      </w:r>
    </w:p>
    <w:p>
      <w:pPr>
        <w:jc w:val="both"/>
      </w:pPr>
      <w:r>
        <w:t xml:space="preserve">§5.2's informed encoding.) See </w:t>
      </w:r>
      <w:r>
        <w:rPr>
          <w:rFonts w:ascii="Courier New" w:hAnsi="Courier New"/>
        </w:rPr>
        <w:t>figures/fig_tensor_complexity.png</w:t>
      </w:r>
      <w:r>
        <w:t xml:space="preserve"> / </w:t>
      </w:r>
      <w:r>
        <w:rPr>
          <w:rFonts w:ascii="Courier New" w:hAnsi="Courier New"/>
        </w:rPr>
        <w:t>results/tensor_findings.md</w:t>
      </w:r>
      <w:r>
        <w:t>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dense statevector ≤12 qubits (n=12 propagator build ≈ 7 min),</w:t>
      </w:r>
    </w:p>
    <w:p>
      <w:pPr>
        <w:jc w:val="both"/>
      </w:pPr>
      <w:r>
        <w:t xml:space="preserve">sparse/tensor-network to ≈16, GPU for larger. </w:t>
      </w:r>
      <w:r>
        <w:rPr>
          <w:b/>
        </w:rPr>
        <w:t>QPU validation</w:t>
      </w:r>
      <w:r>
        <w:t xml:space="preserve"> uses the gate-Trotter</w:t>
      </w:r>
    </w:p>
    <w:p>
      <w:pPr>
        <w:jc w:val="both"/>
      </w:pPr>
      <w:r>
        <w:t xml:space="preserve">circuit (≈380 native gates, 20 layers; 2,000–8,000 shots/observable) on </w:t>
      </w:r>
      <w:r>
        <w:rPr>
          <w:b/>
        </w:rPr>
        <w:t>IonQ / IQM / IBM</w:t>
      </w:r>
    </w:p>
    <w:p>
      <w:pPr>
        <w:jc w:val="both"/>
      </w:pPr>
      <w:r>
        <w:t>via qBraid — native all-to-all / heavy-hex connectivity suits the fully-connected Ising</w:t>
      </w:r>
    </w:p>
    <w:p>
      <w:pPr>
        <w:jc w:val="both"/>
      </w:pPr>
      <w:r>
        <w:t xml:space="preserve">reservoir — with </w:t>
      </w:r>
      <w:r>
        <w:rPr>
          <w:b/>
        </w:rPr>
        <w:t>ZNE (Mitiq) + measurement mitigation (mthree)</w:t>
      </w:r>
      <w:r>
        <w:t xml:space="preserve"> and a classical</w:t>
      </w:r>
    </w:p>
    <w:p>
      <w:pPr>
        <w:jc w:val="both"/>
      </w:pPr>
      <w:r>
        <w:t>cross-check for every hardware run. We characterize all four challenge axes: reservoir size</w:t>
      </w:r>
    </w:p>
    <w:p>
      <w:pPr>
        <w:jc w:val="both"/>
      </w:pPr>
      <w:r>
        <w:t>(§5.1/5.4), encoding density (§5.2), shot budget, and noise (§5.3). *(QCi Dirac-3 is the</w:t>
      </w:r>
    </w:p>
    <w:p>
      <w:pPr>
        <w:jc w:val="both"/>
      </w:pPr>
      <w:r>
        <w:t>separate optimization challenge's device, not this QRC track.)*</w:t>
      </w:r>
    </w:p>
    <w:p>
      <w:pPr>
        <w:pStyle w:val="Heading2"/>
      </w:pPr>
      <w:r>
        <w:t>7. Stakeholder impact, milestone plan, AI disclosure</w:t>
      </w:r>
    </w:p>
    <w:p>
      <w:pPr>
        <w:jc w:val="both"/>
      </w:pPr>
      <w:r>
        <w:t>Earlier, more reliable volatility-regime-shift detection feeds portfolio hedging, dynamic</w:t>
      </w:r>
    </w:p>
    <w:p>
      <w:pPr>
        <w:jc w:val="both"/>
      </w:pPr>
      <w:r>
        <w:t>risk limits and derivatives pricing; in the $30B+ daily VIX-options market, marginal gains in</w:t>
      </w:r>
    </w:p>
    <w:p>
      <w:pPr>
        <w:jc w:val="both"/>
      </w:pPr>
      <w:r>
        <w:t xml:space="preserve">transition timing carry material P&amp;L (JonesTrading). </w:t>
      </w:r>
      <w:r>
        <w:rPr>
          <w:b/>
        </w:rPr>
        <w:t>Phase-3 milestone plan:</w:t>
      </w:r>
      <w:r>
        <w:t xml:space="preserve"> (i)</w:t>
      </w:r>
    </w:p>
    <w:p>
      <w:pPr>
        <w:jc w:val="both"/>
      </w:pPr>
      <w:r>
        <w:t>pre-register thresholds ✓; (ii) scaling + encoding-density sweeps ✓; (iii) common MNIST +</w:t>
      </w:r>
    </w:p>
    <w:p>
      <w:pPr>
        <w:jc w:val="both"/>
      </w:pPr>
      <w:r>
        <w:t>noise ✓; (iv) sparse/TN frontier + bond-dimension ✓; (v) gate-Trotter QPU validation</w:t>
      </w:r>
    </w:p>
    <w:p>
      <w:pPr>
        <w:jc w:val="both"/>
      </w:pPr>
      <w:r>
        <w:t>(IonQ/IQM/IBM) — simulator cross-checked; fallback = TN + density-matrix noise emulation.</w:t>
      </w:r>
    </w:p>
    <w:p>
      <w:pPr>
        <w:jc w:val="both"/>
      </w:pPr>
      <w:r>
        <w:rPr>
          <w:b/>
        </w:rPr>
        <w:t>AI disclosure:</w:t>
      </w:r>
      <w:r>
        <w:t xml:space="preserve"> Claude (Anthropic) assisted with code and drafting under the team's</w:t>
      </w:r>
    </w:p>
    <w:p>
      <w:pPr>
        <w:jc w:val="both"/>
      </w:pPr>
      <w:r>
        <w:t>direction; all formulations, decisions, and results are the team's own, produced by executing</w:t>
      </w:r>
    </w:p>
    <w:p>
      <w:pPr>
        <w:jc w:val="both"/>
      </w:pPr>
      <w:r>
        <w:t>team code on public data.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(arXiv:2407.02553) · Zhu et al. 2025 (PRR 7, 023290) · Ahmed, Tennie &amp;</w:t>
      </w:r>
    </w:p>
    <w:p>
      <w:pPr>
        <w:jc w:val="both"/>
      </w:pPr>
      <w:r>
        <w:t>Magri 2025 (Proc. R. Soc. A 481) · Li et al. 2025 (arXiv:2505.13933) · Tandon et al. 2025</w:t>
      </w:r>
    </w:p>
    <w:p>
      <w:pPr>
        <w:jc w:val="both"/>
      </w:pPr>
      <w:r>
        <w:t>(arXiv:2505.22837) · Hou et al. 2026 (PRL; arXiv:2508.12383) · Čindrak et al. 2026</w:t>
      </w:r>
    </w:p>
    <w:p>
      <w:pPr>
        <w:jc w:val="both"/>
      </w:pPr>
      <w:r>
        <w:t>(arXiv:2603.21371) · Antoncich et al. 2026 (arXiv:2602.14641) · Kobayashi &amp; Motome 2026</w:t>
      </w:r>
    </w:p>
    <w:p>
      <w:pPr>
        <w:jc w:val="both"/>
      </w:pPr>
      <w:r>
        <w:t>(PRL 136, 040602) · Huang et al. 2021 (Nat. Commun. 12, 2631) · Corsi 2009 · Patton 2011 ·</w:t>
      </w:r>
    </w:p>
    <w:p>
      <w:pPr>
        <w:jc w:val="both"/>
      </w:pPr>
      <w:r>
        <w:t>Hansen, Lunde &amp; Nason 2011 · Diebold &amp; Mariano 1995 · Bollerslev 1986 · Jaeger 2001 ·</w:t>
      </w:r>
    </w:p>
    <w:p>
      <w:pPr>
        <w:jc w:val="both"/>
      </w:pPr>
      <w:r>
        <w:t>Heber, Lunde, Shephard &amp; Sheppard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