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direction, and the 95% Model Confidence Set retains all four models in both windows (n=10)</w:t>
      </w:r>
      <w:r>
        <w:t xml:space="preserve"> — a statistical tie.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stations, +0–78% 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demonstrated the mechanism by fixing it</w:t>
      </w:r>
      <w:r>
        <w:t xml:space="preserve">: engineered memory-qubit damping shows the pre-registered inverted-U in the damping rate and lifts autonomous VPT ≈+60% (replicated on fresh starts), raising the recurrent QRC from clearly-behind to </w:t>
      </w:r>
      <w:r>
        <w:rPr>
          <w:b/>
        </w:rPr>
        <w:t>statistical parity</w:t>
      </w:r>
      <w:r>
        <w:t xml:space="preserve"> with the size-matched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Cross-platform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(an RY(π)RY(−π) identity pair executed as net RY(π); the client-side JSON provably contained both) — corrupting ZNE's negated fold gates. We hardened the emitter (angles mod 2π; diagonal-only calibrations) and validated on-device: P(|0⁸⟩)=0.996 vs 0.0 pre-fix. The decisive routing-free </w:t>
      </w:r>
      <w:r>
        <w:rPr>
          <w:b/>
        </w:rPr>
        <w:t>IonQ Forte-1 campaign then executed</w:t>
      </w:r>
      <w:r>
        <w:t xml:space="preserve"> under the pre-committed manifest: a smoke gate measured a </w:t>
      </w:r>
      <w:r>
        <w:rPr>
          <w:b/>
        </w:rPr>
        <w:t>2,000-gate/circuit device ceiling</w:t>
      </w:r>
      <w:r>
        <w:t xml:space="preserve"> on both access routes, so per abort rule it ran scale-1-only (500 shots, readout 0.08%/0.65%). </w:t>
      </w:r>
      <w:r>
        <w:rPr>
          <w:b/>
        </w:rPr>
        <w:t>Raw 0.104 — below the 0.196 depolarized limit</w:t>
      </w:r>
      <w:r>
        <w:t xml:space="preserve"> and every superconducting n=8 number: the </w:t>
      </w:r>
      <w:r>
        <w:rPr>
          <w:b/>
        </w:rPr>
        <w:t>first 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>, under our 0.149 forecast) — one pre-registered circuit measuring the coherence wall from both sides (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(table below): Garnet turns </w:t>
      </w:r>
      <w:r>
        <w:rPr>
          <w:b/>
        </w:rPr>
        <w:t>signal-bearing at n=10/n=12</w:t>
      </w:r>
      <w:r>
        <w:t xml:space="preserve"> while a </w:t>
      </w:r>
      <w:r>
        <w:rPr>
          <w:b/>
        </w:rPr>
        <w:t>same-session n=8 anchor</w:t>
      </w:r>
      <w:r>
        <w:t xml:space="preserve"> stays scrambled — the size effect is </w:t>
      </w:r>
      <w:r>
        <w:rPr>
          <w:b/>
        </w:rPr>
        <w:t>real and drift-controlled</w:t>
      </w:r>
      <w:r>
        <w:t xml:space="preserve"> by the manifest's pre-committed decision rule (mechanism honestly open: instance structure vs lattice embedding)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>: generation-dependent at fixed size, temporally controlled. We thus characterize all four challenge axes — reservoir size, encoding density, shot budget, noise — with the program in one view (raw mean feature error vs size-matched fully-depolarized limit; 4k shots, IonQ 500):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device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technology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raw error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limit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regime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IonQ Forte-1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trapped-ion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0.104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signal-bearing</w:t>
            </w:r>
            <w:r>
              <w:rPr>
                <w:sz w:val="18"/>
              </w:rPr>
              <w:t xml:space="preserve"> (prediction (ii) ✓)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IQM Emerald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supercond., newer gen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0.169–0.179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signal-bearing</w:t>
            </w:r>
            <w:r>
              <w:rPr>
                <w:sz w:val="18"/>
              </w:rPr>
              <w:t xml:space="preserve"> (S3b refuted high; same-window pair)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IQM Garnet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superconducting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10 / 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0.159 / 0.190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0.179 / 0.214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signal-bearing</w:t>
            </w:r>
            <w:r>
              <w:rPr>
                <w:sz w:val="18"/>
              </w:rPr>
              <w:t xml:space="preserve"> (S1/S2 refuted; anchor-controlled)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IQM Garnet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superconducting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0.222–0.231 (3 days)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scrambled — the stable control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Rigetti Cepheus-1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superconducting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0.223–0.261 (2 days)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scrambled (drift band measured)</w:t>
            </w:r>
          </w:p>
        </w:tc>
      </w:tr>
    </w:tbl>
    <w:p>
      <w:pPr>
        <w:jc w:val="both"/>
      </w:pPr>
      <w:r>
        <w:rPr>
          <w:b/>
        </w:rPr>
        <w:t>Execution provenance (externally verifiable).</w:t>
      </w:r>
      <w:r>
        <w:t xml:space="preserve"> Every campaign ran against pre-committed predictions — the ten funded ones under a committed manifest (budgets, abort and decision rules amended </w:t>
      </w:r>
      <w:r>
        <w:rPr>
          <w:i/>
        </w:rPr>
        <w:t>before</w:t>
      </w:r>
      <w:r>
        <w:t xml:space="preserve"> each launch); every job embeds the repo commit hash and campaign tag in qBraid's timestamped records — a hash-preimage commitment that predictions predate data — and billing matched estimates to the half-credit (</w:t>
      </w:r>
      <w:r>
        <w:rPr>
          <w:rFonts w:ascii="Courier New" w:hAnsi="Courier New"/>
        </w:rPr>
        <w:t>results/CREDIT_BUDGET.md</w:t>
      </w:r>
      <w:r>
        <w:t xml:space="preserve">: ≈64k credits; every rejected submission billed 0). Multinomial bootstrap from the committed counts re-derives every number above and puts </w:t>
      </w:r>
      <w:r>
        <w:rPr>
          <w:b/>
        </w:rPr>
        <w:t>each regime claim 9.7–24σ beyond shot noise</w:t>
      </w:r>
      <w:r>
        <w:t xml:space="preserve"> (</w:t>
      </w:r>
      <w:r>
        <w:rPr>
          <w:rFonts w:ascii="Courier New" w:hAnsi="Courier New"/>
        </w:rPr>
        <w:t>cli.py run qpu_bootstrap</w:t>
      </w:r>
      <w:r>
        <w:t>). Controls were bought exactly where claims needed them: a Rigetti replication (day-drift band), a same-session n=8 anchor (drift excluded from the size effect), a same-window two-chip pair (generation effect temporally controlled). The S5/S6 outlook is pre-committed the same way.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in-sample, COVID just outside); broader assets/periods are daily-proxy supporting studies (v2_research — same negative), not 5-min RV. (iii) Task-level noise: per-layer single-qubit channels (density-matrix, §5.4) and simulator shot noise; combined noisy-plus-shot execution is measured in the QPU campaigns (§6). (iv) g is regularization- and run-configuration-dependent (qualitative gap only). (v) Superconducting n=8 execution is a </w:t>
      </w:r>
      <w:r>
        <w:rPr>
          <w:b/>
        </w:rPr>
        <w:t>characterized negative</w:t>
      </w:r>
      <w:r>
        <w:t xml:space="preserve"> (§6 table; measured day-scale drift exceeds shot noise, so </w:t>
      </w:r>
      <w:r>
        <w:rPr>
          <w:i/>
        </w:rPr>
        <w:t>regime</w:t>
      </w:r>
      <w:r>
        <w:t xml:space="preserve"> — not point value — is the robust claim), while n=10/n=12 and the newer generation land inside their limits: the wall is size/instance- and generation-dependent, not absolute, mechanism unresolved. Mitigation </w:t>
      </w:r>
      <w:r>
        <w:rPr>
          <w:i/>
        </w:rPr>
        <w:t>recovery</w:t>
      </w:r>
      <w:r>
        <w:t xml:space="preserve"> on hardware is at best marginal (ZNE 0.223→0.217 on the Rigetti replicate; the ion chain is flat — readout 0.08%/0.65% leaves nothing to correct, the gate ceiling forbids ZNE).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(purity, entanglement) a linear readout cannot — but the proper baseline, </w:t>
      </w:r>
      <w:r>
        <w:rPr>
          <w:b/>
        </w:rPr>
        <w:t>classical shadows</w:t>
      </w:r>
      <w:r>
        <w:t xml:space="preserve"> (Huang–Kueng–Preskill 2020), run head-to-head at matched per-state budgets with an ensemble-prior guard, </w:t>
      </w:r>
      <w:r>
        <w:rPr>
          <w:b/>
        </w:rPr>
        <w:t>wins wherever real information is extracted</w:t>
      </w:r>
      <w:r>
        <w:t xml:space="preserve">, including the shadows-hard Tr(ρ³): </w:t>
      </w:r>
      <w:r>
        <w:rPr>
          <w:b/>
        </w:rPr>
        <w:t>closed negatively at simulable scale</w:t>
      </w:r>
      <w:r>
        <w:t>; hardware-native many-qubit inputs remain the one untested regime (</w:t>
      </w:r>
      <w:r>
        <w:rPr>
          <w:rFonts w:ascii="Courier New" w:hAnsi="Courier New"/>
        </w:rPr>
        <w:t>results/shadows_hard_findings.md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risk limits and derivatives pricing — and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sizing S&amp;P-500 exposure by the one-step RV forecast </w:t>
      </w:r>
      <w:r>
        <w:rPr>
          <w:b/>
        </w:rPr>
        <w:t>nearly halves the 2008 max drawdown (−61%→−32%)</w:t>
      </w:r>
      <w:r>
        <w:t xml:space="preserve"> — but a </w:t>
      </w:r>
      <w:r>
        <w:rPr>
          <w:b/>
        </w:rPr>
        <w:t>plain HAR</w:t>
      </w:r>
      <w:r>
        <w:t xml:space="preserve"> captures it; the quantum reservoir adds </w:t>
      </w:r>
      <w:r>
        <w:rPr>
          <w:b/>
        </w:rPr>
        <w:t>no</w:t>
      </w:r>
      <w:r>
        <w:t xml:space="preserve"> economic value (negative CE fees). The decision-useful lever is </w:t>
      </w: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(i)–(v) — pre-registration, scaling/encoding sweeps, the adversarial HAR-X/ESN/RFF test, MNIST + noise, sparse/TN frontier — all ✓; (vi) QPU validation </w:t>
      </w:r>
      <w:r>
        <w:rPr>
          <w:b/>
        </w:rPr>
        <w:t>executed on three vendors</w:t>
      </w:r>
      <w:r>
        <w:t xml:space="preserve"> (§6). </w:t>
      </w:r>
      <w:r>
        <w:rPr>
          <w:b/>
        </w:rPr>
        <w:t>AI disclosure:</w:t>
      </w:r>
      <w:r>
        <w:t xml:space="preserve"> Claude (Anthropic) assisted with code and drafting under the team's direction; all decisions and results are the team's own.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