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jc w:val="both"/>
      </w:pPr>
      <w:r>
        <w:rPr>
          <w:b/>
        </w:rPr>
        <w:t>Vs. prior work.</w:t>
      </w:r>
      <w:r>
        <w:t xml:space="preserve"> The closest study (Li et al. 2025/26 — QRC for realized volatility) presents</w:t>
      </w:r>
    </w:p>
    <w:p>
      <w:pPr>
        <w:jc w:val="both"/>
      </w:pPr>
      <w:r>
        <w:t>the approach as a competitive, noise-resilient *proof-of-concept*; we add the control-hardened,</w:t>
      </w:r>
    </w:p>
    <w:p>
      <w:pPr>
        <w:jc w:val="both"/>
      </w:pPr>
      <w:r>
        <w:t xml:space="preserve">pre-registered evaluation it omits — the decisive </w:t>
      </w:r>
      <w:r>
        <w:rPr>
          <w:b/>
        </w:rPr>
        <w:t>HAR-X</w:t>
      </w:r>
      <w:r>
        <w:t xml:space="preserve"> control, HAC-DM/Holm/MCS, and explicit</w:t>
      </w:r>
    </w:p>
    <w:p>
      <w:pPr>
        <w:jc w:val="both"/>
      </w:pPr>
      <w:r>
        <w:t>capability and per-layer-noise audits — turning an encouraging proof-of-concept into a falsifiable</w:t>
      </w:r>
    </w:p>
    <w:p>
      <w:pPr>
        <w:jc w:val="both"/>
      </w:pPr>
      <w:r>
        <w:t>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at fixed ridge</w:t>
      </w:r>
    </w:p>
    <w:p>
      <w:pPr>
        <w:jc w:val="both"/>
      </w:pPr>
      <w:r>
        <w:t>regularization; the qualitative ~15–40× separation, not the exact value, is the claim.)</w:t>
      </w:r>
    </w:p>
    <w:p>
      <w:pPr>
        <w:jc w:val="both"/>
      </w:pPr>
      <w:r>
        <w:t>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</w:t>
      </w:r>
    </w:p>
    <w:p>
      <w:pPr>
        <w:jc w:val="both"/>
      </w:pPr>
      <w:r>
        <w:rPr>
          <w:b/>
        </w:rPr>
        <w:t>HEAVY-RM</w:t>
      </w:r>
      <w:r>
        <w:t xml:space="preserve">, under MSE- *and* QLIKE-loss DM — </w:t>
      </w:r>
      <w:r>
        <w:rPr>
          <w:b/>
        </w:rPr>
        <w:t>none beats HAR-X</w:t>
      </w:r>
      <w:r>
        <w:t xml:space="preserve"> (a fair, strong stand-in, not a</w:t>
      </w:r>
    </w:p>
    <w:p>
      <w:pPr>
        <w:jc w:val="both"/>
      </w:pPr>
      <w:r>
        <w:t>strawman), and CHIMERA ties the best on RMSE with only a *raw, non-Holm* QLIKE/MZ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expressivity**;</w:t>
      </w:r>
    </w:p>
    <w:p>
      <w:pPr>
        <w:jc w:val="both"/>
      </w:pPr>
      <w:r>
        <w:t xml:space="preserve">a matched ESN </w:t>
      </w:r>
      <w:r>
        <w:rPr>
          <w:b/>
        </w:rPr>
        <w:t>ties or slightly exceeds</w:t>
      </w:r>
      <w:r>
        <w:t xml:space="preserve"> CHIMERA (within ≈1% for n≥8; 2.9% at n=5) —</w:t>
      </w:r>
    </w:p>
    <w:p>
      <w:pPr>
        <w:jc w:val="both"/>
      </w:pPr>
      <w:r>
        <w:t xml:space="preserve">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(a uniform Bloch contraction that per-feature standardization removes exactly;</w:t>
      </w:r>
    </w:p>
    <w:p>
      <w:pPr>
        <w:jc w:val="both"/>
      </w:pPr>
      <w:r>
        <w:t xml:space="preserve">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</w:t>
      </w:r>
    </w:p>
    <w:p>
      <w:pPr>
        <w:jc w:val="both"/>
      </w:pPr>
      <w:r>
        <w:t>per-Trotter-layer density-matrix study shows the *converse* — two-qubit noise *during* evolution is</w:t>
      </w:r>
    </w:p>
    <w:p>
      <w:pPr>
        <w:jc w:val="both"/>
      </w:pP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</w:t>
      </w:r>
    </w:p>
    <w:p>
      <w:pPr>
        <w:jc w:val="both"/>
      </w:pPr>
      <w:r>
        <w:t>depolarizing): the invariance above is a *readout* property, not a circuit-level robustness claim;</w:t>
      </w:r>
    </w:p>
    <w:p>
      <w:pPr>
        <w:jc w:val="both"/>
      </w:pPr>
      <w:r>
        <w:t>accumulated 2-qubit error over the 380-gate circuit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nats. The reservoir therefore admits</w:t>
      </w:r>
    </w:p>
    <w:p>
      <w:pPr>
        <w:jc w:val="both"/>
      </w:pP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 xml:space="preserve">appears at the simulable scale we can test. </w:t>
      </w:r>
      <w:r>
        <w:rPr>
          <w:b/>
        </w:rPr>
        <w:t>Capability + efficiency checks.</w:t>
      </w:r>
      <w:r>
        <w:t xml:space="preserve"> An</w:t>
      </w:r>
    </w:p>
    <w:p>
      <w:pPr>
        <w:jc w:val="both"/>
      </w:pPr>
      <w:r>
        <w:t xml:space="preserve">information-processing-capacity probe (Dambre et al. 2012; </w:t>
      </w:r>
      <w:r>
        <w:rPr>
          <w:rFonts w:ascii="Courier New" w:hAnsi="Courier New"/>
        </w:rPr>
        <w:t>cli.py run capacity</w:t>
      </w:r>
      <w:r>
        <w:t>) finds the quantum</w:t>
      </w:r>
    </w:p>
    <w:p>
      <w:pPr>
        <w:jc w:val="both"/>
      </w:pPr>
      <w:r>
        <w:t xml:space="preserve">reservoir </w:t>
      </w:r>
      <w:r>
        <w:rPr>
          <w:b/>
        </w:rPr>
        <w:t>not more</w:t>
      </w:r>
      <w:r>
        <w:t xml:space="preserve"> — slightly *less* — nonlinearly expressive than a matched RFF/ESN:</w:t>
      </w:r>
    </w:p>
    <w:p>
      <w:pPr>
        <w:jc w:val="both"/>
      </w:pPr>
      <w:r>
        <w:t>no excess expressivity to exploit. A frontier check (</w:t>
      </w:r>
      <w:r>
        <w:rPr>
          <w:rFonts w:ascii="Courier New" w:hAnsi="Courier New"/>
        </w:rPr>
        <w:t>cli.py run frontier</w:t>
      </w:r>
      <w:r>
        <w:t>) adds that</w:t>
      </w:r>
    </w:p>
    <w:p>
      <w:pPr>
        <w:jc w:val="both"/>
      </w:pPr>
      <w:r>
        <w:t xml:space="preserve">g(n) does </w:t>
      </w:r>
      <w:r>
        <w:rPr>
          <w:b/>
        </w:rPr>
        <w:t>not</w:t>
      </w:r>
      <w:r>
        <w:t xml:space="preserve"> widen toward n=16 (it declines; D_eff/rank grow but a matched ESN keeps pace).</w:t>
      </w:r>
    </w:p>
    <w:p>
      <w:pPr>
        <w:jc w:val="both"/>
      </w:pPr>
      <w:r>
        <w:rPr>
          <w:b/>
        </w:rPr>
        <w:t>Robustness (supporting study, `v3_research/`).</w:t>
      </w:r>
      <w:r>
        <w:t xml:space="preserve"> *Efficiency:* with input held fixed, a *smaller*</w:t>
      </w:r>
    </w:p>
    <w:p>
      <w:pPr>
        <w:jc w:val="both"/>
      </w:pPr>
      <w:r>
        <w:t xml:space="preserve">QRC cannot substitute for a *larger* classical reservoir — quantum accuracy </w:t>
      </w:r>
      <w:r>
        <w:rPr>
          <w:b/>
        </w:rPr>
        <w:t>saturates</w:t>
      </w:r>
      <w:r>
        <w:t xml:space="preserve"> while the</w:t>
      </w:r>
    </w:p>
    <w:p>
      <w:pPr>
        <w:jc w:val="both"/>
      </w:pPr>
      <w:r>
        <w:t>classical curves improve; per feature the static maps are comparable, so the negative is</w:t>
      </w:r>
    </w:p>
    <w:p>
      <w:pPr>
        <w:jc w:val="both"/>
      </w:pPr>
      <w:r>
        <w:rPr>
          <w:b/>
        </w:rPr>
        <w:t>saturation, not per-feature inferiority</w:t>
      </w:r>
      <w:r>
        <w:t xml:space="preserve"> (weather °C; CHIMERA at its qubit-range ceiling, classical</w:t>
      </w:r>
    </w:p>
    <w:p>
      <w:pPr>
        <w:jc w:val="both"/>
      </w:pPr>
      <w:r>
        <w:t>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t xml:space="preserve">*Domain/architecture:* the *same* engine/protocol on chaotic </w:t>
      </w:r>
      <w:r>
        <w:rPr>
          <w:b/>
        </w:rPr>
        <w:t>weather</w:t>
      </w:r>
      <w:r>
        <w:t xml:space="preserve"> (5 stations, +0–78%</w:t>
      </w:r>
    </w:p>
    <w:p>
      <w:pPr>
        <w:jc w:val="both"/>
      </w:pPr>
      <w:r>
        <w:t xml:space="preserve">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</w:t>
      </w:r>
    </w:p>
    <w:p>
      <w:pPr>
        <w:jc w:val="both"/>
      </w:pPr>
      <w:r>
        <w:t>competitive-not-better — unitary evolution is non-dissipative, lacking the contraction behind ESN</w:t>
      </w:r>
    </w:p>
    <w:p>
      <w:pPr>
        <w:jc w:val="both"/>
      </w:pPr>
      <w:r>
        <w:t>"generalized synchronization" (Ahmed–Tennie–Magri 2025).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statevector ≤12 qubits, sparse/TN to ≈16, GPU beyond.</w:t>
      </w:r>
    </w:p>
    <w:p>
      <w:pPr>
        <w:jc w:val="both"/>
      </w:pP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</w:p>
    <w:p>
      <w:pPr>
        <w:jc w:val="both"/>
      </w:pPr>
      <w:r>
        <w:t xml:space="preserve">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 xml:space="preserve">mapping — with </w:t>
      </w:r>
      <w:r>
        <w:rPr>
          <w:b/>
        </w:rPr>
        <w:t>ZNE + measurement mitigation</w:t>
      </w:r>
      <w:r>
        <w:t xml:space="preserve"> and a classical cross-check per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(our per-run classical cross-check),</w:t>
      </w:r>
    </w:p>
    <w:p>
      <w:pPr>
        <w:jc w:val="both"/>
      </w:pPr>
      <w:r>
        <w:t xml:space="preserve">(ii) characterizes the </w:t>
      </w:r>
      <w:r>
        <w:rPr>
          <w:b/>
        </w:rPr>
        <w:t>shot budget</w:t>
      </w:r>
      <w:r>
        <w:t xml:space="preserve"> (ε≈1/√S; feature error</w:t>
      </w:r>
    </w:p>
    <w:p>
      <w:pPr>
        <w:jc w:val="both"/>
      </w:pPr>
      <w:r>
        <w:t>0.046→0.0066 at S=256→16k; gate-Trotter(20) adds ≈0.04), and (iii) demonstrates **zero-noise</w:t>
      </w:r>
    </w:p>
    <w:p>
      <w:pPr>
        <w:jc w:val="both"/>
      </w:pPr>
      <w:r>
        <w:t xml:space="preserve">extrapolation** under a depolarizing sweep. One </w:t>
      </w:r>
      <w:r>
        <w:rPr>
          <w:rFonts w:ascii="Courier New" w:hAnsi="Courier New"/>
        </w:rPr>
        <w:t>--device</w:t>
      </w:r>
      <w:r>
        <w:t xml:space="preserve"> flag from a real backend (pending qBraid</w:t>
      </w:r>
    </w:p>
    <w:p>
      <w:pPr>
        <w:jc w:val="both"/>
      </w:pPr>
      <w:r>
        <w:t>credits). We thus characterize all four challenge axes: reservoir size, encoding density, shot</w:t>
      </w:r>
    </w:p>
    <w:p>
      <w:pPr>
        <w:jc w:val="both"/>
      </w:pPr>
      <w:r>
        <w:t>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RV sample ends Feb-2020</w:t>
      </w:r>
    </w:p>
    <w:p>
      <w:pPr>
        <w:jc w:val="both"/>
      </w:pPr>
      <w:r>
        <w:t>(2008 GFC in-sample, 2020 COVID just outside); broader assets/periods untested. (iii) Noise is studied on MNIST</w:t>
      </w:r>
    </w:p>
    <w:p>
      <w:pPr>
        <w:jc w:val="both"/>
      </w:pPr>
      <w:r>
        <w:t>(single-qubit readout channels); full noisy-circuit/shot-noise sim is deferred to QPU runs.</w:t>
      </w:r>
    </w:p>
    <w:p>
      <w:pPr>
        <w:jc w:val="both"/>
      </w:pPr>
      <w:r>
        <w:t>(iv) g is regularization-dependent (qualitative gap only).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— whether they convert</w:t>
      </w:r>
    </w:p>
    <w:p>
      <w:pPr>
        <w:jc w:val="both"/>
      </w:pPr>
      <w:r>
        <w:t>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>)</w:t>
      </w:r>
    </w:p>
    <w:p>
      <w:pPr>
        <w:jc w:val="both"/>
      </w:pPr>
      <w:r>
        <w:t>shows the QRC natively reads nonlinear *state* functionals (purity, entanglement) a linear readout</w:t>
      </w:r>
    </w:p>
    <w:p>
      <w:pPr>
        <w:jc w:val="both"/>
      </w:pPr>
      <w:r>
        <w:t xml:space="preserve">cannot, but the proper baseline — </w:t>
      </w:r>
      <w:r>
        <w:rPr>
          <w:b/>
        </w:rPr>
        <w:t>classical shadows</w:t>
      </w:r>
      <w:r>
        <w:t xml:space="preserve"> (Huang–Kueng–Preskill 2020), also</w:t>
      </w:r>
    </w:p>
    <w:p>
      <w:pPr>
        <w:jc w:val="both"/>
      </w:pPr>
      <w:r>
        <w:t>measurement-efficient — still edges it at k≤4: a genuine quantum-data edge is an **honest open</w:t>
      </w:r>
    </w:p>
    <w:p>
      <w:pPr>
        <w:jc w:val="both"/>
      </w:pPr>
      <w:r>
        <w:t>question**, not shown here, and the one regime this challenge's classical-data tracks never probe.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Volatility forecasts feed hedging, dynamic risk limits and derivatives pricing.</w:t>
      </w:r>
    </w:p>
    <w:p>
      <w:pPr>
        <w:jc w:val="both"/>
      </w:pPr>
      <w:r>
        <w:t xml:space="preserve">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>): a vol-timing backtest sizing S&amp;P-500</w:t>
      </w:r>
    </w:p>
    <w:p>
      <w:pPr>
        <w:jc w:val="both"/>
      </w:pPr>
      <w:r>
        <w:t xml:space="preserve">exposure by the one-step RV forecast </w:t>
      </w:r>
      <w:r>
        <w:rPr>
          <w:b/>
        </w:rPr>
        <w:t>nearly halves the 2008 max drawdown (−61%→−32%)</w:t>
      </w:r>
      <w:r>
        <w:t>, but a</w:t>
      </w:r>
    </w:p>
    <w:p>
      <w:pPr>
        <w:jc w:val="both"/>
      </w:pP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</w:t>
      </w:r>
    </w:p>
    <w:p>
      <w:pPr>
        <w:jc w:val="both"/>
      </w:pPr>
      <w:r>
        <w:t>value (negative CE fees). The decision-useful lever is **vol-timing on a simple RV forecast, not</w:t>
      </w:r>
    </w:p>
    <w:p>
      <w:pPr>
        <w:jc w:val="both"/>
      </w:pPr>
      <w:r>
        <w:t>quantum hardware</w:t>
      </w:r>
      <w:r>
        <w:rPr>
          <w:b/>
        </w:rPr>
        <w:t xml:space="preserve">. </w:t>
      </w:r>
      <w:r>
        <w:t>Milestone plan:** (i)–(v) pre-registration,</w:t>
      </w:r>
    </w:p>
    <w:p>
      <w:pPr>
        <w:jc w:val="both"/>
      </w:pPr>
      <w:r>
        <w:t>scaling + encoding sweeps, the adversarial HAR-X/ESN/RFF test, MNIST + noise, and the sparse/TN</w:t>
      </w:r>
    </w:p>
    <w:p>
      <w:pPr>
        <w:jc w:val="both"/>
      </w:pPr>
      <w:r>
        <w:t>frontier are ✓; (vi) gate-Trotter QPU validation (IonQ/IQM/IBM) is simulator-cross-checked</w:t>
      </w:r>
    </w:p>
    <w:p>
      <w:pPr>
        <w:jc w:val="both"/>
      </w:pPr>
      <w:r>
        <w:t xml:space="preserve">(fallback = TN noise emulation).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decisions and</w:t>
      </w:r>
    </w:p>
    <w:p>
      <w:pPr>
        <w:jc w:val="both"/>
      </w:pPr>
      <w:r>
        <w:t>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</w:t>
      </w:r>
    </w:p>
    <w:p>
      <w:pPr>
        <w:jc w:val="both"/>
      </w:pPr>
      <w:r>
        <w:t>Tandon et al. 2025 · Hou et al. 2025 · Čindrak et al. 2026 · Antoncich et al. 2026 ·</w:t>
      </w:r>
    </w:p>
    <w:p>
      <w:pPr>
        <w:jc w:val="both"/>
      </w:pPr>
      <w:r>
        <w:t>Kobayashi &amp; Motome 2026 · Huang et al. 2021 · Huang, Kueng &amp; Preskill 2020 (classical shadows) ·</w:t>
      </w:r>
    </w:p>
    <w:p>
      <w:pPr>
        <w:jc w:val="both"/>
      </w:pPr>
      <w:r>
        <w:t>Corsi 2009 · Patton 2011 · Hansen et al. 2011 ·</w:t>
      </w:r>
    </w:p>
    <w:p>
      <w:pPr>
        <w:jc w:val="both"/>
      </w:pPr>
      <w:r>
        <w:t>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