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limit), so folded ZNE cannot recover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</w:t>
      </w:r>
      <w:r>
        <w:rPr>
          <w:b/>
        </w:rPr>
        <w:t>IonQ Forte-1 campaign then executed</w:t>
      </w:r>
      <w:r>
        <w:t xml:space="preserve"> under the pre-committed manifest: a smoke gate first measured a </w:t>
      </w:r>
      <w:r>
        <w:rPr>
          <w:b/>
        </w:rPr>
        <w:t>2,000-gate/circuit device ceiling</w:t>
      </w:r>
      <w:r>
        <w:t xml:space="preserve"> on both access routes (fold-3 = 2,484 gates), so per pre-registered abort rule the campaign ran scale-1-only (5 jobs, 500 shots, readout 0.08%/0.65%). Measured </w:t>
      </w:r>
      <w:r>
        <w:rPr>
          <w:b/>
        </w:rPr>
        <w:t>raw feature error 0.104 — below the 0.196 depolarized limit</w:t>
      </w:r>
      <w:r>
        <w:t xml:space="preserve"> and the superconducting 0.230/0.261: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forecast). One pre-registered circuit thus measures the coherence wall from both sides — routed superconducting lattices beyond the limit, the 220-gate all-to-all ion machine inside it (</w:t>
      </w:r>
      <w:r>
        <w:rPr>
          <w:rFonts w:ascii="Courier New" w:hAnsi="Courier New"/>
        </w:rPr>
        <w:t>results/qpu_hardware_findings.md</w:t>
      </w:r>
      <w:r>
        <w:t>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Superconducting execution (Rigetti + Garnet full protocols, §6) is a </w:t>
      </w:r>
      <w:r>
        <w:rPr>
          <w:b/>
        </w:rPr>
        <w:t>characterized negative</w:t>
      </w:r>
      <w:r>
        <w:t xml:space="preserve"> — scale-1 beyond the coherence budget after routing. The trapped-ion run is signal-bearing, but mitigation </w:t>
      </w:r>
      <w:r>
        <w:rPr>
          <w:i/>
        </w:rPr>
        <w:t>recovery</w:t>
      </w:r>
      <w:r>
        <w:t xml:space="preserve"> is still unvalidated on hardware: its chain is flat since readout error (0.08%/0.65%) leaves nothing to correct and the gate ceiling forbids ZNE.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is </w:t>
      </w:r>
      <w:r>
        <w:rPr>
          <w:b/>
        </w:rPr>
        <w:t>executed on real hardware across three vendors</w:t>
      </w:r>
      <w:r>
        <w:t xml:space="preserve"> (Rigetti, IQM, IonQ — 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