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120–158 at n=8).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is therefore </w:t>
      </w:r>
      <w:r>
        <w:rPr>
          <w:b/>
        </w:rPr>
        <w:t>genuinely hard to simulate classically</w:t>
      </w:r>
      <w:r>
        <w:t xml:space="preserve"> — the</w:t>
      </w:r>
    </w:p>
    <w:p>
      <w:pPr>
        <w:jc w:val="both"/>
      </w:pPr>
      <w:r>
        <w:t>precondition any beyond-frontier advantage would need, even though no advantage appears at the</w:t>
      </w:r>
    </w:p>
    <w:p>
      <w:pPr>
        <w:jc w:val="both"/>
      </w:pPr>
      <w:r>
        <w:t>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≈58 s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≈40 min/point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(Mitiq)</w:t>
      </w:r>
    </w:p>
    <w:p>
      <w:pPr>
        <w:jc w:val="both"/>
      </w:pPr>
      <w:r>
        <w:t>+ measurement mitigation (mthree)** and a classical cross-check for every run. We characterize</w:t>
      </w:r>
    </w:p>
    <w:p>
      <w:pPr>
        <w:jc w:val="both"/>
      </w:pPr>
      <w:r>
        <w:t>all four challenge axes: reservoir size (§5.1/5.5), encoding density (§5.2/5.3), shot budget</w:t>
      </w:r>
    </w:p>
    <w:p>
      <w:pPr>
        <w:jc w:val="both"/>
      </w:pPr>
      <w:r>
        <w:t>(above), and noise (§5.4). *(QCi Dirac-3 is the 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Results are on the S&amp;P 500 RV series over two</w:t>
      </w:r>
    </w:p>
    <w:p>
      <w:pPr>
        <w:jc w:val="both"/>
      </w:pPr>
      <w:r>
        <w:t>windows;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