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and lifts autonomous VPT ≈+60%,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(an RY(π)RY(−π) identity pair executed as net RY(π); the client-side JSON provably contained both) — corrupting ZNE's negated fold gates. We hardened the emitter (angles mod 2π; diagonal-only calibrations) and validated on-device: P(|0⁸⟩)=0.996 vs 0.0 pre-fix.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both access routes, so per abort rule it ran scale-1-only (500 shots — a disclosed, cost-forced deviation from the 4k config, s.e.≈0.004;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 — one pre-registered circuit measuring the coherence wall from both sides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(table below): Garnet turns </w:t>
      </w:r>
      <w:r>
        <w:rPr>
          <w:b/>
        </w:rPr>
        <w:t>signal-bearing at n=10/n=12</w:t>
      </w:r>
      <w:r>
        <w:t xml:space="preserve"> while a </w:t>
      </w:r>
      <w:r>
        <w:rPr>
          <w:b/>
        </w:rPr>
        <w:t>same-session n=8 anchor</w:t>
      </w:r>
      <w:r>
        <w:t xml:space="preserve"> stays scrambled — the size effect is </w:t>
      </w:r>
      <w:r>
        <w:rPr>
          <w:b/>
        </w:rPr>
        <w:t>real and drift-controlled</w:t>
      </w:r>
      <w:r>
        <w:t xml:space="preserve"> by the manifest's pre-committed decision rule (mechanism honestly open: instance structure vs lattice embedding)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device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raw error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regime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IonQ Forte-1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trapped-ion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0.104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(prediction (ii) ✓)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Emerald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supercond., newer gen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0.169–0.179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(S3b refuted high; same-window pair)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10 / 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0.159 / 0.190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0.179 / 0.214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(S1/S2 refuted; anchor-controlled)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0.222–0.231 (3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— the stable control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Rigetti Cepheus-1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0.223–0.261 (2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(drift band measured)</w:t>
            </w:r>
          </w:p>
        </w:tc>
      </w:tr>
    </w:tbl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(budgets, abort and decision rules amended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credits; every rejected submission billed 0). Bootstrap from the committed counts re-derives every number above and puts </w:t>
      </w:r>
      <w:r>
        <w:rPr>
          <w:b/>
        </w:rPr>
        <w:t>each regime claim 9.7–24σ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claims needed them: a Rigetti replication (day-drift band), a same-session n=8 anchor (size effect vs drift), a same-window two-chip pair (generation effect). S5–S7 are pre-committed.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(§6 table; measured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size/instance- and generation-dependent, not absolute, mechanism unresolved. Mitigation </w:t>
      </w:r>
      <w:r>
        <w:rPr>
          <w:i/>
        </w:rPr>
        <w:t>recovery</w:t>
      </w:r>
      <w:r>
        <w:t xml:space="preserve"> on hardware is at best marginal (ZNE 0.223→0.217 on the Rigetti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(purity, entanglement) a linear readout cannot — but the proper baseline, </w:t>
      </w:r>
      <w:r>
        <w:rPr>
          <w:b/>
        </w:rPr>
        <w:t>classical shadows</w:t>
      </w:r>
      <w:r>
        <w:t xml:space="preserve"> (Huang–Kueng–Preskill 2020), run head-to-head at matched per-state budgets with an ensemble-prior guard, </w:t>
      </w:r>
      <w:r>
        <w:rPr>
          <w:b/>
        </w:rPr>
        <w:t>wins wherever real information is extracted</w:t>
      </w:r>
      <w:r>
        <w:t xml:space="preserve">, including the shadows-hard Tr(ρ³): </w:t>
      </w:r>
      <w:r>
        <w:rPr>
          <w:b/>
        </w:rPr>
        <w:t>closed negatively at simulable scale</w:t>
      </w:r>
      <w:r>
        <w:t>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risk limits and derivatives pricing — and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on the one-step RV forecast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it; the quantum reservoir adds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sweeps, the adversarial test, MNIST+noise, and the sparse/TN frontier are ✓; (vi) QPU validation </w:t>
      </w:r>
      <w:r>
        <w:rPr>
          <w:b/>
        </w:rPr>
        <w:t>executed on three vendors</w:t>
      </w:r>
      <w:r>
        <w:t xml:space="preserve"> (§6).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