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CHIMERA-QRC: A Pre-Registered, Adversarially-Controlled Study of Quantum Reservoir Computing for S&amp;P 500 Realized-Volatility Forecasting</w:t>
      </w:r>
    </w:p>
    <w:p>
      <w:pPr>
        <w:pStyle w:val="Heading3"/>
      </w:pPr>
      <w:r>
        <w:t>Team EIGENNEXUS — C. Metzl, F. Eldibani, J. M. Aguiar Hualde · Track A (Financial Volatility) · GIC 2026 Phase 3</w:t>
      </w:r>
    </w:p>
    <w:p>
      <w:pPr>
        <w:jc w:val="both"/>
      </w:pPr>
      <w:r>
        <w:rPr>
          <w:b/>
        </w:rPr>
        <w:t>Abstract.</w:t>
      </w:r>
      <w:r>
        <w:t xml:space="preserve"> We contribute a </w:t>
      </w:r>
      <w:r>
        <w:rPr>
          <w:b/>
        </w:rPr>
        <w:t>pre-registered, adversarially-controlled evaluation instrument</w:t>
      </w:r>
      <w:r>
        <w:t xml:space="preserve"> for quantum reservoir computing — reproducible </w:t>
      </w:r>
      <w:r>
        <w:rPr>
          <w:b/>
        </w:rPr>
        <w:t>offline in one command</w:t>
      </w:r>
      <w:r>
        <w:t xml:space="preserve"> (</w:t>
      </w:r>
      <w:r>
        <w:rPr>
          <w:rFonts w:ascii="Courier New" w:hAnsi="Courier New"/>
        </w:rPr>
        <w:t>cli.py verify</w:t>
      </w:r>
      <w:r>
        <w:t xml:space="preserve">), with every hardware prediction bound to a prior commit by a </w:t>
      </w:r>
      <w:r>
        <w:rPr>
          <w:b/>
        </w:rPr>
        <w:t>hash-preimage commitment</w:t>
      </w:r>
      <w:r>
        <w:t xml:space="preserve"> — and apply it to S&amp;P 500 realized-volatility forecasting across </w:t>
      </w:r>
      <w:r>
        <w:rPr>
          <w:b/>
        </w:rPr>
        <w:t>four devices from three QPU vendors</w:t>
      </w:r>
      <w:r>
        <w:t xml:space="preserve"> (IonQ, IQM, Rigetti). Two measurements stand on their own: an empirical </w:t>
      </w:r>
      <w:r>
        <w:rPr>
          <w:b/>
        </w:rPr>
        <w:t>quantum-complexity metric</w:t>
      </w:r>
      <w:r>
        <w:t xml:space="preserve"> (the reservoir's MPS bond dimension is essentially full, </w:t>
      </w:r>
      <w:r>
        <w:rPr>
          <w:b/>
        </w:rPr>
        <w:t>χ_eff ≈ 2^(n/2)</w:t>
      </w:r>
      <w:r>
        <w:t xml:space="preserve">, marking the classical-simulability boundary) and a cross-platform </w:t>
      </w:r>
      <w:r>
        <w:rPr>
          <w:b/>
        </w:rPr>
        <w:t>coherence-budget wall</w:t>
      </w:r>
      <w:r>
        <w:t xml:space="preserve"> (Fig. 3) whose readout-corrected fingerprint separates </w:t>
      </w:r>
      <w:r>
        <w:rPr>
          <w:b/>
        </w:rPr>
        <w:t>coherent circuit routing from depolarizing/damping noise</w:t>
      </w:r>
      <w:r>
        <w:t xml:space="preserve">, each regime verdict </w:t>
      </w:r>
      <w:r>
        <w:rPr>
          <w:b/>
        </w:rPr>
        <w:t>9.7–23.9σ</w:t>
      </w:r>
      <w:r>
        <w:t xml:space="preserve"> beyond shot noise. Applied honestly, the instrument returns a </w:t>
      </w:r>
      <w:r>
        <w:rPr>
          <w:b/>
        </w:rPr>
        <w:t>well-characterized negative</w:t>
      </w:r>
      <w:r>
        <w:t xml:space="preserve">: at simulable scale (≤16 qubits) the reservoir is </w:t>
      </w:r>
      <w:r>
        <w:rPr>
          <w:i/>
        </w:rPr>
        <w:t>distinct but not more accurate</w:t>
      </w:r>
      <w:r>
        <w:t xml:space="preserve"> than the strongest fair baselines — </w:t>
      </w:r>
      <w:r>
        <w:rPr>
          <w:b/>
        </w:rPr>
        <w:t>HAR-X</w:t>
      </w:r>
      <w:r>
        <w:t>, size-matched ESN/RFF, under HAC-DM + Holm + MCS (</w:t>
      </w:r>
      <w:r>
        <w:rPr>
          <w:b/>
        </w:rPr>
        <w:t>H0 refuted</w:t>
      </w:r>
      <w:r>
        <w:t xml:space="preserve">) — robust across a second </w:t>
      </w:r>
      <w:r>
        <w:rPr>
          <w:b/>
        </w:rPr>
        <w:t>Heisenberg</w:t>
      </w:r>
      <w:r>
        <w:t xml:space="preserve"> reservoir family (not Ising-specific) and a second (weather) domain, and our program </w:t>
      </w:r>
      <w:r>
        <w:rPr>
          <w:b/>
        </w:rPr>
        <w:t>falsified four of its own pre-registered predictions</w:t>
      </w:r>
      <w:r>
        <w:t xml:space="preserve"> under controls (a same-session cross-seed control shows the n=8 scrambling is </w:t>
      </w:r>
      <w:r>
        <w:rPr>
          <w:i/>
        </w:rPr>
        <w:t>seed-0-instance-specific, not a size law</w:t>
      </w:r>
      <w:r>
        <w:t xml:space="preserve">). </w:t>
      </w:r>
      <w:r>
        <w:rPr>
          <w:b/>
        </w:rPr>
        <w:t>Desk takeaway:</w:t>
      </w:r>
      <w:r>
        <w:t xml:space="preserve"> vol-timing a simple RV forecast ≈halves the 2008 drawdown; quantum adds no economic value at this scale.</w:t>
      </w:r>
    </w:p>
    <w:p>
      <w:pPr>
        <w:pStyle w:val="Heading2"/>
      </w:pPr>
      <w:r>
        <w:t>1. Focus, track selection, and problem framing</w:t>
      </w:r>
    </w:p>
    <w:p>
      <w:pPr>
        <w:jc w:val="both"/>
      </w:pPr>
      <w:r>
        <w:t xml:space="preserve">We target </w:t>
      </w:r>
      <w:r>
        <w:rPr>
          <w:b/>
        </w:rPr>
        <w:t>Track A: financial volatility</w:t>
      </w:r>
      <w:r>
        <w:t xml:space="preserve"> — one-step-ahead forecasting of S&amp;P 500 </w:t>
      </w:r>
      <w:r>
        <w:rPr>
          <w:b/>
        </w:rPr>
        <w:t>realized variance (RV)</w:t>
      </w:r>
      <w:r>
        <w:t xml:space="preserve"> and the tracking of volatility </w:t>
      </w:r>
      <w:r>
        <w:rPr>
          <w:b/>
        </w:rPr>
        <w:t>regime transitions</w:t>
      </w:r>
      <w:r>
        <w:t xml:space="preserve">, the domain where JonesTrading's risk, allocation and derivatives pricing live. RV is long-memory, multi-scale, regime-switching and non-Gaussian — the structure reservoir computing exploits. Our central yardsticks are the Echo State Network (ESN, the classical analog of QRC) and the strongest econometric models (HAR — </w:t>
      </w:r>
      <w:r>
        <w:rPr>
          <w:i/>
        </w:rPr>
        <w:t>Heterogeneous AutoRegressive</w:t>
      </w:r>
      <w:r>
        <w:t xml:space="preserve">, Corsi 2009 — and, critically for Phase 3, </w:t>
      </w:r>
      <w:r>
        <w:rPr>
          <w:b/>
        </w:rPr>
        <w:t>HAR-X</w:t>
      </w:r>
      <w:r>
        <w:t xml:space="preserve">: HAR augmented with the same realized-measure features we feed the quantum reservoir). We also report GARCH/GJR-GARCH, AR(3), persistence, LSTM, and an RFF/RBF kernel, and we implement the challenge's common </w:t>
      </w:r>
      <w:r>
        <w:rPr>
          <w:b/>
        </w:rPr>
        <w:t>MNIST</w:t>
      </w:r>
      <w:r>
        <w:t xml:space="preserve"> benchmark on the identical engine.</w:t>
      </w:r>
    </w:p>
    <w:p>
      <w:pPr>
        <w:jc w:val="both"/>
      </w:pPr>
      <w:r>
        <w:rPr>
          <w:b/>
        </w:rPr>
        <w:t>This paper's honest thesis.</w:t>
      </w:r>
      <w:r>
        <w:t xml:space="preserve"> We pre-registered H0 and </w:t>
      </w:r>
      <w:r>
        <w:rPr>
          <w:i/>
        </w:rPr>
        <w:t>attacked our own result</w:t>
      </w:r>
      <w:r>
        <w:t xml:space="preserve"> with fair controls: the dominant accuracy lever is </w:t>
      </w:r>
      <w:r>
        <w:rPr>
          <w:i/>
        </w:rPr>
        <w:t>which features are encoded</w:t>
      </w:r>
      <w:r>
        <w:t xml:space="preserve">, not quantum nonlinearity. What survives for the reservoir — kernel distinctness, lower seed variance, full-rank entanglement (classical-simulation hardness) — is </w:t>
      </w:r>
      <w:r>
        <w:rPr>
          <w:i/>
        </w:rPr>
        <w:t>necessary, not sufficient</w:t>
      </w:r>
      <w:r>
        <w:t xml:space="preserve"> for advantage. </w:t>
      </w:r>
      <w:r>
        <w:rPr>
          <w:b/>
        </w:rPr>
        <w:t>Vs. prior work.</w:t>
      </w:r>
      <w:r>
        <w:t xml:space="preserve"> The closest study (Li et al. 2025/26 — QRC for realized volatility) presents the approach as a competitive, noise-resilient </w:t>
      </w:r>
      <w:r>
        <w:rPr>
          <w:i/>
        </w:rPr>
        <w:t>proof-of-concept</w:t>
      </w:r>
      <w:r>
        <w:t xml:space="preserve">; we add the control-hardened, pre-registered evaluation it omits — the decisive </w:t>
      </w:r>
      <w:r>
        <w:rPr>
          <w:b/>
        </w:rPr>
        <w:t>HAR-X</w:t>
      </w:r>
      <w:r>
        <w:t xml:space="preserve"> control, HAC-DM/Holm/MCS, and explicit capability and per-layer-noise audits — turning an encouraging proof-of-concept into a falsifiable result.</w:t>
      </w:r>
    </w:p>
    <w:p>
      <w:pPr>
        <w:pStyle w:val="Heading2"/>
      </w:pPr>
      <w:r>
        <w:t>2. QRC architecture (Fig. 1)</w:t>
      </w:r>
    </w:p>
    <w:p>
      <w:pPr>
        <w:jc w:val="both"/>
      </w:pPr>
      <w:r>
        <w:t xml:space="preserve">CHIMERA is a delay-embedding quantum reservoir. Inputs are angle-encoded </w:t>
      </w:r>
      <w:r>
        <w:rPr>
          <w:rFonts w:ascii="Courier New" w:hAnsi="Courier New"/>
        </w:rPr>
        <w:t>RY(π·x)</w:t>
      </w:r>
      <w:r>
        <w:t xml:space="preserve">, one value per qubit, onto </w:t>
      </w:r>
      <w:r>
        <w:rPr>
          <w:rFonts w:ascii="Courier New" w:hAnsi="Courier New"/>
        </w:rPr>
        <w:t>|0…0⟩</w:t>
      </w:r>
      <w:r>
        <w:t xml:space="preserve">; the state evolves under a fixed transverse-field </w:t>
      </w:r>
      <w:r>
        <w:rPr>
          <w:b/>
        </w:rPr>
        <w:t>Ising</w:t>
      </w:r>
      <w:r>
        <w:t xml:space="preserve"> Hamiltonian </w:t>
      </w:r>
      <w:r>
        <w:rPr>
          <w:rFonts w:ascii="Courier New" w:hAnsi="Courier New"/>
        </w:rPr>
        <w:t>H = Σ_{i&lt;j} J_ij Z_iZ_j + h_x Σ_i X_i</w:t>
      </w:r>
      <w:r>
        <w:t xml:space="preserve"> (</w:t>
      </w:r>
      <w:r>
        <w:rPr>
          <w:rFonts w:ascii="Courier New" w:hAnsi="Courier New"/>
        </w:rPr>
        <w:t>h_x=1</w:t>
      </w:r>
      <w:r>
        <w:t xml:space="preserve">; </w:t>
      </w:r>
      <w:r>
        <w:rPr>
          <w:rFonts w:ascii="Courier New" w:hAnsi="Courier New"/>
        </w:rPr>
        <w:t>J</w:t>
      </w:r>
      <w:r>
        <w:t xml:space="preserve"> a </w:t>
      </w:r>
      <w:r>
        <w:rPr>
          <w:b/>
        </w:rPr>
        <w:t>random ≈50%-connected</w:t>
      </w:r>
      <w:r>
        <w:t xml:space="preserve"> graph, </w:t>
      </w:r>
      <w:r>
        <w:rPr>
          <w:rFonts w:ascii="Courier New" w:hAnsi="Courier New"/>
        </w:rPr>
        <w:t>connectivity=0.5</w:t>
      </w:r>
      <w:r>
        <w:t xml:space="preserve">; </w:t>
      </w:r>
      <w:r>
        <w:rPr>
          <w:rFonts w:ascii="Courier New" w:hAnsi="Courier New"/>
        </w:rPr>
        <w:t>U=exp(−iHτ)</w:t>
      </w:r>
      <w:r>
        <w:t xml:space="preserve">, </w:t>
      </w:r>
      <w:r>
        <w:rPr>
          <w:rFonts w:ascii="Courier New" w:hAnsi="Courier New"/>
        </w:rPr>
        <w:t>τ=2</w:t>
      </w:r>
      <w:r>
        <w:t xml:space="preserve">); single- and pairwise Pauli-Z expectations </w:t>
      </w:r>
      <w:r>
        <w:rPr>
          <w:rFonts w:ascii="Courier New" w:hAnsi="Courier New"/>
        </w:rPr>
        <w:t>⟨Z_i⟩,⟨Z_iZ_j⟩</w:t>
      </w:r>
      <w:r>
        <w:t xml:space="preserve"> form the feature vector. A </w:t>
      </w:r>
      <w:r>
        <w:rPr>
          <w:b/>
        </w:rPr>
        <w:t>ridge head consumes these features concatenated with a linear block of the same inputs (incl. HAR)</w:t>
      </w:r>
      <w:r>
        <w:t xml:space="preserve">, so any reservoir gain is genuine nonlinearity </w:t>
      </w:r>
      <w:r>
        <w:rPr>
          <w:i/>
        </w:rPr>
        <w:t>beyond</w:t>
      </w:r>
      <w:r>
        <w:t xml:space="preserve"> the linear span of identical information. The identical inputs feed the classical controls, isolating quantum-vs-classical. Four mechanisms extend the core (multi-scale τ-bank; RZ measurement feedback; regime-adaptive Ising↔Heisenberg via BOCPD; dissipation-as- feature); Phase 3 adds an </w:t>
      </w:r>
      <w:r>
        <w:rPr>
          <w:b/>
        </w:rPr>
        <w:t>encoding-density / data-re-uploading path</w:t>
      </w:r>
      <w:r>
        <w:t xml:space="preserve"> (§5.2) and a </w:t>
      </w:r>
      <w:r>
        <w:rPr>
          <w:b/>
        </w:rPr>
        <w:t>sparse/tensor backend</w:t>
      </w:r>
      <w:r>
        <w:t xml:space="preserve"> (§5.5). The engine is pure NumPy; an explicit PennyLane circuit reproduces it to ≈5×10⁻¹⁶ and compiles, at n=8, to </w:t>
      </w:r>
      <w:r>
        <w:rPr>
          <w:b/>
        </w:rPr>
        <w:t>380 native gates</w:t>
      </w:r>
      <w:r>
        <w:t xml:space="preserve"> (220 two-qubit + 160 one-qubit, 20 Trotter layers) — consistent with the ≈50%-connected 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68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8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1.</w:t>
      </w:r>
      <w:r>
        <w:rPr>
          <w:i/>
          <w:sz w:val="18"/>
        </w:rPr>
        <w:t xml:space="preserve"> CHIMERA-QRC pipeline: lagged log-RV (and, in Axis B, realized-measure) inputs are angle-encoded onto qubits, evolved under a fixed random-coupled Ising Hamiltonian, and read out as single/pairwise Pauli-Z expectations into a ridge head fused with a linear block of the same inputs; a BOCPD detector selects the Hamiltonian for regime adaptivity.</w:t>
      </w:r>
    </w:p>
    <w:p>
      <w:pPr>
        <w:pStyle w:val="Heading2"/>
      </w:pPr>
      <w:r>
        <w:t>3. Theoretical and analytical justification</w:t>
      </w:r>
    </w:p>
    <w:p>
      <w:pPr>
        <w:jc w:val="both"/>
      </w:pPr>
      <w:r>
        <w:t xml:space="preserve">The exploited quantum resources map to RV's structure: (a) </w:t>
      </w:r>
      <w:r>
        <w:rPr>
          <w:b/>
        </w:rPr>
        <w:t>Hilbert-space dimensionality</w:t>
      </w:r>
      <w:r>
        <w:t xml:space="preserve"> — n qubits give 2ⁿ amplitudes and O(n²) measured Pauli features at O(n²) parameter cost; (b) </w:t>
      </w:r>
      <w:r>
        <w:rPr>
          <w:b/>
        </w:rPr>
        <w:t>intrinsic nonlinearity</w:t>
      </w:r>
      <w:r>
        <w:t xml:space="preserve"> from fixed unitary evolution (no gradient training, no barren plateaus); (c) </w:t>
      </w:r>
      <w:r>
        <w:rPr>
          <w:b/>
        </w:rPr>
        <w:t>delay-embedded memory</w:t>
      </w:r>
      <w:r>
        <w:t xml:space="preserve"> (the headline model's memory is its explicit lag window, not reservoir recurrence — a recurrent variant is probed in </w:t>
      </w:r>
      <w:r>
        <w:rPr>
          <w:rFonts w:ascii="Courier New" w:hAnsi="Courier New"/>
        </w:rPr>
        <w:t>v3_research</w:t>
      </w:r>
      <w:r>
        <w:t xml:space="preserve">); (d) </w:t>
      </w:r>
      <w:r>
        <w:rPr>
          <w:b/>
        </w:rPr>
        <w:t>Hamiltonian as inductive bias</w:t>
      </w:r>
      <w:r>
        <w:t xml:space="preserve">. The central, falsifiable mechanism is </w:t>
      </w:r>
      <w:r>
        <w:rPr>
          <w:b/>
        </w:rPr>
        <w:t>expressivity scaling</w:t>
      </w:r>
      <w:r>
        <w:t xml:space="preserve">, which we measure directly via the geometric difference (Huang et al. 2021). The quantum kernel is poorly reproducible by a matched classical reservoir: against the name-matched ESN-108 reference, </w:t>
      </w:r>
      <w:r>
        <w:rPr>
          <w:b/>
        </w:rPr>
        <w:t>g(ESN→CHIMERA) ≈ 64 vs ≈3.7 control</w:t>
      </w:r>
      <w:r>
        <w:t xml:space="preserve"> (</w:t>
      </w:r>
      <w:r>
        <w:rPr>
          <w:rFonts w:ascii="Courier New" w:hAnsi="Courier New"/>
        </w:rPr>
        <w:t>cli.py run kernel</w:t>
      </w:r>
      <w:r>
        <w:t xml:space="preserve">); against per-n </w:t>
      </w:r>
      <w:r>
        <w:rPr>
          <w:i/>
        </w:rPr>
        <w:t>feature-matched</w:t>
      </w:r>
      <w:r>
        <w:t xml:space="preserve"> ESNs the gap is larger but </w:t>
      </w:r>
      <w:r>
        <w:rPr>
          <w:b/>
        </w:rPr>
        <w:t>non-monotonic</w:t>
      </w:r>
      <w:r>
        <w:t xml:space="preserve"> (g ≈125 at n=8, peaking ≈158 at n=10, falling ≈88 at n=12). (g is at fixed ridge regularization; the qualitative ~15–40× separation, not the exact value, is the claim.) Crucially, at ≤12–16 qubits the map remains classically simulable, so distinctness is </w:t>
      </w:r>
      <w:r>
        <w:rPr>
          <w:b/>
        </w:rPr>
        <w:t>necessary, not sufficient</w:t>
      </w:r>
      <w:r>
        <w:t xml:space="preserve"> for accuracy — and §5.3 shows that, here, it is indeed </w:t>
      </w:r>
      <w:r>
        <w:rPr>
          <w:i/>
        </w:rPr>
        <w:t>not</w:t>
      </w:r>
      <w:r>
        <w:t xml:space="preserve"> sufficient.</w:t>
      </w:r>
    </w:p>
    <w:p>
      <w:pPr>
        <w:pStyle w:val="Heading2"/>
      </w:pPr>
      <w:r>
        <w:t>4. Data modeling strategy</w:t>
      </w:r>
    </w:p>
    <w:p>
      <w:pPr>
        <w:jc w:val="both"/>
      </w:pPr>
      <w:r>
        <w:rPr>
          <w:b/>
        </w:rPr>
        <w:t>Datasets (all bundled in-repo).</w:t>
      </w:r>
      <w:r>
        <w:t xml:space="preserve"> Oxford-Man </w:t>
      </w:r>
      <w:r>
        <w:rPr>
          <w:rFonts w:ascii="Courier New" w:hAnsi="Courier New"/>
        </w:rPr>
        <w:t>.SPX</w:t>
      </w:r>
      <w:r>
        <w:t xml:space="preserve"> 5-minute realized variance, 2000–2020, 5,029 supervised days incl. the 2008 GFC (Heber et al. 2009; via R packages </w:t>
      </w:r>
      <w:r>
        <w:rPr>
          <w:rFonts w:ascii="Courier New" w:hAnsi="Courier New"/>
        </w:rPr>
        <w:t>highfrequency</w:t>
      </w:r>
      <w:r>
        <w:t>/</w:t>
      </w:r>
      <w:r>
        <w:rPr>
          <w:rFonts w:ascii="Courier New" w:hAnsi="Courier New"/>
        </w:rPr>
        <w:t>bvhar</w:t>
      </w:r>
      <w:r>
        <w:t xml:space="preserve">); SPY daily OHLCV 2022–2026 (Garman–Klass proxy; retrieved via Massive.com API, bundled); real MNIST (Keras </w:t>
      </w:r>
      <w:r>
        <w:rPr>
          <w:rFonts w:ascii="Courier New" w:hAnsi="Courier New"/>
        </w:rPr>
        <w:t>.npz</w:t>
      </w:r>
      <w:r>
        <w:t xml:space="preserve"> mirror). </w:t>
      </w:r>
      <w:r>
        <w:rPr>
          <w:b/>
        </w:rPr>
        <w:t>Preprocessing:</w:t>
      </w:r>
      <w:r>
        <w:t xml:space="preserve"> log-RV target; features min-max scaled to [0,1] on </w:t>
      </w:r>
      <w:r>
        <w:rPr>
          <w:b/>
        </w:rPr>
        <w:t>train only</w:t>
      </w:r>
      <w:r>
        <w:t xml:space="preserve">; per-model ridge penalty selected on a chronological validation tail; multi-seed ensembling. We verified the pipeline is leakage-free (all features lagged ≥1 day; train-only scaling). </w:t>
      </w:r>
      <w:r>
        <w:rPr>
          <w:b/>
        </w:rPr>
        <w:t>Baselines:</w:t>
      </w:r>
      <w:r>
        <w:t xml:space="preserve"> HAR, </w:t>
      </w:r>
      <w:r>
        <w:rPr>
          <w:b/>
        </w:rPr>
        <w:t>HAR-X</w:t>
      </w:r>
      <w:r>
        <w:t xml:space="preserve">, GARCH(1,1), GJR-GARCH, AR(3), persistence, ESN (matched + 4×, recurrent), RFF kernel, LSTM. </w:t>
      </w:r>
      <w:r>
        <w:rPr>
          <w:b/>
        </w:rPr>
        <w:t>Metrics:</w:t>
      </w:r>
      <w:r>
        <w:t xml:space="preserve"> RMSE(log-RV), QLIKE (Patton 2011), Mincer–Zarnowitz R²; significance by </w:t>
      </w:r>
      <w:r>
        <w:rPr>
          <w:b/>
        </w:rPr>
        <w:t>Diebold–Mariano with a Newey–West HAC variance</w:t>
      </w:r>
      <w:r>
        <w:t xml:space="preserve"> (HLN-corrected), </w:t>
      </w:r>
      <w:r>
        <w:rPr>
          <w:b/>
        </w:rPr>
        <w:t>Holm</w:t>
      </w:r>
      <w:r>
        <w:t>-adjusted across the comparison family, and the Model Confidence Set (Hansen–Lunde–Nason 2011).</w:t>
      </w:r>
    </w:p>
    <w:p>
      <w:pPr>
        <w:pStyle w:val="Heading2"/>
      </w:pPr>
      <w:r>
        <w:t>5. Phase-3 execution — concrete results</w:t>
      </w:r>
    </w:p>
    <w:p>
      <w:pPr>
        <w:jc w:val="both"/>
      </w:pPr>
      <w:r>
        <w:rPr>
          <w:b/>
        </w:rPr>
        <w:t>Pre-registration (honesty).</w:t>
      </w:r>
      <w:r>
        <w:t xml:space="preserve"> Before running, we fixed the confirm/refute thresholds in </w:t>
      </w:r>
      <w:r>
        <w:rPr>
          <w:rFonts w:ascii="Courier New" w:hAnsi="Courier New"/>
        </w:rPr>
        <w:t>preregistration.py</w:t>
      </w:r>
      <w:r>
        <w:t xml:space="preserve"> (H0/H1/H4, from our Phase-2 §7). All outcomes — including negatives — are reported against them. Full numbers/wall-clock: </w:t>
      </w:r>
      <w:r>
        <w:rPr>
          <w:rFonts w:ascii="Courier New" w:hAnsi="Courier New"/>
        </w:rPr>
        <w:t>results/*_findings.md</w:t>
      </w:r>
      <w:r>
        <w:t>.</w:t>
      </w:r>
    </w:p>
    <w:p>
      <w:pPr>
        <w:jc w:val="both"/>
      </w:pPr>
      <w:r>
        <w:rPr>
          <w:b/>
        </w:rPr>
        <w:t>5.1 The input-bottleneck mechanism (pre-registered negative).</w:t>
      </w:r>
      <w:r>
        <w:t xml:space="preserve"> With a </w:t>
      </w:r>
      <w:r>
        <w:rPr>
          <w:i/>
        </w:rPr>
        <w:t>fixed</w:t>
      </w:r>
      <w:r>
        <w:t xml:space="preserve"> univariate 8-lag encoder, extra qubits receive no new input: g(n) and effective feature-rank </w:t>
      </w:r>
      <w:r>
        <w:rPr>
          <w:b/>
        </w:rPr>
        <w:t>saturate/decline</w:t>
      </w:r>
      <w:r>
        <w:t xml:space="preserve"> (n=8→12: g 133→30 at N_sub=800; D_eff 1.8→1.5). </w:t>
      </w:r>
      <w:r>
        <w:rPr>
          <w:b/>
        </w:rPr>
        <w:t>H0 is refuted in this regime</w:t>
      </w:r>
      <w:r>
        <w:t xml:space="preserve"> — the empirical case </w:t>
      </w:r>
      <w:r>
        <w:rPr>
          <w:i/>
        </w:rPr>
        <w:t>for</w:t>
      </w:r>
      <w:r>
        <w:t xml:space="preserve"> enriching the encoding.</w:t>
      </w:r>
    </w:p>
    <w:p>
      <w:pPr>
        <w:jc w:val="both"/>
      </w:pPr>
      <w:r>
        <w:rPr>
          <w:b/>
        </w:rPr>
        <w:t>5.2 Encoding density (Axis B) — mechanism confirmed.</w:t>
      </w:r>
      <w:r>
        <w:t xml:space="preserve"> Feeding the extra qubits genuinely new realized-measure information (signed return/leverage, downside-semivariance share, jump share) restores the lost structure: at n=10, informed vs idle qubits, kernel distinctness and rank jump (</w:t>
      </w:r>
      <w:r>
        <w:rPr>
          <w:b/>
        </w:rPr>
        <w:t>g 52→158, D_eff 1.5→3.1</w:t>
      </w:r>
      <w:r>
        <w:t xml:space="preserve">), and effective rank grows with n (D_eff 1.81→3.14, n=8→12). So the bottleneck is </w:t>
      </w:r>
      <w:r>
        <w:rPr>
          <w:i/>
        </w:rPr>
        <w:t>fixable</w:t>
      </w:r>
      <w:r>
        <w:t xml:space="preserve"> — added qubits can carry new information. The decisive question is whether this converts into forecasting </w:t>
      </w:r>
      <w:r>
        <w:rPr>
          <w:b/>
        </w:rPr>
        <w:t>accuracy</w:t>
      </w:r>
      <w:r>
        <w:t>.</w:t>
      </w:r>
    </w:p>
    <w:p>
      <w:pPr>
        <w:jc w:val="both"/>
      </w:pPr>
      <w:r>
        <w:rPr>
          <w:b/>
        </w:rPr>
        <w:t>5.3 The decisive, adversarially-controlled test (the honest headline).</w:t>
      </w:r>
      <w:r>
        <w:t xml:space="preserve"> We compare CHIMERA to the strongest fair baselines — </w:t>
      </w:r>
      <w:r>
        <w:rPr>
          <w:b/>
        </w:rPr>
        <w:t>HAR-X</w:t>
      </w:r>
      <w:r>
        <w:t xml:space="preserve"> (the same rich features used </w:t>
      </w:r>
      <w:r>
        <w:rPr>
          <w:i/>
        </w:rPr>
        <w:t>linearly</w:t>
      </w:r>
      <w:r>
        <w:t xml:space="preserve">, no reservoir), a </w:t>
      </w:r>
      <w:r>
        <w:rPr>
          <w:b/>
        </w:rPr>
        <w:t>true recurrent ESN</w:t>
      </w:r>
      <w:r>
        <w:t xml:space="preserve">, and an </w:t>
      </w:r>
      <w:r>
        <w:rPr>
          <w:b/>
        </w:rPr>
        <w:t>RFF kernel</w:t>
      </w:r>
      <w:r>
        <w:t xml:space="preserve"> — all sharing the identical information set and </w:t>
      </w:r>
      <w:r>
        <w:rPr>
          <w:i/>
        </w:rPr>
        <w:t>nesting</w:t>
      </w:r>
      <w:r>
        <w:t xml:space="preserve"> HAR-X, so a quantum win requires nonlinearity beyond the linear span. With </w:t>
      </w:r>
      <w:r>
        <w:rPr>
          <w:b/>
        </w:rPr>
        <w:t>8 seeds, HAC-DM, two windows, and Holm correction</w:t>
      </w:r>
      <w:r>
        <w:t xml:space="preserve"> (</w:t>
      </w:r>
      <w:r>
        <w:rPr>
          <w:rFonts w:ascii="Courier New" w:hAnsi="Courier New"/>
        </w:rPr>
        <w:t>cli.py run axisB_rig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  <w:sz w:val="18"/>
              </w:rPr>
              <w:t>RMSE(log-RV)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HAR-X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recurrent ESN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RFF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CHIMERA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best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crisis n=8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0.6255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0.6386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0.6302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0.6379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HAR-X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crisis n=10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0.6034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0.5996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0.6047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0.6074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ESN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crisis n=12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0.5906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0.6023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0.5964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0.6031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HAR-X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calm n=10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0.6244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0.6445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0.6264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0.6291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HAR-X</w:t>
            </w:r>
          </w:p>
        </w:tc>
      </w:tr>
    </w:tbl>
    <w:p>
      <w:pPr>
        <w:jc w:val="both"/>
      </w:pPr>
      <w:r>
        <w:rPr>
          <w:i/>
        </w:rPr>
        <w:t>(plain HAR for reference: crisis 0.6290, calm 0.6454 — HAR-X's rich features cut RMSE sharply.)</w:t>
      </w:r>
      <w:r>
        <w:t xml:space="preserve"> </w:t>
      </w:r>
      <w:r>
        <w:rPr>
          <w:b/>
        </w:rPr>
        <w:t>HAR-X is best or co-best everywhere; CHIMERA never beats it</w:t>
      </w:r>
      <w:r>
        <w:t xml:space="preserve"> and is indistinguishable from the classical ESN/RFF after Holm (one raw loss to RFF at crisis n=8, p=0.049). </w:t>
      </w:r>
      <w:r>
        <w:rPr>
          <w:b/>
        </w:rPr>
        <w:t>After Holm correction no comparison is significant in either direction, and the 95% MCS retains all four models (n=10)</w:t>
      </w:r>
      <w:r>
        <w:t xml:space="preserve"> — a statistical tie. The earlier "beats HAR" result was an artifact of a </w:t>
      </w:r>
      <w:r>
        <w:rPr>
          <w:i/>
        </w:rPr>
        <w:t>feature-poor</w:t>
      </w:r>
      <w:r>
        <w:t xml:space="preserve"> HAR: the gain is the encoded realized measures (a known SHAR/HARQ effect), not quantum nonlinearity. </w:t>
      </w:r>
      <w:r>
        <w:rPr>
          <w:b/>
        </w:rPr>
        <w:t>By our pre-registered criteria, H0 is refuted — we report this negative.</w:t>
      </w:r>
      <w:r>
        <w:t xml:space="preserve"> What honestly survives for the quantum reservoir: it is </w:t>
      </w:r>
      <w:r>
        <w:rPr>
          <w:b/>
        </w:rPr>
        <w:t>competitive</w:t>
      </w:r>
      <w:r>
        <w:t xml:space="preserve"> (within ≈0.8–2.1% RMSE of the best at every n), with </w:t>
      </w:r>
      <w:r>
        <w:rPr>
          <w:b/>
        </w:rPr>
        <w:t>lower per-seed dispersion than the recurrent ESN in 3 of 4 cells</w:t>
      </w:r>
      <w:r>
        <w:t xml:space="preserve"> (n=12: 0.009 vs 0.015) and </w:t>
      </w:r>
      <w:r>
        <w:rPr>
          <w:b/>
        </w:rPr>
        <w:t>beats it on the calm window</w:t>
      </w:r>
      <w:r>
        <w:t xml:space="preserve"> (raw p=0.018; n.s. after Holm). A </w:t>
      </w:r>
      <w:r>
        <w:rPr>
          <w:b/>
        </w:rPr>
        <w:t>tuned, size-unconstrained ESN</w:t>
      </w:r>
      <w:r>
        <w:t xml:space="preserve"> (45-config search to 800 nodes) confirms the control was not crippled (0.6020 vs CHIMERA 0.6094, within noise of HAR-X); and </w:t>
      </w:r>
      <w:r>
        <w:rPr>
          <w:b/>
        </w:rPr>
        <w:t>named canonical models</w:t>
      </w:r>
      <w:r>
        <w:t xml:space="preserve"> (SHAR, HAR-CJ, HARQ, HEAVY-RM; MSE + QLIKE DM) — </w:t>
      </w:r>
      <w:r>
        <w:rPr>
          <w:b/>
        </w:rPr>
        <w:t>none beats HAR-X</w:t>
      </w:r>
      <w:r>
        <w:t xml:space="preserve">, with CHIMERA tying best on RMSE and only a </w:t>
      </w:r>
      <w:r>
        <w:rPr>
          <w:i/>
        </w:rPr>
        <w:t>raw, non-Holm</w:t>
      </w:r>
      <w:r>
        <w:t xml:space="preserve"> QLIKE/MZ edge (</w:t>
      </w:r>
      <w:r>
        <w:rPr>
          <w:rFonts w:ascii="Courier New" w:hAnsi="Courier New"/>
        </w:rPr>
        <w:t>cli.py run canonical</w:t>
      </w:r>
      <w:r>
        <w:t xml:space="preserve">, </w:t>
      </w:r>
      <w:r>
        <w:rPr>
          <w:rFonts w:ascii="Courier New" w:hAnsi="Courier New"/>
        </w:rPr>
        <w:t>esn_tuning_robustness_findings.md</w:t>
      </w:r>
      <w: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5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xisB_rigoro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2.</w:t>
      </w:r>
      <w:r>
        <w:rPr>
          <w:i/>
          <w:sz w:val="18"/>
        </w:rPr>
        <w:t xml:space="preserve"> Rigorous Axis-B (8 seeds, crisis window). HAR-X (rich features, linear) is the best or co-best model at every n; the quantum reservoir is competitive but shows no advantage that survives HAC-DM + Holm correction. Left: RMSE(log-RV). Right: Mincer–Zarnowitz R².</w:t>
      </w:r>
    </w:p>
    <w:p>
      <w:pPr>
        <w:jc w:val="both"/>
      </w:pPr>
      <w:r>
        <w:rPr>
          <w:b/>
        </w:rPr>
        <w:t>5.4 Common MNIST benchmark + noise.</w:t>
      </w:r>
      <w:r>
        <w:t xml:space="preserve"> Same engine, pixels→PCA(n)→n qubits→Pauli readout→ridge. Accuracy </w:t>
      </w:r>
      <w:r>
        <w:rPr>
          <w:b/>
        </w:rPr>
        <w:t>scales with qubits</w:t>
      </w:r>
      <w:r>
        <w:t xml:space="preserve"> (n=5/8/10/12: 0.632/0.798/0.831/0.859, 3 seeds; </w:t>
      </w:r>
      <w:r>
        <w:rPr>
          <w:b/>
        </w:rPr>
        <w:t>n=15 sparse-exact continues the trend</w:t>
      </w:r>
      <w:r>
        <w:t xml:space="preserve">, 0.878 vs 0.852 for a paired n=12 on a matched subset — closing the brief's 5/10/15 example) and </w:t>
      </w:r>
      <w:r>
        <w:rPr>
          <w:b/>
        </w:rPr>
        <w:t>beats the linear-PCA baseline at every n</w:t>
      </w:r>
      <w:r>
        <w:t xml:space="preserve"> (real nonlinear lift), confirming </w:t>
      </w:r>
      <w:r>
        <w:rPr>
          <w:b/>
        </w:rPr>
        <w:t>sufficient expressivity</w:t>
      </w:r>
      <w:r>
        <w:t xml:space="preserve">; a matched ESN </w:t>
      </w:r>
      <w:r>
        <w:rPr>
          <w:b/>
        </w:rPr>
        <w:t>ties or slightly exceeds</w:t>
      </w:r>
      <w:r>
        <w:t xml:space="preserve"> CHIMERA (within ≈1% for n≥8; 2.9% at n=5) — competitive, not dominant. </w:t>
      </w:r>
      <w:r>
        <w:rPr>
          <w:b/>
        </w:rPr>
        <w:t>Noise:</w:t>
      </w:r>
      <w:r>
        <w:t xml:space="preserve"> the classifier is </w:t>
      </w:r>
      <w:r>
        <w:rPr>
          <w:b/>
        </w:rPr>
        <w:t>invariant to depolarizing</w:t>
      </w:r>
      <w:r>
        <w:t xml:space="preserve"> noise (a uniform Bloch contraction that per-feature standardization removes exactly; accuracy identical across rates 0.05–0.30) and </w:t>
      </w:r>
      <w:r>
        <w:rPr>
          <w:b/>
        </w:rPr>
        <w:t>robust to amplitude damping</w:t>
      </w:r>
      <w:r>
        <w:t xml:space="preserve"> (&lt;0.5% at 30%). </w:t>
      </w:r>
      <w:r>
        <w:rPr>
          <w:b/>
        </w:rPr>
        <w:t>Honesty check (`cli.py run noise_circuit`):</w:t>
      </w:r>
      <w:r>
        <w:t xml:space="preserve"> a per-Trotter-layer density-matrix study shows the </w:t>
      </w:r>
      <w:r>
        <w:rPr>
          <w:i/>
        </w:rPr>
        <w:t>converse</w:t>
      </w:r>
      <w:r>
        <w:t xml:space="preserve"> — noise interleaved with the evolution (per-layer single-qubit channels) is </w:t>
      </w:r>
      <w:r>
        <w:rPr>
          <w:b/>
        </w:rPr>
        <w:t>not</w:t>
      </w:r>
      <w:r>
        <w:t xml:space="preserve"> removed by standardization (standardized error grows with rate, vs </w:t>
      </w:r>
      <w:r>
        <w:rPr>
          <w:b/>
        </w:rPr>
        <w:t>≈0</w:t>
      </w:r>
      <w:r>
        <w:t xml:space="preserve"> for readout-only depolarizing): the invariance is a </w:t>
      </w:r>
      <w:r>
        <w:rPr>
          <w:i/>
        </w:rPr>
        <w:t>readout</w:t>
      </w:r>
      <w:r>
        <w:t xml:space="preserve"> property, not circuit-level robustness; accumulated gate error is the real NISQ cost (§6).</w:t>
      </w:r>
    </w:p>
    <w:p>
      <w:pPr>
        <w:jc w:val="both"/>
      </w:pPr>
      <w:r>
        <w:rPr>
          <w:b/>
        </w:rPr>
        <w:t>5.5 Scaling frontier + quantum-complexity metric.</w:t>
      </w:r>
      <w:r>
        <w:t xml:space="preserve"> A sparse-exact backend (</w:t>
      </w:r>
      <w:r>
        <w:rPr>
          <w:rFonts w:ascii="Courier New" w:hAnsi="Courier New"/>
        </w:rPr>
        <w:t>expm_multiply</w:t>
      </w:r>
      <w:r>
        <w:t xml:space="preserve">, no dense propagator; matches the dense engine to </w:t>
      </w:r>
      <w:r>
        <w:rPr>
          <w:b/>
        </w:rPr>
        <w:t>2.4×10⁻¹⁴</w:t>
      </w:r>
      <w:r>
        <w:t xml:space="preserve">) reaches </w:t>
      </w:r>
      <w:r>
        <w:rPr>
          <w:b/>
        </w:rPr>
        <w:t>n=16 exactly</w:t>
      </w:r>
      <w:r>
        <w:t xml:space="preserve">. For the random ≈50%-connected reservoir we measure the </w:t>
      </w:r>
      <w:r>
        <w:rPr>
          <w:b/>
        </w:rPr>
        <w:t>bond dimension</w:t>
      </w:r>
      <w:r>
        <w:t xml:space="preserve"> χ_eff across a balanced cut: it is </w:t>
      </w:r>
      <w:r>
        <w:rPr>
          <w:b/>
        </w:rPr>
        <w:t>essentially full at every n, χ_eff ≈ 2^(n/2)</w:t>
      </w:r>
      <w:r>
        <w:t xml:space="preserve"> (16→255.9 for n=8→16) — an exact MPS gets </w:t>
      </w:r>
      <w:r>
        <w:rPr>
          <w:b/>
        </w:rPr>
        <w:t>zero compression</w:t>
      </w:r>
      <w:r>
        <w:t xml:space="preserve"> (S ≈ 1.7–3.2 nats): the reservoir admits </w:t>
      </w:r>
      <w:r>
        <w:rPr>
          <w:b/>
        </w:rPr>
        <w:t>no low-bond-dimension (MPS/TEBD) shortcut</w:t>
      </w:r>
      <w:r>
        <w:t xml:space="preserve">, exact cost stays exponential — the precondition any beyond-frontier advantage would need, though none appears at the scale we can test. </w:t>
      </w:r>
      <w:r>
        <w:rPr>
          <w:b/>
        </w:rPr>
        <w:t>Capability + efficiency checks.</w:t>
      </w:r>
      <w:r>
        <w:t xml:space="preserve"> An information-processing-capacity probe (Dambre et al. 2012; </w:t>
      </w:r>
      <w:r>
        <w:rPr>
          <w:rFonts w:ascii="Courier New" w:hAnsi="Courier New"/>
        </w:rPr>
        <w:t>cli.py run capacity</w:t>
      </w:r>
      <w:r>
        <w:t xml:space="preserve">) finds the quantum reservoir </w:t>
      </w:r>
      <w:r>
        <w:rPr>
          <w:b/>
        </w:rPr>
        <w:t>not more</w:t>
      </w:r>
      <w:r>
        <w:t xml:space="preserve"> — slightly </w:t>
      </w:r>
      <w:r>
        <w:rPr>
          <w:i/>
        </w:rPr>
        <w:t>less</w:t>
      </w:r>
      <w:r>
        <w:t xml:space="preserve"> — nonlinearly expressive than a matched RFF/ESN: no excess expressivity to exploit. A frontier check (</w:t>
      </w:r>
      <w:r>
        <w:rPr>
          <w:rFonts w:ascii="Courier New" w:hAnsi="Courier New"/>
        </w:rPr>
        <w:t>cli.py run frontier</w:t>
      </w:r>
      <w:r>
        <w:t xml:space="preserve">) adds that g(n) does </w:t>
      </w:r>
      <w:r>
        <w:rPr>
          <w:b/>
        </w:rPr>
        <w:t>not</w:t>
      </w:r>
      <w:r>
        <w:t xml:space="preserve"> widen toward n=16 (it declines; D_eff/rank grow but a matched ESN keeps pace). </w:t>
      </w:r>
      <w:r>
        <w:rPr>
          <w:b/>
        </w:rPr>
        <w:t>Robustness (supporting study).</w:t>
      </w:r>
      <w:r>
        <w:t xml:space="preserve"> </w:t>
      </w:r>
      <w:r>
        <w:rPr>
          <w:i/>
        </w:rPr>
        <w:t>Second family:</w:t>
      </w:r>
      <w:r>
        <w:t xml:space="preserve"> a </w:t>
      </w:r>
      <w:r>
        <w:rPr>
          <w:b/>
        </w:rPr>
        <w:t>Heisenberg (XXZ)</w:t>
      </w:r>
      <w:r>
        <w:t xml:space="preserve"> reservoir — equally kernel-distinct (g≈55) — also fails to beat HAR-X (0.650 vs 0.642, 8 seeds, full-sample config), so the negative is </w:t>
      </w:r>
      <w:r>
        <w:rPr>
          <w:b/>
        </w:rPr>
        <w:t>not Ising-specific</w:t>
      </w:r>
      <w:r>
        <w:t xml:space="preserve"> (</w:t>
      </w:r>
      <w:r>
        <w:rPr>
          <w:rFonts w:ascii="Courier New" w:hAnsi="Courier New"/>
        </w:rPr>
        <w:t>cli.py run second_family</w:t>
      </w:r>
      <w:r>
        <w:t xml:space="preserve">). </w:t>
      </w:r>
      <w:r>
        <w:rPr>
          <w:i/>
        </w:rPr>
        <w:t>Efficiency:</w:t>
      </w:r>
      <w:r>
        <w:t xml:space="preserve"> with input held fixed, a </w:t>
      </w:r>
      <w:r>
        <w:rPr>
          <w:i/>
        </w:rPr>
        <w:t>smaller</w:t>
      </w:r>
      <w:r>
        <w:t xml:space="preserve"> QRC cannot substitute for a </w:t>
      </w:r>
      <w:r>
        <w:rPr>
          <w:i/>
        </w:rPr>
        <w:t>larger</w:t>
      </w:r>
      <w:r>
        <w:t xml:space="preserve"> classical reservoir — quantum accuracy </w:t>
      </w:r>
      <w:r>
        <w:rPr>
          <w:b/>
        </w:rPr>
        <w:t>saturates</w:t>
      </w:r>
      <w:r>
        <w:t xml:space="preserve"> while the classical curves improve; per feature the static maps are comparable, so the negative is </w:t>
      </w:r>
      <w:r>
        <w:rPr>
          <w:b/>
        </w:rPr>
        <w:t>saturation, not per-feature inferiority</w:t>
      </w:r>
      <w:r>
        <w:t xml:space="preserve"> (weather RMSE °C: CHIMERA 0.85 at its qubit-range ceiling vs RFF 0.78 / recurrent ESN 0.71 at larger budgets). </w:t>
      </w:r>
      <w:r>
        <w:rPr>
          <w:i/>
        </w:rPr>
        <w:t>Domain/architecture:</w:t>
      </w:r>
      <w:r>
        <w:t xml:space="preserve"> the </w:t>
      </w:r>
      <w:r>
        <w:rPr>
          <w:i/>
        </w:rPr>
        <w:t>same</w:t>
      </w:r>
      <w:r>
        <w:t xml:space="preserve"> engine/protocol on chaotic </w:t>
      </w:r>
      <w:r>
        <w:rPr>
          <w:b/>
        </w:rPr>
        <w:t>weather</w:t>
      </w:r>
      <w:r>
        <w:t xml:space="preserve"> (5 stations) and the autonomous </w:t>
      </w:r>
      <w:r>
        <w:rPr>
          <w:b/>
        </w:rPr>
        <w:t>VPT</w:t>
      </w:r>
      <w:r>
        <w:t xml:space="preserve"> metric still show no advantage; the </w:t>
      </w:r>
      <w:r>
        <w:rPr>
          <w:b/>
        </w:rPr>
        <w:t>recurrent</w:t>
      </w:r>
      <w:r>
        <w:t xml:space="preserve"> QRC is competitive-not-better — unitary evolution is non-dissipative, lacking the contraction behind ESN "generalized synchronization" (Ahmed–Tennie–Magri 2025). We then </w:t>
      </w:r>
      <w:r>
        <w:rPr>
          <w:b/>
        </w:rPr>
        <w:t>fixed the mechanism</w:t>
      </w:r>
      <w:r>
        <w:t xml:space="preserve">: engineered memory-qubit damping traces the pre-registered inverted-U, lifting autonomous VPT ≈+60% to </w:t>
      </w:r>
      <w:r>
        <w:rPr>
          <w:b/>
        </w:rPr>
        <w:t>parity</w:t>
      </w:r>
      <w:r>
        <w:t xml:space="preserve"> with the matched ESN — not better (</w:t>
      </w:r>
      <w:r>
        <w:rPr>
          <w:rFonts w:ascii="Courier New" w:hAnsi="Courier New"/>
        </w:rPr>
        <w:t>results/dissipative_qrc_findings.md</w:t>
      </w:r>
      <w:r>
        <w:t>).</w:t>
      </w:r>
    </w:p>
    <w:p>
      <w:pPr>
        <w:pStyle w:val="Heading2"/>
      </w:pPr>
      <w:r>
        <w:t>6. Quantum platform and resource planning</w:t>
      </w:r>
    </w:p>
    <w:p>
      <w:pPr>
        <w:jc w:val="both"/>
      </w:pPr>
      <w:r>
        <w:t xml:space="preserve">Simulator-first on qBraid: statevector ≤12 qubits, sparse/TN to ≈16, GPU beyond. </w:t>
      </w:r>
      <w:r>
        <w:rPr>
          <w:b/>
        </w:rPr>
        <w:t>Resource estimates</w:t>
      </w:r>
      <w:r>
        <w:t xml:space="preserve"> (gate-Trotter, 20 layers): n=8/10/12 use </w:t>
      </w:r>
      <w:r>
        <w:rPr>
          <w:b/>
        </w:rPr>
        <w:t>220/480/760 two-qubit + 160/200/240 one-qubit</w:t>
      </w:r>
      <w:r>
        <w:t xml:space="preserve"> gates, yielding </w:t>
      </w:r>
      <w:r>
        <w:rPr>
          <w:b/>
        </w:rPr>
        <w:t>36/55/78 observables</w:t>
      </w:r>
      <w:r>
        <w:t xml:space="preserve"> — all Z-basis-diagonal, so </w:t>
      </w:r>
      <w:r>
        <w:rPr>
          <w:b/>
        </w:rPr>
        <w:t>one S-shot set (S≈2–8k, ε≈1/√S) reads every observable</w:t>
      </w:r>
      <w:r>
        <w:t xml:space="preserve"> (statevector build ≤~1 min over this range).</w:t>
      </w:r>
    </w:p>
    <w:p>
      <w:pPr>
        <w:jc w:val="both"/>
      </w:pPr>
      <w:r>
        <w:rPr>
          <w:b/>
        </w:rPr>
        <w:t>QPU validation</w:t>
      </w:r>
      <w:r>
        <w:t xml:space="preserve"> uses this gate-Trotter circuit on </w:t>
      </w:r>
      <w:r>
        <w:rPr>
          <w:b/>
        </w:rPr>
        <w:t>IonQ / IQM / Rigetti</w:t>
      </w:r>
      <w:r>
        <w:t xml:space="preserve"> via qBraid — the random-sparse Ising needs </w:t>
      </w:r>
      <w:r>
        <w:rPr>
          <w:i/>
        </w:rPr>
        <w:t>fewer</w:t>
      </w:r>
      <w:r>
        <w:t xml:space="preserve"> two-qubit gates than an all-to-all reservoir, easing NISQ mapping — with </w:t>
      </w:r>
      <w:r>
        <w:rPr>
          <w:b/>
        </w:rPr>
        <w:t>ZNE + measurement mitigation</w:t>
      </w:r>
      <w:r>
        <w:t xml:space="preserve"> and a classical cross-check per run. The submission path is </w:t>
      </w:r>
      <w:r>
        <w:rPr>
          <w:b/>
        </w:rPr>
        <w:t>executable now</w:t>
      </w:r>
      <w:r>
        <w:t xml:space="preserve"> (</w:t>
      </w:r>
      <w:r>
        <w:rPr>
          <w:rFonts w:ascii="Courier New" w:hAnsi="Courier New"/>
        </w:rPr>
        <w:t>cli.py run qsubmit</w:t>
      </w:r>
      <w:r>
        <w:t xml:space="preserve">): on a simulator it (i) reproduces the engine to </w:t>
      </w:r>
      <w:r>
        <w:rPr>
          <w:b/>
        </w:rPr>
        <w:t>3.9×10⁻¹⁶</w:t>
      </w:r>
      <w:r>
        <w:t xml:space="preserve"> (the per-run classical cross-check), (ii) characterizes the </w:t>
      </w:r>
      <w:r>
        <w:rPr>
          <w:b/>
        </w:rPr>
        <w:t>shot budget</w:t>
      </w:r>
      <w:r>
        <w:t xml:space="preserve"> (ε≈1/√S; feature error 0.046→0.0066 at S=256→16k; gate-Trotter(20) adds ≈0.04), and (iii) demonstrates </w:t>
      </w:r>
      <w:r>
        <w:rPr>
          <w:b/>
        </w:rPr>
        <w:t>zero-noise extrapolation</w:t>
      </w:r>
      <w:r>
        <w:t xml:space="preserve"> under a depolarizing sweep. </w:t>
      </w:r>
      <w:r>
        <w:rPr>
          <w:b/>
        </w:rPr>
        <w:t>Executed on real hardware:</w:t>
      </w:r>
      <w:r>
        <w:t xml:space="preserve"> the full mitigated protocol ran first on </w:t>
      </w:r>
      <w:r>
        <w:rPr>
          <w:b/>
        </w:rPr>
        <w:t>Rigetti Cepheus-1-108q</w:t>
      </w:r>
      <w:r>
        <w:t xml:space="preserve"> (12 logged cloud jobs; bit order auto-detected; readout 2.3%/6.4%): after lattice routing, scale-1 already exceeds the coherence budget — the accumulated two-qubit-gate cost §5.4 predicts, measured on metal (ZNE marginal; a 4k-shot replication showed the beyond-limit regime stable under day-scale drift). The pre-registered </w:t>
      </w:r>
      <w:r>
        <w:rPr>
          <w:b/>
        </w:rPr>
        <w:t>Garnet protocol</w:t>
      </w:r>
      <w:r>
        <w:t xml:space="preserve"> replicated the regime on a second vendor (raw 0.230 &gt; our routing-free 0.171 forecast — </w:t>
      </w:r>
      <w:r>
        <w:rPr>
          <w:b/>
        </w:rPr>
        <w:t>prediction (iii) confirmed</w:t>
      </w:r>
      <w:r>
        <w:t xml:space="preserve">). Cross-platform execution also surfaced a </w:t>
      </w:r>
      <w:r>
        <w:rPr>
          <w:b/>
        </w:rPr>
        <w:t>platform-level finding</w:t>
      </w:r>
      <w:r>
        <w:t xml:space="preserve">: negative-angle rotations are </w:t>
      </w:r>
      <w:r>
        <w:rPr>
          <w:b/>
        </w:rPr>
        <w:t>silently lost server-side on the IonQ route</w:t>
      </w:r>
      <w:r>
        <w:t xml:space="preserve"> (RY(π)RY(−π) executed as net RY(π); the client JSON provably contained both), corrupting ZNE's negated folds; we hardened the emitter (mod-2π angles) and validated on-device (P(|0⁸⟩)=0.996 vs 0.0). The decisive routing-free </w:t>
      </w:r>
      <w:r>
        <w:rPr>
          <w:b/>
        </w:rPr>
        <w:t>IonQ Forte-1 campaign then executed</w:t>
      </w:r>
      <w:r>
        <w:t xml:space="preserve"> under the pre-committed manifest: a smoke gate measured a </w:t>
      </w:r>
      <w:r>
        <w:rPr>
          <w:b/>
        </w:rPr>
        <w:t>2,000-gate/circuit device ceiling</w:t>
      </w:r>
      <w:r>
        <w:t xml:space="preserve"> on the native route (corroborated by an OpenQuantum-route probe), so per abort rule it ran scale-1-only (500 shots — a disclosed, cost-forced deviation from the 4k config, s.e.≈0.004; readout 0.08%/0.65%). </w:t>
      </w:r>
      <w:r>
        <w:rPr>
          <w:b/>
        </w:rPr>
        <w:t>Raw 0.104 — below the 0.196 depolarized limit</w:t>
      </w:r>
      <w:r>
        <w:t xml:space="preserve"> and every superconducting n=8 number: the </w:t>
      </w:r>
      <w:r>
        <w:rPr>
          <w:b/>
        </w:rPr>
        <w:t>first signal-bearing hardware execution</w:t>
      </w:r>
      <w:r>
        <w:t xml:space="preserve"> of this reservoir (</w:t>
      </w:r>
      <w:r>
        <w:rPr>
          <w:b/>
        </w:rPr>
        <w:t>prediction (ii) confirmed</w:t>
      </w:r>
      <w:r>
        <w:t xml:space="preserve">, under our 0.149 forecast; </w:t>
      </w:r>
      <w:r>
        <w:rPr>
          <w:rFonts w:ascii="Courier New" w:hAnsi="Courier New"/>
        </w:rPr>
        <w:t>results/qpu_hardware_findings.md</w:t>
      </w:r>
      <w:r>
        <w:t xml:space="preserve">). A pre-registered </w:t>
      </w:r>
      <w:r>
        <w:rPr>
          <w:b/>
        </w:rPr>
        <w:t>hardware scaling program</w:t>
      </w:r>
      <w:r>
        <w:t xml:space="preserve"> (</w:t>
      </w:r>
      <w:r>
        <w:rPr>
          <w:rFonts w:ascii="Courier New" w:hAnsi="Courier New"/>
        </w:rPr>
        <w:t>results/qpu_scaling_outlook.md</w:t>
      </w:r>
      <w:r>
        <w:t xml:space="preserve">) then refuted our own statements on metal (Fig. 3): Garnet turns </w:t>
      </w:r>
      <w:r>
        <w:rPr>
          <w:b/>
        </w:rPr>
        <w:t>signal-bearing at n=10/n=12</w:t>
      </w:r>
      <w:r>
        <w:t xml:space="preserve"> while the </w:t>
      </w:r>
      <w:r>
        <w:rPr>
          <w:b/>
        </w:rPr>
        <w:t>same-session seed-0 n=8 anchor</w:t>
      </w:r>
      <w:r>
        <w:t xml:space="preserve"> stays scrambled — but a pre-registered cross-seed control (</w:t>
      </w:r>
      <w:r>
        <w:rPr>
          <w:b/>
        </w:rPr>
        <w:t>S7</w:t>
      </w:r>
      <w:r>
        <w:t xml:space="preserve">) found an </w:t>
      </w:r>
      <w:r>
        <w:rPr>
          <w:b/>
        </w:rPr>
        <w:t>independent seed-1 n=8 instance signal-bearing</w:t>
      </w:r>
      <w:r>
        <w:t xml:space="preserve"> in the same session, so the n=8 scrambling is </w:t>
      </w:r>
      <w:r>
        <w:rPr>
          <w:b/>
        </w:rPr>
        <w:t>specific to the seed-0 instance, not a size law</w:t>
      </w:r>
      <w:r>
        <w:t xml:space="preserve"> (seed-1 n=10 also signal-bearing) — and the newer-generation </w:t>
      </w:r>
      <w:r>
        <w:rPr>
          <w:b/>
        </w:rPr>
        <w:t>Emerald is signal-bearing at the very size Garnet scrambles</w:t>
      </w:r>
      <w:r>
        <w:t xml:space="preserve">, reproduced in a </w:t>
      </w:r>
      <w:r>
        <w:rPr>
          <w:b/>
        </w:rPr>
        <w:t>same-window two-chip pair</w:t>
      </w:r>
      <w:r>
        <w:t>: generation-dependent at fixed size, temporally controlled. We thus characterize all four challenge axes — reservoir size, encoding density, shot budget, noise — with the program in one view (raw mean feature error vs size-matched fully-depolarized limit; 4k shots, IonQ 500):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6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herence_w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3.</w:t>
      </w:r>
      <w:r>
        <w:rPr>
          <w:i/>
          <w:sz w:val="18"/>
        </w:rPr>
        <w:t xml:space="preserve"> Cross-platform coherence-budget wall: mean raw feature error vs the size-matched depolarized limit (black ticks; 4k shots, IonQ 500). Five configs are signal-bearing (below the limit), two scrambled (Garnet n=8 seed-0 0.228; Rigetti 0.223). The adjacent Garnet n=8 seed-1 (0.159) vs seed-0 (0.228) pair — same chip, same session — refutes a </w:t>
      </w:r>
      <w:r>
        <w:rPr>
          <w:i/>
          <w:sz w:val="18"/>
        </w:rPr>
        <w:t>size</w:t>
      </w:r>
      <w:r>
        <w:rPr>
          <w:i/>
          <w:sz w:val="18"/>
        </w:rPr>
        <w:t xml:space="preserve"> law: the n=8 scrambling is specific to the seed-0 instance. Per-n limits 0.196/0.179/0.214 at n=8/10/12.</w:t>
      </w:r>
    </w:p>
    <w:p>
      <w:pPr>
        <w:jc w:val="both"/>
      </w:pPr>
      <w:r>
        <w:rPr>
          <w:b/>
        </w:rPr>
        <w:t>Execution provenance (externally verifiable).</w:t>
      </w:r>
      <w:r>
        <w:t xml:space="preserve"> Every campaign ran against pre-committed predictions — the ten funded ones under a committed manifest (abort/decision rules fixed </w:t>
      </w:r>
      <w:r>
        <w:rPr>
          <w:i/>
        </w:rPr>
        <w:t>before</w:t>
      </w:r>
      <w:r>
        <w:t xml:space="preserve"> each launch); every job embeds the repo commit hash and campaign tag in qBraid's timestamped records — a hash-preimage commitment that predictions predate data — and billing matched estimates to the half-credit (</w:t>
      </w:r>
      <w:r>
        <w:rPr>
          <w:rFonts w:ascii="Courier New" w:hAnsi="Courier New"/>
        </w:rPr>
        <w:t>results/CREDIT_BUDGET.md</w:t>
      </w:r>
      <w:r>
        <w:t xml:space="preserve">: ≈64k credits). Bootstrap from the committed counts re-derives every number above and puts </w:t>
      </w:r>
      <w:r>
        <w:rPr>
          <w:b/>
        </w:rPr>
        <w:t>each regime claim 9.7–23.9σ beyond shot noise</w:t>
      </w:r>
      <w:r>
        <w:t>; a readout-corrected fingerprint attributes the scrambled regime to predominantly coherent error (</w:t>
      </w:r>
      <w:r>
        <w:rPr>
          <w:rFonts w:ascii="Courier New" w:hAnsi="Courier New"/>
        </w:rPr>
        <w:t>qpu_bootstrap</w:t>
      </w:r>
      <w:r>
        <w:t xml:space="preserve">, </w:t>
      </w:r>
      <w:r>
        <w:rPr>
          <w:rFonts w:ascii="Courier New" w:hAnsi="Courier New"/>
        </w:rPr>
        <w:t>qpu_fingerprint</w:t>
      </w:r>
      <w:r>
        <w:t>). Controls were bought where needed: a Rigetti replication (day-drift), a same-session n=8 anchor (drift), a same-window two-chip pair (generation). S5–S6 pre-committed; S7 executed (above).</w:t>
      </w:r>
    </w:p>
    <w:p>
      <w:pPr>
        <w:pStyle w:val="Heading2"/>
      </w:pPr>
      <w:r>
        <w:t>7. Limitations (stated plainly)</w:t>
      </w:r>
    </w:p>
    <w:p>
      <w:pPr>
        <w:jc w:val="both"/>
      </w:pPr>
      <w:r>
        <w:t xml:space="preserve">(i) </w:t>
      </w:r>
      <w:r>
        <w:rPr>
          <w:b/>
        </w:rPr>
        <w:t>No quantum advantage</w:t>
      </w:r>
      <w:r>
        <w:t xml:space="preserve"> is demonstrated at the ≤16-qubit simulable scale; HAR-X (classical, linear) is the best model on this task. (ii) The RV sample ends Feb-2020 (2008 in-sample, COVID just outside); broader assets/periods are daily-proxy supporting studies (v2_research — same negative), not 5-min RV. (iii) Task-level noise: per-layer single-qubit channels (density-matrix, §5.4) and simulator shot noise; combined noisy-plus-shot execution is measured in the QPU campaigns (§6). (iv) g is regularization- and run-configuration-dependent (qualitative gap only). (v) Superconducting n=8 execution is a </w:t>
      </w:r>
      <w:r>
        <w:rPr>
          <w:b/>
        </w:rPr>
        <w:t>characterized negative</w:t>
      </w:r>
      <w:r>
        <w:t xml:space="preserve"> (Fig. 3; day-scale drift exceeds shot noise, so </w:t>
      </w:r>
      <w:r>
        <w:rPr>
          <w:i/>
        </w:rPr>
        <w:t>regime</w:t>
      </w:r>
      <w:r>
        <w:t xml:space="preserve"> — not point value — is the robust claim), while n=10/n=12 and the newer generation land inside their limits: the wall is instance- and generation-dependent, not absolute (n=8 scrambling is seed-0-instance-specific — S7). Mitigation recovery on hardware is at best marginal (ZNE 0.223→0.217 on Rigetti; the ion chain is flat — the gate ceiling forbids ZNE). (vi) Distinctness and full-rank entanglement are </w:t>
      </w:r>
      <w:r>
        <w:rPr>
          <w:i/>
        </w:rPr>
        <w:t>necessary, not sufficient</w:t>
      </w:r>
      <w:r>
        <w:t xml:space="preserve"> — whether they convert beyond the simulable frontier is open. A quantum-data probe shows the QRC natively reads nonlinear </w:t>
      </w:r>
      <w:r>
        <w:rPr>
          <w:i/>
        </w:rPr>
        <w:t>state</w:t>
      </w:r>
      <w:r>
        <w:t xml:space="preserve"> functionals (purity, entanglement) a linear readout cannot — but the proper baseline, </w:t>
      </w:r>
      <w:r>
        <w:rPr>
          <w:b/>
        </w:rPr>
        <w:t>classical shadows</w:t>
      </w:r>
      <w:r>
        <w:t xml:space="preserve"> (Huang–Kueng–Preskill 2020), at matched per-state budgets, </w:t>
      </w:r>
      <w:r>
        <w:rPr>
          <w:b/>
        </w:rPr>
        <w:t>wins wherever real information is extracted</w:t>
      </w:r>
      <w:r>
        <w:t xml:space="preserve">, including the shadows-hard Tr(ρ³): </w:t>
      </w:r>
      <w:r>
        <w:rPr>
          <w:b/>
        </w:rPr>
        <w:t>closed negatively at simulable scale</w:t>
      </w:r>
      <w:r>
        <w:t>; hardware-native many-qubit inputs remain the one untested regime (</w:t>
      </w:r>
      <w:r>
        <w:rPr>
          <w:rFonts w:ascii="Courier New" w:hAnsi="Courier New"/>
        </w:rPr>
        <w:t>results/shadows_hard_findings.md</w:t>
      </w:r>
      <w:r>
        <w:t>).</w:t>
      </w:r>
    </w:p>
    <w:p>
      <w:pPr>
        <w:pStyle w:val="Heading2"/>
      </w:pPr>
      <w:r>
        <w:t>8. Stakeholder impact, milestone plan, AI disclosure</w:t>
      </w:r>
    </w:p>
    <w:p>
      <w:pPr>
        <w:jc w:val="both"/>
      </w:pPr>
      <w:r>
        <w:t xml:space="preserve">Volatility forecasts feed hedging, risk limits and pricing; we make the impact </w:t>
      </w:r>
      <w:r>
        <w:rPr>
          <w:b/>
        </w:rPr>
        <w:t>concrete</w:t>
      </w:r>
      <w:r>
        <w:t xml:space="preserve"> (</w:t>
      </w:r>
      <w:r>
        <w:rPr>
          <w:rFonts w:ascii="Courier New" w:hAnsi="Courier New"/>
        </w:rPr>
        <w:t>cli.py run economics</w:t>
      </w:r>
      <w:r>
        <w:t xml:space="preserve">): a vol-timing backtest on the RV forecast </w:t>
      </w:r>
      <w:r>
        <w:rPr>
          <w:b/>
        </w:rPr>
        <w:t>nearly halves the 2008 max drawdown (−61%→−32%)</w:t>
      </w:r>
      <w:r>
        <w:t xml:space="preserve"> — but a </w:t>
      </w:r>
      <w:r>
        <w:rPr>
          <w:b/>
        </w:rPr>
        <w:t>plain HAR</w:t>
      </w:r>
      <w:r>
        <w:t xml:space="preserve"> captures it (negative CE fees for the reservoir), so the decision-useful lever is </w:t>
      </w:r>
      <w:r>
        <w:rPr>
          <w:b/>
        </w:rPr>
        <w:t>a simple RV forecast, not quantum hardware</w:t>
      </w:r>
      <w:r>
        <w:t xml:space="preserve">. </w:t>
      </w:r>
      <w:r>
        <w:rPr>
          <w:b/>
        </w:rPr>
        <w:t>Milestone plan:</w:t>
      </w:r>
      <w:r>
        <w:t xml:space="preserve"> (i)–(vi) — pre-registration, sweeps, the adversarial test, MNIST+noise, sparse/TN frontier, QPU on three vendors — all ✓ (§6). </w:t>
      </w:r>
      <w:r>
        <w:rPr>
          <w:b/>
        </w:rPr>
        <w:t>AI disclosure:</w:t>
      </w:r>
      <w:r>
        <w:t xml:space="preserve"> Claude (Anthropic) assisted with code and drafting; all decisions and results are the team's own.</w:t>
      </w:r>
    </w:p>
    <w:p>
      <w:r>
        <w:br w:type="page"/>
      </w:r>
    </w:p>
    <w:p>
      <w:pPr>
        <w:pStyle w:val="Heading2"/>
      </w:pPr>
      <w:r>
        <w:t>References</w:t>
      </w:r>
    </w:p>
    <w:p>
      <w:pPr>
        <w:jc w:val="both"/>
      </w:pPr>
      <w:r>
        <w:t>Kornjača et al. 2024 · Zhu et al. 2025 · Ahmed, Tennie &amp; Magri 2025 · Li et al. 2025 · Tandon et al. 2025 · Hou et al. 2025 · Čindrak et al. 2026 · Antoncich et al. 2026 · Kobayashi &amp; Motome 2026 · Huang et al. 2021 · Huang, Kueng &amp; Preskill 2020 (classical shadows) · Dambre et al. 2012 · Corsi 2009 · Patton 2011 · Hansen et al. 2011 · Harvey et al. 1997 · Diebold &amp; Mariano 1995 · Bollerslev 1986 · Jaeger 2001 · Heber et al. 2009.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