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We contribute a </w:t>
      </w:r>
      <w:r>
        <w:rPr>
          <w:b/>
        </w:rPr>
        <w:t>pre-registered, adversarially-controlled evaluation instrument</w:t>
      </w:r>
      <w:r>
        <w:t xml:space="preserve"> for quantum reservoir computing — reproducible </w:t>
      </w:r>
      <w:r>
        <w:rPr>
          <w:b/>
        </w:rPr>
        <w:t>offline in one command</w:t>
      </w:r>
      <w:r>
        <w:t xml:space="preserve"> (</w:t>
      </w:r>
      <w:r>
        <w:rPr>
          <w:rFonts w:ascii="Courier New" w:hAnsi="Courier New"/>
        </w:rPr>
        <w:t>cli.py verify</w:t>
      </w:r>
      <w:r>
        <w:t xml:space="preserve">), with every hardware prediction bound to a prior commit by a </w:t>
      </w:r>
      <w:r>
        <w:rPr>
          <w:b/>
        </w:rPr>
        <w:t>hash-preimage commitment</w:t>
      </w:r>
      <w:r>
        <w:t xml:space="preserve"> — and apply it to S&amp;P 500 realized-volatility forecasting across </w:t>
      </w:r>
      <w:r>
        <w:rPr>
          <w:b/>
        </w:rPr>
        <w:t>four devices from three QPU vendors</w:t>
      </w:r>
      <w:r>
        <w:t xml:space="preserve"> (IonQ, IQM, Rigetti). Two measurements stand on their own: an empirical </w:t>
      </w:r>
      <w:r>
        <w:rPr>
          <w:b/>
        </w:rPr>
        <w:t>quantum-complexity metric</w:t>
      </w:r>
      <w:r>
        <w:t xml:space="preserve"> (the reservoir's MPS bond dimension is essentially full, </w:t>
      </w:r>
      <w:r>
        <w:rPr>
          <w:b/>
        </w:rPr>
        <w:t>χ_eff ≈ 2^(n/2)</w:t>
      </w:r>
      <w:r>
        <w:t xml:space="preserve">, marking the classical-simulability boundary) and a cross-platform </w:t>
      </w:r>
      <w:r>
        <w:rPr>
          <w:b/>
        </w:rPr>
        <w:t>coherence-budget wall</w:t>
      </w:r>
      <w:r>
        <w:t xml:space="preserve"> (Fig. 3) whose readout-corrected fingerprint separates </w:t>
      </w:r>
      <w:r>
        <w:rPr>
          <w:b/>
        </w:rPr>
        <w:t>coherent circuit routing from depolarizing/damping noise</w:t>
      </w:r>
      <w:r>
        <w:t xml:space="preserve">, each bootstrapped regime verdict </w:t>
      </w:r>
      <w:r>
        <w:rPr>
          <w:b/>
        </w:rPr>
        <w:t>9.7–23.9σ</w:t>
      </w:r>
      <w:r>
        <w:t xml:space="preserve"> beyond shot noise. Applied honestly, the instrument returns a </w:t>
      </w:r>
      <w:r>
        <w:rPr>
          <w:b/>
        </w:rPr>
        <w:t>well-characterized negative</w:t>
      </w:r>
      <w:r>
        <w:t xml:space="preserve">: at simulable scale (≤16 qubits) the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>, size-matched ESN/RFF, under HAC-DM + Holm + MCS (</w:t>
      </w:r>
      <w:r>
        <w:rPr>
          <w:b/>
        </w:rPr>
        <w:t>H0 refuted</w:t>
      </w:r>
      <w:r>
        <w:t xml:space="preserve">) — robust across a second </w:t>
      </w:r>
      <w:r>
        <w:rPr>
          <w:b/>
        </w:rPr>
        <w:t>Heisenberg</w:t>
      </w:r>
      <w:r>
        <w:t xml:space="preserve"> reservoir family (not Ising-specific) and a second (weather) domain, and our program </w:t>
      </w:r>
      <w:r>
        <w:rPr>
          <w:b/>
        </w:rPr>
        <w:t>falsified four of its own pre-registered predictions</w:t>
      </w:r>
      <w:r>
        <w:t xml:space="preserve"> under controls (a same-session cross-seed control shows the n=8 scrambling is </w:t>
      </w:r>
      <w:r>
        <w:rPr>
          <w:i/>
        </w:rPr>
        <w:t>seed-0-instance-specific, not a size law</w:t>
      </w:r>
      <w:r>
        <w:t xml:space="preserve">). </w:t>
      </w:r>
      <w:r>
        <w:rPr>
          <w:b/>
        </w:rPr>
        <w:t>Desk takeaway:</w:t>
      </w:r>
      <w:r>
        <w:t xml:space="preserve"> vol-timing a simple RV forecast ≈halves the 2008 drawdown; quantum adds no economic value at this scale.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separation, not the exact value, is the claim.)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Cross-platform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executed as net RY(π)), corrupting ZNE's negated folds; we hardened the emitter (mod-2π angles) and validated the diagonal calibration on-device. The routing-free </w:t>
      </w:r>
      <w:r>
        <w:rPr>
          <w:b/>
        </w:rPr>
        <w:t>IonQ Forte-1 campaign</w:t>
      </w:r>
      <w:r>
        <w:t xml:space="preserve"> then ran under the pre-committed manifest: a smoke gate measured a </w:t>
      </w:r>
      <w:r>
        <w:rPr>
          <w:b/>
        </w:rPr>
        <w:t>2,000-gate/circuit ceiling</w:t>
      </w:r>
      <w:r>
        <w:t xml:space="preserve"> on the native route, so per abort rule it ran scale-1-only (500 shots — a disclosed, cost-forced deviation, s.e.≈0.004). </w:t>
      </w:r>
      <w:r>
        <w:rPr>
          <w:b/>
        </w:rPr>
        <w:t>Raw 0.104 — below the 0.196 depolarized limit</w:t>
      </w:r>
      <w:r>
        <w:t xml:space="preserve"> and every superconducting n=8 number: a </w:t>
      </w:r>
      <w:r>
        <w:rPr>
          <w:b/>
        </w:rPr>
        <w:t>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The program characterizes reservoir size, encoding density, shot budget and noise, with in one view (raw mean feature error vs size-matched fully-depolarized limit; 4k shots, IonQ 500):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6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6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</w:t>
      </w:r>
      <w:r>
        <w:rPr>
          <w:b/>
          <w:i/>
          <w:sz w:val="18"/>
        </w:rPr>
        <w:t>instance-matched</w:t>
      </w:r>
      <w:r>
        <w:rPr>
          <w:i/>
          <w:sz w:val="18"/>
        </w:rPr>
        <w:t xml:space="preserve"> depolarized limit mean|F_exact| (black ticks; 4k shots, IonQ 500). Five configs are signal-bearing (below the limit), two scrambled (Garnet n=8 seed-0 0.228; Rigetti 0.223). The adjacent Garnet n=8 seed-1 (0.159) vs seed-0 (0.228) pair — same chip, same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law: the n=8 scrambling is specific to the seed-0 instance. Seed-0 limits 0.196/0.179/0.214 at n=8/10/12; seed-1 carries its own 0.1806 (n=8) — verdict unchanged (§6).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funded-campaign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of the nine bootstrapped regime claims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in-sample, COVID just outside); broader assets/periods are daily-proxy supporting studies (v2_research — same negative), not 5-min RV. (iii) Task-level noise: per-layer single-qubit channels (§5.4) and shot noise; combined noisy-plus-shot execution is measured in the QPU campaigns (§6). (iv) g is regularization- and run-configuration-dependent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S7). Nor is S7 a cheap-vs-costly artifact: in a 30-instance ensemble the scrambled seed-0 graph is among the </w:t>
      </w:r>
      <w:r>
        <w:rPr>
          <w:i/>
        </w:rPr>
        <w:t>sparsest</w:t>
      </w:r>
      <w:r>
        <w:t xml:space="preserve"> (11 couplings) and signal-bearing seed-1 among the </w:t>
      </w:r>
      <w:r>
        <w:rPr>
          <w:i/>
        </w:rPr>
        <w:t>densest</w:t>
      </w:r>
      <w:r>
        <w:t xml:space="preserve"> (18) under a tighter limit — gate count </w:t>
      </w:r>
      <w:r>
        <w:rPr>
          <w:b/>
        </w:rPr>
        <w:t>anti-predicts</w:t>
      </w:r>
      <w:r>
        <w:t xml:space="preserve"> the wall (</w:t>
      </w:r>
      <w:r>
        <w:rPr>
          <w:rFonts w:ascii="Courier New" w:hAnsi="Courier New"/>
        </w:rPr>
        <w:t>instance_ensemble_findings.md</w:t>
      </w:r>
      <w:r>
        <w:t xml:space="preserve">). Mitigation recovery on hardware is at best marginal (ZNE 0.223→0.217 on Rigetti; the ion chain is flat).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a linear readout cannot, but the proper baseline — </w:t>
      </w:r>
      <w:r>
        <w:rPr>
          <w:b/>
        </w:rPr>
        <w:t>classical shadows</w:t>
      </w:r>
      <w:r>
        <w:t xml:space="preserve"> (Huang–Kueng–Preskill 2020) at matched budgets — </w:t>
      </w:r>
      <w:r>
        <w:rPr>
          <w:b/>
        </w:rPr>
        <w:t>wins wherever real information is extracted</w:t>
      </w:r>
      <w:r>
        <w:t>, including the shadows-hard Tr(ρ³): closed negatively at simulable scale (</w:t>
      </w:r>
      <w:r>
        <w:rPr>
          <w:rFonts w:ascii="Courier New" w:hAnsi="Courier New"/>
        </w:rPr>
        <w:t>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rPr>
          <w:b/>
        </w:rPr>
        <w:t>The durable asset is the audit instrument, not the forecast.</w:t>
      </w:r>
      <w:r>
        <w:t xml:space="preserve"> It sells </w:t>
      </w:r>
      <w:r>
        <w:rPr>
          <w:b/>
        </w:rPr>
        <w:t>trust in a quantum yes/no</w:t>
      </w:r>
      <w:r>
        <w:t xml:space="preserve"> — a pre-registered, vendor-neutral </w:t>
      </w:r>
      <w:r>
        <w:rPr>
          <w:b/>
        </w:rPr>
        <w:t>workload→QPU qualification</w:t>
      </w:r>
      <w:r>
        <w:t xml:space="preserve"> — and that trust is earned by an instrument that </w:t>
      </w:r>
      <w:r>
        <w:rPr>
          <w:b/>
        </w:rPr>
        <w:t>falsifies its own predictions</w:t>
      </w:r>
      <w:r>
        <w:t xml:space="preserve">: it split our own runs </w:t>
      </w:r>
      <w:r>
        <w:rPr>
          <w:b/>
        </w:rPr>
        <w:t>five signal-bearing, two scrambled</w:t>
      </w:r>
      <w:r>
        <w:t xml:space="preserve"> (Fig. 3) at ≈6.8k–20k credits (≈$70–$205) per single-device campaign. Target profiles only; no customers or LOIs are claimed. </w:t>
      </w:r>
      <w:r>
        <w:rPr>
          <w:b/>
        </w:rPr>
        <w:t>Concrete desk impact today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vol-timing the GFC window </w:t>
      </w:r>
      <w:r>
        <w:rPr>
          <w:b/>
        </w:rPr>
        <w:t>halves max drawdown (−61%→−32%)</w:t>
      </w:r>
      <w:r>
        <w:t xml:space="preserve"> and lifts Sharpe </w:t>
      </w:r>
      <w:r>
        <w:rPr>
          <w:b/>
        </w:rPr>
        <w:t>0.00→0.14</w:t>
      </w:r>
      <w:r>
        <w:t xml:space="preserve"> net of costs — a </w:t>
      </w:r>
      <w:r>
        <w:rPr>
          <w:i/>
        </w:rPr>
        <w:t>risk-control</w:t>
      </w:r>
      <w:r>
        <w:t xml:space="preserve">, not an alpha, win — but </w:t>
      </w:r>
      <w:r>
        <w:rPr>
          <w:b/>
        </w:rPr>
        <w:t>plain HAR</w:t>
      </w:r>
      <w:r>
        <w:t xml:space="preserve"> captures it (CHIMERA nets −0.00, CE fee −25bp/yr): the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all ✓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