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is therefore </w:t>
      </w:r>
      <w:r>
        <w:rPr>
          <w:b/>
        </w:rPr>
        <w:t>genuinely hard to simulate classically</w:t>
      </w:r>
      <w:r>
        <w:t xml:space="preserve"> — the</w:t>
      </w:r>
    </w:p>
    <w:p>
      <w:pPr>
        <w:jc w:val="both"/>
      </w:pPr>
      <w:r>
        <w:t>precondition any beyond-frontier advantage would need, even though no advantage appears at the</w:t>
      </w:r>
    </w:p>
    <w:p>
      <w:pPr>
        <w:jc w:val="both"/>
      </w:pPr>
      <w:r>
        <w:t>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Results are on the S&amp;P 500 RV series over two</w:t>
      </w:r>
    </w:p>
    <w:p>
      <w:pPr>
        <w:jc w:val="both"/>
      </w:pPr>
      <w:r>
        <w:t>windows;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