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(Studied on MNIST for cross-team comparability;</w:t>
      </w:r>
    </w:p>
    <w:p>
      <w:pPr>
        <w:jc w:val="both"/>
      </w:pPr>
      <w:r>
        <w:t>shot noise and two-qubit gate error are addressed in the QPU plan, §6.)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is therefore </w:t>
      </w:r>
      <w:r>
        <w:rPr>
          <w:b/>
        </w:rPr>
        <w:t>genuinely hard to simulate classically</w:t>
      </w:r>
      <w:r>
        <w:t xml:space="preserve"> — the</w:t>
      </w:r>
    </w:p>
    <w:p>
      <w:pPr>
        <w:jc w:val="both"/>
      </w:pPr>
      <w:r>
        <w:t>precondition any beyond-frontier advantage would need, even though no advantage appears at the</w:t>
      </w:r>
    </w:p>
    <w:p>
      <w:pPr>
        <w:jc w:val="both"/>
      </w:pPr>
      <w:r>
        <w:t>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Earlier, reliable volatility-regime-shift detection feeds portfolio hedging, dynamic risk limits</w:t>
      </w:r>
    </w:p>
    <w:p>
      <w:pPr>
        <w:jc w:val="both"/>
      </w:pPr>
      <w:r>
        <w:t>and derivatives pricing; in the $30B+ daily VIX-options market, marginal gains in transition</w:t>
      </w:r>
    </w:p>
    <w:p>
      <w:pPr>
        <w:jc w:val="both"/>
      </w:pPr>
      <w:r>
        <w:t>timing carry material P&amp;L (JonesTrading). A credible *negative* at simulable scale is itself</w:t>
      </w:r>
    </w:p>
    <w:p>
      <w:pPr>
        <w:jc w:val="both"/>
      </w:pPr>
      <w:r>
        <w:t>decision-useful: it tells practitioners the near-term lever is informed realized-measure</w:t>
      </w:r>
    </w:p>
    <w:p>
      <w:pPr>
        <w:jc w:val="both"/>
      </w:pPr>
      <w:r>
        <w:t xml:space="preserve">features, not quantum hardware.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