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in the damping rate and lifts autonomous VPT ≈+60% (replicated on fresh starts),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via the exact circuit (our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on </w:t>
      </w:r>
      <w:r>
        <w:rPr>
          <w:b/>
        </w:rPr>
        <w:t>Rigetti Cepheus-1-108q</w:t>
      </w:r>
      <w:r>
        <w:t xml:space="preserve"> (12 logged cloud jobs; little-endian bit order auto-detected; measured readout errors 2.3%/6.4%): after lattice routing the scale-1 circuit already exceeds the coherence budget (raw feature error 0.261 vs the 0.196 fully-depolarized limit; a 4k-shot replication measured 0.223 — the beyond-limit regime is stable under day-scale drift, ZNE recovering only marginally to 0.217) — measuring on metal exactly the accumulated two-qubit-gate cost §5.4 predicts. The </w:t>
      </w:r>
      <w:r>
        <w:rPr>
          <w:b/>
        </w:rPr>
        <w:t>full pre-registered 4k-shot Garnet protocol</w:t>
      </w:r>
      <w:r>
        <w:t xml:space="preserve"> then executed (12 jobs): raw 0.230 — beyond the 0.196 limit and above our routing-free 0.171 forecast (</w:t>
      </w:r>
      <w:r>
        <w:rPr>
          <w:b/>
        </w:rPr>
        <w:t>prediction (iii) confirmed</w:t>
      </w:r>
      <w:r>
        <w:t xml:space="preserve">; ZNE recovery non-monotone) — replicating this regime on a second superconducting vendor (readout 0.4%/3.2%). Cross-platform execution also surfaced a </w:t>
      </w:r>
      <w:r>
        <w:rPr>
          <w:b/>
        </w:rPr>
        <w:t>platform-level finding</w:t>
      </w:r>
      <w:r>
        <w:t xml:space="preserve">: an RY(π)RY(−π) identity pair executed as </w:t>
      </w:r>
      <w:r>
        <w:rPr>
          <w:b/>
        </w:rPr>
        <w:t>net RY(π)</w:t>
      </w:r>
      <w:r>
        <w:t xml:space="preserve"> on the IonQ route — the client-side IonQ JSON provably contained both signed rotations, so negative-angle gates are lost server-side, which would silently corrupt ZNE's negated fold gates. We hardened the emitter (angles mod 2π; diagonal-only |0…0⟩ calibration, exact under </w:t>
      </w:r>
      <w:r>
        <w:rPr>
          <w:i/>
        </w:rPr>
        <w:t>any</w:t>
      </w:r>
      <w:r>
        <w:t xml:space="preserve"> subset of gates executing) and validated the fix on-device: P(|0⁸⟩)=0.996 vs 0.0 pre-fix, with trapped-ion readout ≈0.4%/qubit — the device-class contrast §5.4 anticipates. The decisive routing-free </w:t>
      </w:r>
      <w:r>
        <w:rPr>
          <w:b/>
        </w:rPr>
        <w:t>IonQ Forte-1 campaign then executed</w:t>
      </w:r>
      <w:r>
        <w:t xml:space="preserve"> under the pre-committed manifest: a smoke gate first measured a </w:t>
      </w:r>
      <w:r>
        <w:rPr>
          <w:b/>
        </w:rPr>
        <w:t>2,000-gate/circuit device ceiling</w:t>
      </w:r>
      <w:r>
        <w:t xml:space="preserve"> on both access routes (fold-3 = 2,484 gates), so per pre-registered abort rule the campaign ran scale-1-only (5 jobs, 500 shots, readout 0.08%/0.65%). Measured </w:t>
      </w:r>
      <w:r>
        <w:rPr>
          <w:b/>
        </w:rPr>
        <w:t>raw feature error 0.104 — below the 0.196 depolarized limit</w:t>
      </w:r>
      <w:r>
        <w:t xml:space="preserve"> and the superconducting 0.230/0.261: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>, under our 0.149 forecast). One pre-registered circuit thus measures the coherence wall from both sides — routed superconducting lattices beyond the limit, the 220-gate all-to-all ion machine inside it (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executed: on Garnet, </w:t>
      </w:r>
      <w:r>
        <w:rPr>
          <w:b/>
        </w:rPr>
        <w:t>n=10 raw 0.159 &lt; limit 0.179 and n=12 raw 0.190 &lt; limit 0.214</w:t>
      </w:r>
      <w:r>
        <w:t xml:space="preserve"> — two </w:t>
      </w:r>
      <w:r>
        <w:rPr>
          <w:b/>
        </w:rPr>
        <w:t>signal-bearing superconducting runs</w:t>
      </w:r>
      <w:r>
        <w:t xml:space="preserve">, refuting our own statements S1/S2 — while a </w:t>
      </w:r>
      <w:r>
        <w:rPr>
          <w:b/>
        </w:rPr>
        <w:t>same-session n=8 anchor</w:t>
      </w:r>
      <w:r>
        <w:t xml:space="preserve"> (interleaved jobs, matching calibration fingerprint) measured 0.222 ≥ 0.196: by the decision rule pre-committed in the manifest </w:t>
      </w:r>
      <w:r>
        <w:rPr>
          <w:i/>
        </w:rPr>
        <w:t>before</w:t>
      </w:r>
      <w:r>
        <w:t xml:space="preserve"> execution, the size effect is </w:t>
      </w:r>
      <w:r>
        <w:rPr>
          <w:b/>
        </w:rPr>
        <w:t>real and drift-controlled</w:t>
      </w:r>
      <w:r>
        <w:t xml:space="preserve">; the mechanism (instance structure vs lattice embedding) is honestly open. Finally, </w:t>
      </w:r>
      <w:r>
        <w:rPr>
          <w:b/>
        </w:rPr>
        <w:t>IQM Emerald</w:t>
      </w:r>
      <w:r>
        <w:t xml:space="preserve"> (54q, newer generation) at n=8 measured </w:t>
      </w:r>
      <w:r>
        <w:rPr>
          <w:b/>
        </w:rPr>
        <w:t>raw 0.179 &lt; 0.196</w:t>
      </w:r>
      <w:r>
        <w:t xml:space="preserve"> — signal-bearing at the very size Garnet scrambles (S3b refuted high): the wall is also </w:t>
      </w:r>
      <w:r>
        <w:rPr>
          <w:b/>
        </w:rPr>
        <w:t>generation-dependent at fixed size</w:t>
      </w:r>
      <w:r>
        <w:t>. We thus characterize all four challenge axes: reservoir size, encoding density, shot 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GFC in-sample, 2020 COVID just outside); broader assets/periods are covered only by daily-proxy supporting studies (v2_research: cross-asset, COVID — same negative), not 5-min RV. (iii) Task-level noise is characterized via per-layer single-qubit channels (density-matrix, §5.4) and simulator shot noise (§6); combined noisy-circuit-plus-shot execution is deferred to QPU runs. (iv) g is regularization- and run-configuration-dependent (qualitative gap only). (v) Superconducting execution at n=8 (Rigetti twice + Garnet, §6) is a </w:t>
      </w:r>
      <w:r>
        <w:rPr>
          <w:b/>
        </w:rPr>
        <w:t>characterized negative</w:t>
      </w:r>
      <w:r>
        <w:t xml:space="preserve"> — scale-1 beyond the coherence budget after routing on both days (raw 0.261→0.223 across a replication: day-scale drift exceeds shot noise; regime, not point value, is the robust claim) — while Garnet at n=10/n=12 and Emerald at n=8 landed </w:t>
      </w:r>
      <w:r>
        <w:rPr>
          <w:i/>
        </w:rPr>
        <w:t>inside</w:t>
      </w:r>
      <w:r>
        <w:t xml:space="preserve"> their limits with the same-session Garnet n=8 anchor beyond: the wall is size/instance- and generation-dependent, not absolute, with the mechanism unresolved. The trapped-ion run is signal-bearing, but mitigation </w:t>
      </w:r>
      <w:r>
        <w:rPr>
          <w:i/>
        </w:rPr>
        <w:t>recovery</w:t>
      </w:r>
      <w:r>
        <w:t xml:space="preserve"> on hardware is at best marginal (Richardson 0.223→0.217 on the replicate; the ion chain is flat — readout 0.08%/0.65% leaves nothing to correct, the gate ceiling forbids ZNE).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(</w:t>
      </w:r>
      <w:r>
        <w:rPr>
          <w:rFonts w:ascii="Courier New" w:hAnsi="Courier New"/>
        </w:rPr>
        <w:t>results/quantum_data_crossover_findings.md</w:t>
      </w:r>
      <w:r>
        <w:t xml:space="preserve">) shows the QRC natively reads nonlinear </w:t>
      </w:r>
      <w:r>
        <w:rPr>
          <w:i/>
        </w:rPr>
        <w:t>state</w:t>
      </w:r>
      <w:r>
        <w:t xml:space="preserve"> functionals (purity, entanglement) a linear readout cannot, but the proper baseline — </w:t>
      </w:r>
      <w:r>
        <w:rPr>
          <w:b/>
        </w:rPr>
        <w:t>classical shadows</w:t>
      </w:r>
      <w:r>
        <w:t xml:space="preserve"> (Huang–Kueng–Preskill 2020), now run head-to-head at matched per-state budgets with an ensemble-prior guard — </w:t>
      </w:r>
      <w:r>
        <w:rPr>
          <w:b/>
        </w:rPr>
        <w:t>wins wherever real information is extracted</w:t>
      </w:r>
      <w:r>
        <w:t xml:space="preserve">, including the shadows-hard Tr(ρ³) (nominal QRC "wins" at tiny budgets equal the trivial prior and are discarded; </w:t>
      </w:r>
      <w:r>
        <w:rPr>
          <w:rFonts w:ascii="Courier New" w:hAnsi="Courier New"/>
        </w:rPr>
        <w:t>results/shadows_hard_findings.md</w:t>
      </w:r>
      <w:r>
        <w:t xml:space="preserve">): the quantum-data question is </w:t>
      </w:r>
      <w:r>
        <w:rPr>
          <w:b/>
        </w:rPr>
        <w:t>closed negatively at simulable scale</w:t>
      </w:r>
      <w:r>
        <w:t>; hardware-native many-qubit inputs remain the one untested regime.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dynamic risk limits and derivatives pricing.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, but a </w:t>
      </w: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pre-registration, scaling + encoding sweeps, the adversarial HAR-X/ESN/RFF test, MNIST + noise, and the sparse/TN frontier are ✓; (vi) gate-Trotter QPU validation is </w:t>
      </w:r>
      <w:r>
        <w:rPr>
          <w:b/>
        </w:rPr>
        <w:t>executed on real hardware across three vendors</w:t>
      </w:r>
      <w:r>
        <w:t xml:space="preserve"> (Rigetti, IQM, IonQ — §6).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