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limit; a 4k-shot replication measured 0.223 — the beyond-limit regime is stable under day-scale drift, ZNE recovering only marginally to 0.217) — measuring on metal exactly the accumulated two-qubit-gate cost §5.4 predicts. The </w:t>
      </w:r>
      <w:r>
        <w:rPr>
          <w:b/>
        </w:rPr>
        <w:t>full pre-registered 4k-shot Garnet protocol</w:t>
      </w:r>
      <w:r>
        <w:t xml:space="preserve"> then executed (12 jobs): raw 0.230 — beyond the 0.196 limit and above our routing-free 0.171 forecast (</w:t>
      </w:r>
      <w:r>
        <w:rPr>
          <w:b/>
        </w:rPr>
        <w:t>prediction (iii) confirmed</w:t>
      </w:r>
      <w:r>
        <w:t xml:space="preserve">; ZNE recovery non-monotone) — replicating this regime on a second superconducting vendor (readout 0.4%/3.2%). Cross-platform execution also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decisive routing-free </w:t>
      </w:r>
      <w:r>
        <w:rPr>
          <w:b/>
        </w:rPr>
        <w:t>IonQ Forte-1 campaign then executed</w:t>
      </w:r>
      <w:r>
        <w:t xml:space="preserve"> under the pre-committed manifest: a smoke gate first measured a </w:t>
      </w:r>
      <w:r>
        <w:rPr>
          <w:b/>
        </w:rPr>
        <w:t>2,000-gate/circuit device ceiling</w:t>
      </w:r>
      <w:r>
        <w:t xml:space="preserve"> on both access routes (fold-3 = 2,484 gates), so per pre-registered abort rule the campaign ran scale-1-only (5 jobs, 500 shots, readout 0.08%/0.65%). Measured </w:t>
      </w:r>
      <w:r>
        <w:rPr>
          <w:b/>
        </w:rPr>
        <w:t>raw feature error 0.104 — below the 0.196 depolarized limit</w:t>
      </w:r>
      <w:r>
        <w:t xml:space="preserve"> and the superconducting 0.230/0.261: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forecast). One pre-registered circuit thus measures the coherence wall from both sides — routed superconducting lattices beyond the limit, the 220-gate all-to-all ion machine inside it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began: at </w:t>
      </w:r>
      <w:r>
        <w:rPr>
          <w:b/>
        </w:rPr>
        <w:t>n=10</w:t>
      </w:r>
      <w:r>
        <w:t xml:space="preserve"> (same 4k-shot protocol) Garnet measured </w:t>
      </w:r>
      <w:r>
        <w:rPr>
          <w:b/>
        </w:rPr>
        <w:t>raw 0.159 — below the 0.179 size-matched depolarized limit</w:t>
      </w:r>
      <w:r>
        <w:t xml:space="preserve">, refuting our own statement S1 and giving the </w:t>
      </w:r>
      <w:r>
        <w:rPr>
          <w:b/>
        </w:rPr>
        <w:t>first signal-bearing superconducting run</w:t>
      </w:r>
      <w:r>
        <w:t xml:space="preserve"> (day-scale drift is a disclosed confound for the cross-size comparison; the below-limit fact stands).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Superconducting execution at n=8 (Rigetti twice + Garnet, §6) is a </w:t>
      </w:r>
      <w:r>
        <w:rPr>
          <w:b/>
        </w:rPr>
        <w:t>characterized negative</w:t>
      </w:r>
      <w:r>
        <w:t xml:space="preserve"> — scale-1 beyond the coherence budget after routing on both days (raw 0.261→0.223 across a replication: day-scale drift exceeds shot noise; regime, not point value, is the robust claim) — while Garnet at n=10 landed </w:t>
      </w:r>
      <w:r>
        <w:rPr>
          <w:i/>
        </w:rPr>
        <w:t>inside</w:t>
      </w:r>
      <w:r>
        <w:t xml:space="preserve"> the limit, so the wall is calibration- and size-dependent, not absolute. The trapped-ion run is signal-bearing, but mitigation </w:t>
      </w:r>
      <w:r>
        <w:rPr>
          <w:i/>
        </w:rPr>
        <w:t>recovery</w:t>
      </w:r>
      <w:r>
        <w:t xml:space="preserve"> on hardware is at best marginal (Richardson 0.223→0.217 on the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is </w:t>
      </w:r>
      <w:r>
        <w:rPr>
          <w:b/>
        </w:rPr>
        <w:t>executed on real hardware across three vendors</w:t>
      </w:r>
      <w:r>
        <w:t xml:space="preserve"> (Rigetti, IQM, IonQ — 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