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1C" w:rsidRDefault="00F9011C" w:rsidP="00396391">
      <w:r>
        <w:t xml:space="preserve">1. Einleitung </w:t>
      </w:r>
    </w:p>
    <w:p w:rsidR="00BD0535" w:rsidRDefault="007F07C3" w:rsidP="00F9011C">
      <w:r>
        <w:t>Morbus Parkinson</w:t>
      </w:r>
      <w:r w:rsidR="00F97B00">
        <w:t xml:space="preserve"> ist nicht nur die zweithäufigste neurodegenerative Erkrankung, sie hat auch von allen neurologischen Krankhe</w:t>
      </w:r>
      <w:r w:rsidR="00BD0535">
        <w:t>iten den schnellsten Anstieg der Prävalenz, Tode und Krankheitsbelastung aufgezeigt (</w:t>
      </w:r>
      <w:proofErr w:type="spellStart"/>
      <w:r w:rsidR="00B958E0">
        <w:t>Feigin</w:t>
      </w:r>
      <w:proofErr w:type="spellEnd"/>
      <w:r w:rsidR="00B958E0">
        <w:t xml:space="preserve"> et al., 2017; </w:t>
      </w:r>
      <w:proofErr w:type="spellStart"/>
      <w:r w:rsidR="003C71DA">
        <w:t>Poewe</w:t>
      </w:r>
      <w:proofErr w:type="spellEnd"/>
      <w:r w:rsidR="003C71DA">
        <w:t xml:space="preserve"> </w:t>
      </w:r>
      <w:r w:rsidR="003C71DA" w:rsidRPr="003C71DA">
        <w:t>et al.</w:t>
      </w:r>
      <w:r w:rsidR="003C71DA">
        <w:t>, 2017</w:t>
      </w:r>
      <w:r w:rsidR="00E1148E">
        <w:t xml:space="preserve">). </w:t>
      </w:r>
      <w:r w:rsidR="008044D6">
        <w:t>In den 25 Jahren von 1990 bis 2015 stieg die Zahl der Tode,</w:t>
      </w:r>
      <w:r>
        <w:t xml:space="preserve"> die auf Morbus Parkinson</w:t>
      </w:r>
      <w:r w:rsidR="008044D6">
        <w:t xml:space="preserve"> zurückzuführen sind, um 149,8%, die Prävalenz um 117,8% und die DALYs (</w:t>
      </w:r>
      <w:proofErr w:type="spellStart"/>
      <w:r w:rsidR="008044D6">
        <w:t>disability-adjusted-life-years</w:t>
      </w:r>
      <w:proofErr w:type="spellEnd"/>
      <w:r w:rsidR="008044D6">
        <w:t>), die als Maß für die Krankheitsbelastung verwendet werden, um 111,2%</w:t>
      </w:r>
      <w:r w:rsidR="00D14511">
        <w:t xml:space="preserve"> (</w:t>
      </w:r>
      <w:proofErr w:type="spellStart"/>
      <w:r w:rsidR="00D14511">
        <w:t>Feigin</w:t>
      </w:r>
      <w:proofErr w:type="spellEnd"/>
      <w:r w:rsidR="00D14511">
        <w:t xml:space="preserve"> et al., 2017). </w:t>
      </w:r>
      <w:r w:rsidR="00BC0E72">
        <w:t xml:space="preserve"> Die DALYSs wurden dabei berechnet als Summe aus der Lebenszeit, die durchschnittlich durch die Erkrankung verloren gegangen ist, und der Lebenszeit, die durchschnittlich mit der Erkrankung gelebt wurde.</w:t>
      </w:r>
      <w:r w:rsidR="008044D6">
        <w:t xml:space="preserve"> </w:t>
      </w:r>
      <w:r w:rsidR="002810FD">
        <w:t>Der demografisch</w:t>
      </w:r>
      <w:r w:rsidR="00D14511">
        <w:t>e Wandel</w:t>
      </w:r>
      <w:r w:rsidR="00DF6E10">
        <w:t xml:space="preserve"> und der Fortschritt der Methoden, mit denen diese Daten ermittelt werden, spielen</w:t>
      </w:r>
      <w:r w:rsidR="00D14511">
        <w:t xml:space="preserve"> für diese Entwicklung </w:t>
      </w:r>
      <w:r w:rsidR="002810FD">
        <w:t xml:space="preserve">eine große Rolle, kann </w:t>
      </w:r>
      <w:r w:rsidR="00304D59">
        <w:t xml:space="preserve">sie </w:t>
      </w:r>
      <w:r w:rsidR="002810FD">
        <w:t>jed</w:t>
      </w:r>
      <w:r w:rsidR="001B472F">
        <w:t>och nicht vollständig erklären (</w:t>
      </w:r>
      <w:r w:rsidR="004D1546">
        <w:t>Dorsey et al</w:t>
      </w:r>
      <w:r w:rsidR="000502CA">
        <w:t>., 2018). Aufgrund der weiterhin</w:t>
      </w:r>
      <w:r w:rsidR="004D1546">
        <w:t xml:space="preserve"> steigenden Lebenserwartung und</w:t>
      </w:r>
      <w:r w:rsidR="00720C7A">
        <w:t xml:space="preserve"> der</w:t>
      </w:r>
      <w:r w:rsidR="004D1546">
        <w:t xml:space="preserve"> älter werdenden</w:t>
      </w:r>
      <w:r w:rsidR="000502CA">
        <w:t xml:space="preserve"> Bevölkerung wird für die Zukunft ein weiterer Anstieg der Prävalenz erwartet, der effektivere Präventionen und Behandlungen dringend </w:t>
      </w:r>
      <w:r w:rsidR="00A045D7">
        <w:t>notwendig macht (Simon, Tanner &amp;</w:t>
      </w:r>
      <w:r w:rsidR="000502CA">
        <w:t xml:space="preserve"> </w:t>
      </w:r>
      <w:proofErr w:type="spellStart"/>
      <w:r w:rsidR="000502CA">
        <w:t>Brundin</w:t>
      </w:r>
      <w:proofErr w:type="spellEnd"/>
      <w:r w:rsidR="000502CA">
        <w:t>, 2020</w:t>
      </w:r>
      <w:r w:rsidR="008E66E5">
        <w:t xml:space="preserve"> zitiert nach</w:t>
      </w:r>
      <w:r w:rsidR="000502CA">
        <w:t xml:space="preserve">). </w:t>
      </w:r>
      <w:r w:rsidR="00475349">
        <w:t>Es wird deutlich,</w:t>
      </w:r>
      <w:r w:rsidR="00A11FF6">
        <w:t xml:space="preserve"> dass weiterführende kl</w:t>
      </w:r>
      <w:r>
        <w:t>inische Forschung von Morbus Parkinson</w:t>
      </w:r>
      <w:r w:rsidR="00A11FF6">
        <w:t xml:space="preserve"> relevant ist, um die Entwicklung und Verbesserung der Behandlung zu ermöglichen.</w:t>
      </w:r>
    </w:p>
    <w:p w:rsidR="00A11FF6" w:rsidRDefault="000D188D" w:rsidP="00F9011C">
      <w:r>
        <w:t>1.1</w:t>
      </w:r>
      <w:r w:rsidR="007F07C3">
        <w:t xml:space="preserve"> Symptome von Morbus Parkinson</w:t>
      </w:r>
    </w:p>
    <w:p w:rsidR="00F858AF" w:rsidRDefault="007F07C3" w:rsidP="00F9011C">
      <w:r>
        <w:t>Morbus Parkinson</w:t>
      </w:r>
      <w:r w:rsidR="0059460D">
        <w:t xml:space="preserve"> wird durch mehrere verschiedene motorische sowie auch nicht-moto</w:t>
      </w:r>
      <w:r w:rsidR="00A90AB8">
        <w:t xml:space="preserve">rische Symptome charakterisiert. </w:t>
      </w:r>
      <w:r w:rsidR="008C59A1">
        <w:t>Die vier wichtigsten motorischen Sym</w:t>
      </w:r>
      <w:r w:rsidR="00392EE0">
        <w:t xml:space="preserve">ptome sind </w:t>
      </w:r>
      <w:proofErr w:type="spellStart"/>
      <w:r w:rsidR="00392EE0">
        <w:t>Bradykinesie</w:t>
      </w:r>
      <w:proofErr w:type="spellEnd"/>
      <w:r w:rsidR="00392EE0">
        <w:t>, Rigor,</w:t>
      </w:r>
      <w:r w:rsidR="008C59A1">
        <w:t xml:space="preserve"> Instabil</w:t>
      </w:r>
      <w:r w:rsidR="00392EE0">
        <w:t>it</w:t>
      </w:r>
      <w:r w:rsidR="00F858AF">
        <w:t>ät der Körperhaltung und Tremor (Jankovic, 2008). Es gibt aber auch noch einige weitere mo</w:t>
      </w:r>
      <w:r w:rsidR="00F30356">
        <w:t>to</w:t>
      </w:r>
      <w:r w:rsidR="00D65F3D">
        <w:t>rische Symptome wie beispielsweise</w:t>
      </w:r>
      <w:r w:rsidR="00F30356">
        <w:t xml:space="preserve"> die Gangart, die bei Patient*innen mit Morbus Parkinson meistens verändert ist, und eine größere Rolle für die Krankheit spielt, als ursprünglich gedacht (</w:t>
      </w:r>
      <w:r w:rsidR="00B77A63">
        <w:t xml:space="preserve">Gomez-Esteban et al., 2007). </w:t>
      </w:r>
    </w:p>
    <w:p w:rsidR="007054DD" w:rsidRDefault="00392EE0" w:rsidP="00F9011C">
      <w:proofErr w:type="spellStart"/>
      <w:r>
        <w:t>Bradykinesie</w:t>
      </w:r>
      <w:proofErr w:type="spellEnd"/>
      <w:r>
        <w:t xml:space="preserve"> ist die Verlangsamte Bewegun</w:t>
      </w:r>
      <w:r w:rsidR="00A125A2">
        <w:t>g der Betroffenen. Das äußert sich beispielweise in schlechteren Reaktionszeiten oder eingeschränkter Feinmotorik</w:t>
      </w:r>
      <w:r w:rsidR="00321F42">
        <w:t xml:space="preserve"> (Jankovic, 2008</w:t>
      </w:r>
      <w:r w:rsidR="00B679D1">
        <w:t xml:space="preserve"> zitiert nach</w:t>
      </w:r>
      <w:r w:rsidR="00321F42">
        <w:t>)</w:t>
      </w:r>
      <w:r w:rsidR="00A125A2">
        <w:t xml:space="preserve">. </w:t>
      </w:r>
      <w:proofErr w:type="spellStart"/>
      <w:r w:rsidR="00A125A2">
        <w:t>Bradykinesie</w:t>
      </w:r>
      <w:proofErr w:type="spellEnd"/>
      <w:r w:rsidR="00A125A2">
        <w:t xml:space="preserve"> ist allerdings abhängig vom emotionalen Z</w:t>
      </w:r>
      <w:r w:rsidR="007F07C3">
        <w:t>ustand, da Patient*innen mit Morbus</w:t>
      </w:r>
      <w:r w:rsidR="00A125A2">
        <w:t xml:space="preserve"> Parkinson trotz Verlangsamung schnelle Bewegungen und Reaktionen zeigen können, wenn sie sich in einem Zustand erhöhter Aufregung befinden</w:t>
      </w:r>
      <w:r w:rsidR="00B679D1">
        <w:t xml:space="preserve"> (Jankovic, 2008)</w:t>
      </w:r>
      <w:r w:rsidR="00A125A2">
        <w:t xml:space="preserve">. </w:t>
      </w:r>
    </w:p>
    <w:p w:rsidR="00FA6E57" w:rsidRDefault="007054DD" w:rsidP="00F9011C">
      <w:r>
        <w:t>Der Rigor steht für eine erhöhte Bewegungsresistenz, die am besten durch das „Zahnradphänomen“ dargestellt werden kann</w:t>
      </w:r>
      <w:r w:rsidR="00321F42">
        <w:t xml:space="preserve"> (Jankovic, 2008)</w:t>
      </w:r>
      <w:r>
        <w:t xml:space="preserve">. </w:t>
      </w:r>
      <w:r w:rsidR="006B18AD">
        <w:t>Dieses wird häufig überprüft, indem die Hände von Patient*innen mit Rigor festgehalten und im Kreis gedreht werden. Statt einer flüssigen kreisförmigen Bewe</w:t>
      </w:r>
      <w:r w:rsidR="00FF60D9">
        <w:t>gung ist ein Widerstand spür</w:t>
      </w:r>
      <w:r w:rsidR="006B18AD">
        <w:t>bar. Dass diese stockende Bewegung dem Einrasten von Zahnrädern ähnelt, gibt dem Phänomen seinen Namen.</w:t>
      </w:r>
      <w:r w:rsidR="0085728D">
        <w:t xml:space="preserve"> In ein</w:t>
      </w:r>
      <w:r w:rsidR="00FA6E57">
        <w:t>ig</w:t>
      </w:r>
      <w:r w:rsidR="0085728D">
        <w:t>en Fällen ist der Rigor zusätzlich mit Schmerz verbunden</w:t>
      </w:r>
      <w:r w:rsidR="00FA6E57">
        <w:t>.</w:t>
      </w:r>
    </w:p>
    <w:p w:rsidR="00A11FF6" w:rsidRDefault="00FA6E57" w:rsidP="00F9011C">
      <w:r>
        <w:t>Die Instabilität der Körperhaltung tritt meistens</w:t>
      </w:r>
      <w:r w:rsidR="007F07C3">
        <w:t xml:space="preserve"> erst in den letzten Stadien von Morbus Parkinson</w:t>
      </w:r>
      <w:r>
        <w:t xml:space="preserve"> auf</w:t>
      </w:r>
      <w:r w:rsidR="00B861AE">
        <w:t xml:space="preserve"> (Jankovic, 2008)</w:t>
      </w:r>
      <w:r>
        <w:t>. Diese wird getestet, indem Patient*innen an ihren S</w:t>
      </w:r>
      <w:r w:rsidR="00C94F55">
        <w:t>chultern schnell vor- und zurück</w:t>
      </w:r>
      <w:r>
        <w:t xml:space="preserve">gezogen werden. Wenn sie mehr als zwei Schritte zurückgehen oder gar keine Reaktion in ihrer Haltung zeigen, deutet das </w:t>
      </w:r>
      <w:r w:rsidR="00C91C5C">
        <w:t>auf eine Einschränkung</w:t>
      </w:r>
      <w:r w:rsidR="00C94F55">
        <w:t xml:space="preserve"> hin</w:t>
      </w:r>
      <w:r w:rsidR="00C91C5C">
        <w:t>. Dieses Symptom gehört zu den H</w:t>
      </w:r>
      <w:r w:rsidR="00C94F55">
        <w:t>auptursachen von Stürzen und kann</w:t>
      </w:r>
      <w:r w:rsidR="00C91C5C">
        <w:t xml:space="preserve"> daher </w:t>
      </w:r>
      <w:r w:rsidR="00C94F55">
        <w:t xml:space="preserve">besonders </w:t>
      </w:r>
      <w:r w:rsidR="00C91C5C">
        <w:t>gefährlich</w:t>
      </w:r>
      <w:r w:rsidR="00C94F55">
        <w:t>e Folgen für die Betroffenen haben</w:t>
      </w:r>
      <w:r w:rsidR="00B679D1">
        <w:t xml:space="preserve"> (Jankovic, 2008 zitiert nach)</w:t>
      </w:r>
      <w:r w:rsidR="00C91C5C">
        <w:t xml:space="preserve">. </w:t>
      </w:r>
    </w:p>
    <w:p w:rsidR="00F858AF" w:rsidRDefault="0067427F">
      <w:r>
        <w:t>Der Ruhetremor ist das häufigste und am leich</w:t>
      </w:r>
      <w:r w:rsidR="00DE1CDC">
        <w:t>testen zu erkennende Symptom von</w:t>
      </w:r>
      <w:r>
        <w:t xml:space="preserve"> </w:t>
      </w:r>
      <w:r w:rsidR="00DE1CDC">
        <w:t xml:space="preserve">Morbus </w:t>
      </w:r>
      <w:r>
        <w:t>Parkins</w:t>
      </w:r>
      <w:r w:rsidR="00DE1CDC">
        <w:t>on</w:t>
      </w:r>
      <w:r w:rsidR="00B861AE">
        <w:t xml:space="preserve"> (Jankovic, 2008)</w:t>
      </w:r>
      <w:r>
        <w:t xml:space="preserve">. </w:t>
      </w:r>
      <w:r w:rsidR="009C7A7B">
        <w:t>Er muss abgegrenzt werden von dem essentiellen Tremor. Der Ruhetremor betrifft in fast allen Fällen die äußeren</w:t>
      </w:r>
      <w:r w:rsidR="005B233D">
        <w:t xml:space="preserve"> Extremitäten.</w:t>
      </w:r>
      <w:r w:rsidR="009C7A7B">
        <w:t xml:space="preserve"> </w:t>
      </w:r>
      <w:r w:rsidR="005B233D">
        <w:t xml:space="preserve">Er kann auch das Gesicht, den Kiefer, die Lippen und das Kinn betreffen, </w:t>
      </w:r>
      <w:r w:rsidR="009C7A7B">
        <w:t>aber nicht den Kopf oder die</w:t>
      </w:r>
      <w:r w:rsidR="005B233D">
        <w:t xml:space="preserve"> Stimme, die aber</w:t>
      </w:r>
      <w:r w:rsidR="009C7A7B">
        <w:t xml:space="preserve"> vom essentiellen Tremor betrof</w:t>
      </w:r>
      <w:r w:rsidR="00064BC6">
        <w:t>fen sein können</w:t>
      </w:r>
      <w:r w:rsidR="009C7A7B">
        <w:t>. Außerdem verschwindet der Ruhetrem</w:t>
      </w:r>
      <w:r w:rsidR="005B233D">
        <w:t>or bei Aktivität, wohingegen der essentie</w:t>
      </w:r>
      <w:r w:rsidR="00341376">
        <w:t xml:space="preserve">lle </w:t>
      </w:r>
      <w:r w:rsidR="00341376">
        <w:lastRenderedPageBreak/>
        <w:t>Tremor gerade dann auftritt</w:t>
      </w:r>
      <w:r w:rsidR="005B233D">
        <w:t xml:space="preserve"> und sich bei Ruhe verringert.</w:t>
      </w:r>
      <w:r w:rsidR="009C7A7B">
        <w:t xml:space="preserve"> </w:t>
      </w:r>
      <w:r w:rsidR="00DE1CDC">
        <w:t>Morbus Parkinson</w:t>
      </w:r>
      <w:r w:rsidR="003C78F7">
        <w:t xml:space="preserve"> ist des Weiteren verbunden mit einem wiederkehrenden Haltungstremor, der sich von dem Haltungstremor eines essentiellen Tremors unterscheidet, da letzterer erst mit Verzögerung auftritt, nachdem die Patient*innen eine gestreckte liegende Haltung eingenommen haben. Obwohl der essentielle Tremor und der Parkinson-Tremor unterschiedliche Krankheitsbilder sind, gibt es Hinweise darauf, dass ein bestehender essentieller Tremor ein Risiko</w:t>
      </w:r>
      <w:r w:rsidR="00DE1CDC">
        <w:t>faktor für die Erkrankung an Morbus Parkinson</w:t>
      </w:r>
      <w:r w:rsidR="003C78F7">
        <w:t xml:space="preserve"> ist</w:t>
      </w:r>
      <w:r w:rsidR="00B679D1">
        <w:t xml:space="preserve"> (Jankovic, 2008 zitiert nach)</w:t>
      </w:r>
      <w:r w:rsidR="003C78F7">
        <w:t>.</w:t>
      </w:r>
      <w:r w:rsidR="00F858AF">
        <w:t xml:space="preserve"> </w:t>
      </w:r>
    </w:p>
    <w:p w:rsidR="00FD57B9" w:rsidRDefault="00FD57B9">
      <w:r>
        <w:t>Die nicht-</w:t>
      </w:r>
      <w:r w:rsidR="00DE435A">
        <w:t>motorischen Sympt</w:t>
      </w:r>
      <w:r w:rsidR="00DE1CDC">
        <w:t>ome von Morbus</w:t>
      </w:r>
      <w:r w:rsidR="00DE435A">
        <w:t xml:space="preserve"> </w:t>
      </w:r>
      <w:r w:rsidR="00DE1CDC">
        <w:t>Parkinson</w:t>
      </w:r>
      <w:r>
        <w:t xml:space="preserve"> treten häufig auf, haben</w:t>
      </w:r>
      <w:r w:rsidR="00DE435A">
        <w:t xml:space="preserve"> allerdings</w:t>
      </w:r>
      <w:r>
        <w:t xml:space="preserve"> in der Vergangenheit</w:t>
      </w:r>
      <w:r w:rsidR="00DE435A">
        <w:t xml:space="preserve"> häufig zu wenig Beachtung</w:t>
      </w:r>
      <w:r>
        <w:t xml:space="preserve"> bekommen</w:t>
      </w:r>
      <w:r w:rsidR="00DE435A">
        <w:t>, da sie im Vergleich zu de</w:t>
      </w:r>
      <w:r w:rsidR="00EF5196">
        <w:t>n motorischen Symptomen weniger</w:t>
      </w:r>
      <w:r w:rsidR="00DE435A">
        <w:t xml:space="preserve"> offensichtlich erkennbar sind</w:t>
      </w:r>
      <w:r w:rsidR="00D7004D">
        <w:t xml:space="preserve"> (Jankovic, 2008)</w:t>
      </w:r>
      <w:r w:rsidR="00DE435A">
        <w:t>.</w:t>
      </w:r>
      <w:r w:rsidR="001D7CCD">
        <w:t xml:space="preserve"> Es können autonome Funktionsstörungen vorliegen wie </w:t>
      </w:r>
      <w:proofErr w:type="spellStart"/>
      <w:r w:rsidR="001D7CCD">
        <w:t>orthostatische</w:t>
      </w:r>
      <w:proofErr w:type="spellEnd"/>
      <w:r w:rsidR="001D7CCD">
        <w:t xml:space="preserve"> </w:t>
      </w:r>
      <w:proofErr w:type="spellStart"/>
      <w:r w:rsidR="001D7CCD">
        <w:t>Hypothonie</w:t>
      </w:r>
      <w:proofErr w:type="spellEnd"/>
      <w:r w:rsidR="001D7CCD">
        <w:t xml:space="preserve"> oder Funktionsstörungen des Schwitzens, des Schließmuskels und der Erektionsfähigkeit</w:t>
      </w:r>
      <w:r w:rsidR="006D64CD">
        <w:t xml:space="preserve"> (Jankovic, 2008 zitiert nach)</w:t>
      </w:r>
      <w:r w:rsidR="001D7CCD">
        <w:t xml:space="preserve">. </w:t>
      </w:r>
      <w:r w:rsidR="008724AD">
        <w:t>Studien zeigten aber auch, dass bei Patient*innen</w:t>
      </w:r>
      <w:r w:rsidR="00DE1CDC">
        <w:t xml:space="preserve"> mit Morbus</w:t>
      </w:r>
      <w:r w:rsidR="008724AD">
        <w:t xml:space="preserve"> P</w:t>
      </w:r>
      <w:r w:rsidR="00DE1CDC">
        <w:t>arkinson</w:t>
      </w:r>
      <w:r w:rsidR="008724AD">
        <w:t xml:space="preserve"> die kognitive</w:t>
      </w:r>
      <w:r w:rsidR="00DE1CDC">
        <w:t xml:space="preserve"> Funktion</w:t>
      </w:r>
      <w:r w:rsidR="008724AD">
        <w:t xml:space="preserve"> mit der Zeit deutlich abnimmt und das Risiko für eine Demenz um das sechsfache erhöht ist</w:t>
      </w:r>
      <w:r w:rsidR="006D64CD">
        <w:t xml:space="preserve"> (Jankovic, 2008 zitiert nach)</w:t>
      </w:r>
      <w:r w:rsidR="008724AD">
        <w:t>.</w:t>
      </w:r>
      <w:r w:rsidR="00394DE3">
        <w:t xml:space="preserve"> E</w:t>
      </w:r>
      <w:r w:rsidR="00DE1CDC">
        <w:t>ine solche Demenz, die durch Morbus Parkinson</w:t>
      </w:r>
      <w:r w:rsidR="00394DE3">
        <w:t xml:space="preserve"> entstanden ist, ist auch stark assoziiert mit weiteren neuropsychologischen Komorbiditäten wie Depression, Apathie, Angststörungen und Halluzinationen</w:t>
      </w:r>
      <w:r w:rsidR="006D64CD">
        <w:t xml:space="preserve"> (Jankovic, 2008)</w:t>
      </w:r>
      <w:r w:rsidR="00394DE3">
        <w:t>. Depressionen sind aber auch eine g</w:t>
      </w:r>
      <w:r w:rsidR="00DE1CDC">
        <w:t>enerell häufige Komorbidität von Morbus Parkinson</w:t>
      </w:r>
      <w:r w:rsidR="00394DE3">
        <w:t>,</w:t>
      </w:r>
      <w:r>
        <w:t xml:space="preserve"> die oft nicht berücksichtigt wu</w:t>
      </w:r>
      <w:r w:rsidR="00394DE3">
        <w:t>rd</w:t>
      </w:r>
      <w:r>
        <w:t>e</w:t>
      </w:r>
      <w:r w:rsidR="00732F2D">
        <w:t xml:space="preserve"> (Jankovic, 2008 zitiert nach)</w:t>
      </w:r>
      <w:r w:rsidR="00394DE3">
        <w:t xml:space="preserve">. </w:t>
      </w:r>
      <w:r w:rsidR="00151D50">
        <w:t>Ungefähr ein Drittel aller Pati</w:t>
      </w:r>
      <w:r w:rsidR="00DE1CDC">
        <w:t>ent*innen mit Morbus Parkinson</w:t>
      </w:r>
      <w:r w:rsidR="00151D50">
        <w:t xml:space="preserve"> haben eine REM-Schlafverhaltensstörung, bei der die Betroffenen vermehrt gewalttätige Inhalte träumen oder im Schlaf reden, schreien, fluchen, schlagen, treten, springen oder andere mot</w:t>
      </w:r>
      <w:r w:rsidR="00F63A22">
        <w:t>orische Verhaltensweisen zeigen</w:t>
      </w:r>
      <w:r w:rsidR="00732F2D">
        <w:t xml:space="preserve"> (Jankovic, 2008 zitiert nach)</w:t>
      </w:r>
      <w:r w:rsidR="00F63A22">
        <w:t>. Mehr als die Hälfte der Patient*innen mit Morbus Parkinson leiden auch an Insomnie</w:t>
      </w:r>
      <w:r w:rsidR="00732F2D">
        <w:t xml:space="preserve"> (Jankovic, 2008 zitiert nach)</w:t>
      </w:r>
      <w:r w:rsidR="00F63A22">
        <w:t xml:space="preserve">. Teilweise im Zusammenhang mit den Schlafstörungen, aber auch </w:t>
      </w:r>
      <w:r w:rsidR="007F07C3">
        <w:t>unabhängig von ihnen, tritt</w:t>
      </w:r>
      <w:r w:rsidR="00084A45">
        <w:t xml:space="preserve"> eine </w:t>
      </w:r>
      <w:proofErr w:type="spellStart"/>
      <w:r w:rsidR="00084A45">
        <w:t>Fatigue</w:t>
      </w:r>
      <w:proofErr w:type="spellEnd"/>
      <w:r w:rsidR="00084A45">
        <w:t xml:space="preserve"> häufig auf</w:t>
      </w:r>
      <w:r w:rsidR="00732F2D">
        <w:t xml:space="preserve"> (Jankovic, 2008 zitiert nach)</w:t>
      </w:r>
      <w:r w:rsidR="00084A45">
        <w:t xml:space="preserve">. Zu den sensorischen Anomalien, die bei Morbus Parkinson auftreten, gehören Schmerzen, manchmal am Genital- oder Mundbereich, </w:t>
      </w:r>
      <w:r w:rsidR="00084A45" w:rsidRPr="00084A45">
        <w:t>Parästhesien</w:t>
      </w:r>
      <w:r w:rsidR="00084A45">
        <w:t xml:space="preserve">, </w:t>
      </w:r>
      <w:proofErr w:type="spellStart"/>
      <w:r w:rsidR="00084A45" w:rsidRPr="00084A45">
        <w:t>Akathisie</w:t>
      </w:r>
      <w:proofErr w:type="spellEnd"/>
      <w:r w:rsidR="00084A45">
        <w:t xml:space="preserve"> und olfaktorische Funktionsstörungen</w:t>
      </w:r>
      <w:r w:rsidR="0054334D">
        <w:t xml:space="preserve"> (Jankovic, 2008 zitiert nach)</w:t>
      </w:r>
      <w:r w:rsidR="00084A45">
        <w:t xml:space="preserve">. Es wird oft nicht erkannt, dass diese Symptome durch Morbus Parkinson </w:t>
      </w:r>
      <w:r w:rsidR="00FB2138">
        <w:t xml:space="preserve">bedingt sind. </w:t>
      </w:r>
    </w:p>
    <w:p w:rsidR="000D188D" w:rsidRDefault="006804F1">
      <w:r>
        <w:t>Da s</w:t>
      </w:r>
      <w:r w:rsidR="00064BC6">
        <w:t>ie eine Zeit lang</w:t>
      </w:r>
      <w:r w:rsidR="00FD57B9">
        <w:t xml:space="preserve"> zu wenig Beachtung bekommen haben, ist in der aktuellen Forschung überwiegend Literatur </w:t>
      </w:r>
      <w:r>
        <w:t xml:space="preserve">zu den nicht-motorischen Symptomen zu finden. Früher lag der Fokus auf der Dokumentation der motorischen Symptome, die zum Beispiel durch die </w:t>
      </w:r>
      <w:r w:rsidRPr="006804F1">
        <w:t xml:space="preserve">United </w:t>
      </w:r>
      <w:proofErr w:type="spellStart"/>
      <w:r w:rsidRPr="006804F1">
        <w:t>P</w:t>
      </w:r>
      <w:r>
        <w:t>arkinson’s</w:t>
      </w:r>
      <w:proofErr w:type="spellEnd"/>
      <w:r>
        <w:t xml:space="preserve"> </w:t>
      </w:r>
      <w:proofErr w:type="spellStart"/>
      <w:r>
        <w:t>Disease</w:t>
      </w:r>
      <w:proofErr w:type="spellEnd"/>
      <w:r>
        <w:t xml:space="preserve"> </w:t>
      </w:r>
      <w:r w:rsidRPr="006804F1">
        <w:t xml:space="preserve">Rating </w:t>
      </w:r>
      <w:proofErr w:type="spellStart"/>
      <w:r w:rsidRPr="006804F1">
        <w:t>Scale</w:t>
      </w:r>
      <w:proofErr w:type="spellEnd"/>
      <w:r>
        <w:t xml:space="preserve"> (UP</w:t>
      </w:r>
      <w:r w:rsidR="00A33422">
        <w:t>DRS) eingeschätzt werden können</w:t>
      </w:r>
      <w:r>
        <w:t xml:space="preserve"> (</w:t>
      </w:r>
      <w:r w:rsidR="00A33422">
        <w:t xml:space="preserve">Rahman, Griffin, Quinn &amp; </w:t>
      </w:r>
      <w:proofErr w:type="spellStart"/>
      <w:r w:rsidR="00A33422" w:rsidRPr="00447304">
        <w:t>Jahanshahi</w:t>
      </w:r>
      <w:proofErr w:type="spellEnd"/>
      <w:r w:rsidR="00A33422">
        <w:t>, 2008</w:t>
      </w:r>
      <w:r w:rsidR="00EE0F79">
        <w:t xml:space="preserve"> zitiert nach</w:t>
      </w:r>
      <w:r w:rsidR="00A33422">
        <w:t>).</w:t>
      </w:r>
      <w:r w:rsidR="00FD57B9">
        <w:t xml:space="preserve"> </w:t>
      </w:r>
      <w:r w:rsidR="007E4E37">
        <w:t>Eine lange Zeit wurden mit ihr nur motorische Aspekte von Morbus Parkinson erfasst, um klinische Veränderungen der Symptomatik messbar und vergleichbar zu machen (Gomez-Esteban et al., 2007</w:t>
      </w:r>
      <w:r w:rsidR="00557FEB">
        <w:t xml:space="preserve"> zitiert nach</w:t>
      </w:r>
      <w:r w:rsidR="007E4E37">
        <w:t>).</w:t>
      </w:r>
      <w:r w:rsidR="00823F52">
        <w:t xml:space="preserve"> Obwohl inzwischen nicht-motorische Aspekte deutlich mehr berücksichtigt werden</w:t>
      </w:r>
      <w:r w:rsidR="00EF5196">
        <w:t xml:space="preserve"> als früher</w:t>
      </w:r>
      <w:r w:rsidR="00823F52">
        <w:t>, machen die motorischen Symptome immer noch einen großen Teil der eingeschränkten Lebensqualität von Patient*innen mit Morbus Parkinson aus (Rahman et al., 2008).</w:t>
      </w:r>
      <w:r w:rsidR="00A81F12">
        <w:t xml:space="preserve"> </w:t>
      </w:r>
      <w:r w:rsidR="00823F52">
        <w:t>Das liegt vor Allem an der eingeschränkten Mobilität, der Schwierigkeit</w:t>
      </w:r>
      <w:r w:rsidR="00F45874">
        <w:t>,</w:t>
      </w:r>
      <w:r w:rsidR="00823F52">
        <w:t xml:space="preserve"> sich eigenständig anzuziehen</w:t>
      </w:r>
      <w:r w:rsidR="00F45874">
        <w:t>,</w:t>
      </w:r>
      <w:r w:rsidR="00823F52">
        <w:t xml:space="preserve"> und </w:t>
      </w:r>
      <w:r w:rsidR="00F45874">
        <w:t xml:space="preserve">der erhöhten Gefahr hinzufallen. Ein Ruhetremor hingegen scheint einen eher niedrigeren Einfluss auf die Lebensqualität zu haben (Gomez-Esteban et al., 2007). </w:t>
      </w:r>
      <w:r w:rsidR="00EF5196">
        <w:t>Insgesamt ist</w:t>
      </w:r>
      <w:r w:rsidR="00823F52">
        <w:t xml:space="preserve"> </w:t>
      </w:r>
      <w:r w:rsidR="00EF5196">
        <w:t>d</w:t>
      </w:r>
      <w:r w:rsidR="00C704AE">
        <w:t>ie Verringerung de</w:t>
      </w:r>
      <w:r w:rsidR="00EF5196">
        <w:t>r motorischen Symptome</w:t>
      </w:r>
      <w:r w:rsidR="00C704AE">
        <w:t xml:space="preserve"> weiterhin ein wichtiger Bestandteil der Behandlung von Morbus Parkinson und sollte in der klinischen Forschung</w:t>
      </w:r>
      <w:r w:rsidR="00064BC6">
        <w:t xml:space="preserve"> immer noch</w:t>
      </w:r>
      <w:r w:rsidR="00C704AE">
        <w:t xml:space="preserve"> tiefgründiger untersucht werden, um Verbesserungen der Methoden zu ermöglichen. </w:t>
      </w:r>
      <w:r w:rsidR="00823F52">
        <w:t xml:space="preserve"> </w:t>
      </w:r>
      <w:r w:rsidR="00084A45">
        <w:t xml:space="preserve">  </w:t>
      </w:r>
    </w:p>
    <w:p w:rsidR="000D188D" w:rsidRDefault="000D188D" w:rsidP="000D188D">
      <w:r>
        <w:t>1.2 Pathophysiologie</w:t>
      </w:r>
      <w:r w:rsidR="006045B8">
        <w:t xml:space="preserve"> von Morbus Parkinson</w:t>
      </w:r>
    </w:p>
    <w:p w:rsidR="00D7004D" w:rsidRDefault="000D188D" w:rsidP="000D188D">
      <w:r>
        <w:t xml:space="preserve">Bereits seit 1919 ist es bekannt, dass ein Abbau von Zellen in der </w:t>
      </w:r>
      <w:proofErr w:type="spellStart"/>
      <w:r>
        <w:t>Substantia</w:t>
      </w:r>
      <w:proofErr w:type="spellEnd"/>
      <w:r>
        <w:t xml:space="preserve"> </w:t>
      </w:r>
      <w:proofErr w:type="spellStart"/>
      <w:r>
        <w:t>Nigra</w:t>
      </w:r>
      <w:proofErr w:type="spellEnd"/>
      <w:r>
        <w:t xml:space="preserve"> für die Entstehung von Morbus Parkinson verantwortlich ist</w:t>
      </w:r>
      <w:r w:rsidR="00D7004D">
        <w:t xml:space="preserve"> (Jankovic, 2008</w:t>
      </w:r>
      <w:r w:rsidR="0011688D">
        <w:t xml:space="preserve"> zitiert nach</w:t>
      </w:r>
      <w:r w:rsidR="00D7004D">
        <w:t>)</w:t>
      </w:r>
      <w:r>
        <w:t xml:space="preserve">. 1957 wurde erkannt, dass der Neurotransmitter Dopamin dabei eine entscheidende Rolle spielt. Heutzutage gilt der Verlust von pigmentierten </w:t>
      </w:r>
      <w:proofErr w:type="spellStart"/>
      <w:r>
        <w:t>dopaminergen</w:t>
      </w:r>
      <w:proofErr w:type="spellEnd"/>
      <w:r>
        <w:t xml:space="preserve"> Neuronen in bestimmten Bereichen der </w:t>
      </w:r>
      <w:proofErr w:type="spellStart"/>
      <w:r>
        <w:t>Substantia</w:t>
      </w:r>
      <w:proofErr w:type="spellEnd"/>
      <w:r>
        <w:t xml:space="preserve"> </w:t>
      </w:r>
      <w:proofErr w:type="spellStart"/>
      <w:r>
        <w:t>Nigra</w:t>
      </w:r>
      <w:proofErr w:type="spellEnd"/>
      <w:r>
        <w:t xml:space="preserve"> als wichtig</w:t>
      </w:r>
      <w:r w:rsidR="00DB7C45">
        <w:t xml:space="preserve">er </w:t>
      </w:r>
      <w:r w:rsidR="00DB7C45">
        <w:lastRenderedPageBreak/>
        <w:t>Hinweis auf Morbus Parkinson (</w:t>
      </w:r>
      <w:proofErr w:type="spellStart"/>
      <w:r w:rsidR="00DB7C45">
        <w:t>Poewe</w:t>
      </w:r>
      <w:proofErr w:type="spellEnd"/>
      <w:r w:rsidR="00DB7C45">
        <w:t xml:space="preserve"> et al., 2017). </w:t>
      </w:r>
      <w:r>
        <w:t xml:space="preserve"> Tritt dies zusammen mit einer weitverbreiteten intrazellulären Ansammlung des Proteins </w:t>
      </w:r>
      <w:r w:rsidRPr="002F7E01">
        <w:rPr>
          <w:bCs/>
        </w:rPr>
        <w:t>α</w:t>
      </w:r>
      <w:r w:rsidRPr="002F7E01">
        <w:t>-</w:t>
      </w:r>
      <w:proofErr w:type="spellStart"/>
      <w:r w:rsidRPr="002F7E01">
        <w:t>Synuklein</w:t>
      </w:r>
      <w:proofErr w:type="spellEnd"/>
      <w:r>
        <w:t xml:space="preserve"> in den Neuronen auf, kann eine definitive Diagnose für M</w:t>
      </w:r>
      <w:r w:rsidR="00DB7C45">
        <w:t>orbus Parkinson gestellt werden.</w:t>
      </w:r>
      <w:r w:rsidR="00D7004D">
        <w:t xml:space="preserve"> </w:t>
      </w:r>
    </w:p>
    <w:p w:rsidR="000D188D" w:rsidRDefault="000D188D" w:rsidP="000D188D">
      <w:r>
        <w:t xml:space="preserve">Verschaltungen zwischen den Basalganglien, dem Thalamus </w:t>
      </w:r>
      <w:r w:rsidR="00FE684F">
        <w:t xml:space="preserve">und dem motorischen Kortex haben wichtige Funktionen bei der Kontrolle von Handlungen </w:t>
      </w:r>
      <w:r w:rsidR="00DB7C45">
        <w:t>und zielgerichtetem Verhalten (</w:t>
      </w:r>
      <w:proofErr w:type="spellStart"/>
      <w:r w:rsidR="00DB7C45">
        <w:t>Poewe</w:t>
      </w:r>
      <w:proofErr w:type="spellEnd"/>
      <w:r w:rsidR="00DB7C45">
        <w:t xml:space="preserve"> et al., 2017). </w:t>
      </w:r>
      <w:r w:rsidR="00FE684F">
        <w:t xml:space="preserve"> </w:t>
      </w:r>
      <w:r w:rsidR="00A82E5D">
        <w:t>Es wurde beschrieben, dass d</w:t>
      </w:r>
      <w:r w:rsidR="0032010C">
        <w:t xml:space="preserve">er Verlust von Zellen in der </w:t>
      </w:r>
      <w:proofErr w:type="spellStart"/>
      <w:r w:rsidR="0032010C">
        <w:t>Substantia</w:t>
      </w:r>
      <w:proofErr w:type="spellEnd"/>
      <w:r w:rsidR="0032010C">
        <w:t xml:space="preserve"> </w:t>
      </w:r>
      <w:proofErr w:type="spellStart"/>
      <w:r w:rsidR="0032010C">
        <w:t>nigra</w:t>
      </w:r>
      <w:proofErr w:type="spellEnd"/>
      <w:r w:rsidR="0032010C">
        <w:t xml:space="preserve"> pars </w:t>
      </w:r>
      <w:proofErr w:type="spellStart"/>
      <w:r w:rsidR="0032010C">
        <w:t>compacta</w:t>
      </w:r>
      <w:proofErr w:type="spellEnd"/>
      <w:r w:rsidR="0032010C">
        <w:t xml:space="preserve"> bei </w:t>
      </w:r>
      <w:r w:rsidR="00FE684F">
        <w:t>Patient*i</w:t>
      </w:r>
      <w:r w:rsidR="00A82E5D">
        <w:t>nnen mit Morbus Parkinson</w:t>
      </w:r>
      <w:r w:rsidR="0032010C">
        <w:t xml:space="preserve"> zu</w:t>
      </w:r>
      <w:r w:rsidR="00FE684F">
        <w:t xml:space="preserve"> eine</w:t>
      </w:r>
      <w:r w:rsidR="0032010C">
        <w:t>r</w:t>
      </w:r>
      <w:r w:rsidR="00FE684F">
        <w:t xml:space="preserve"> verringerte</w:t>
      </w:r>
      <w:r w:rsidR="0032010C">
        <w:t>n</w:t>
      </w:r>
      <w:r w:rsidR="00FE684F">
        <w:t xml:space="preserve"> Ausschüttung von Dopamin im motoris</w:t>
      </w:r>
      <w:r w:rsidR="0032010C">
        <w:t xml:space="preserve">chen Bereich des </w:t>
      </w:r>
      <w:proofErr w:type="spellStart"/>
      <w:r w:rsidR="0032010C">
        <w:t>Striatum</w:t>
      </w:r>
      <w:proofErr w:type="spellEnd"/>
      <w:r w:rsidR="00A82E5D">
        <w:t xml:space="preserve"> führt</w:t>
      </w:r>
      <w:r w:rsidR="0032010C">
        <w:t>. Bei e</w:t>
      </w:r>
      <w:r w:rsidR="000C366C">
        <w:t xml:space="preserve">iner direkten Verbindung </w:t>
      </w:r>
      <w:r w:rsidR="0032010C">
        <w:t>zum</w:t>
      </w:r>
      <w:r w:rsidR="000C366C">
        <w:t xml:space="preserve"> Globus </w:t>
      </w:r>
      <w:proofErr w:type="spellStart"/>
      <w:r w:rsidR="000C366C">
        <w:t>pallidus</w:t>
      </w:r>
      <w:proofErr w:type="spellEnd"/>
      <w:r w:rsidR="000C366C">
        <w:t xml:space="preserve"> </w:t>
      </w:r>
      <w:proofErr w:type="spellStart"/>
      <w:r w:rsidR="000C366C">
        <w:t>internus</w:t>
      </w:r>
      <w:proofErr w:type="spellEnd"/>
      <w:r w:rsidR="000C366C">
        <w:t xml:space="preserve"> und der </w:t>
      </w:r>
      <w:proofErr w:type="spellStart"/>
      <w:r w:rsidR="000C366C">
        <w:t>Substantia</w:t>
      </w:r>
      <w:proofErr w:type="spellEnd"/>
      <w:r w:rsidR="000C366C">
        <w:t xml:space="preserve"> </w:t>
      </w:r>
      <w:proofErr w:type="spellStart"/>
      <w:r w:rsidR="000C366C">
        <w:t>nigra</w:t>
      </w:r>
      <w:proofErr w:type="spellEnd"/>
      <w:r w:rsidR="000C366C">
        <w:t xml:space="preserve"> pars </w:t>
      </w:r>
      <w:proofErr w:type="spellStart"/>
      <w:r w:rsidR="000C366C">
        <w:t>reticulata</w:t>
      </w:r>
      <w:proofErr w:type="spellEnd"/>
      <w:r w:rsidR="000C366C">
        <w:t xml:space="preserve"> </w:t>
      </w:r>
      <w:r w:rsidR="0032010C">
        <w:t xml:space="preserve">wird dadurch der hemmende Einfluss des </w:t>
      </w:r>
      <w:proofErr w:type="spellStart"/>
      <w:r w:rsidR="0032010C">
        <w:t>Striatum</w:t>
      </w:r>
      <w:proofErr w:type="spellEnd"/>
      <w:r w:rsidR="0032010C">
        <w:t xml:space="preserve"> auf diese</w:t>
      </w:r>
      <w:r w:rsidR="00AB6FCF">
        <w:t xml:space="preserve"> beiden</w:t>
      </w:r>
      <w:r w:rsidR="0032010C">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t xml:space="preserve">Die verstärkte Hemmung von motorischen Bereichen durch den Globus </w:t>
      </w:r>
      <w:proofErr w:type="spellStart"/>
      <w:r w:rsidR="00AB6FCF">
        <w:t>pallidus</w:t>
      </w:r>
      <w:proofErr w:type="spellEnd"/>
      <w:r w:rsidR="00AB6FCF">
        <w:t xml:space="preserve"> </w:t>
      </w:r>
      <w:proofErr w:type="spellStart"/>
      <w:r w:rsidR="00AB6FCF">
        <w:t>internus</w:t>
      </w:r>
      <w:proofErr w:type="spellEnd"/>
      <w:r w:rsidR="00AB6FCF">
        <w:t xml:space="preserve"> und die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reticula</w:t>
      </w:r>
      <w:proofErr w:type="spellEnd"/>
      <w:r w:rsidR="00AB6FCF">
        <w:t xml:space="preserve"> wird des Weiteren auch durch einen indirekten Weg erreicht. Der Verlust von Zellen in der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com</w:t>
      </w:r>
      <w:r w:rsidR="00EF5196">
        <w:t>pacta</w:t>
      </w:r>
      <w:proofErr w:type="spellEnd"/>
      <w:r w:rsidR="00EF5196">
        <w:t xml:space="preserve"> sorgt auch dafür, dass das</w:t>
      </w:r>
      <w:r w:rsidR="00AB6FCF">
        <w:t xml:space="preserve"> </w:t>
      </w:r>
      <w:proofErr w:type="spellStart"/>
      <w:r w:rsidR="00AB6FCF">
        <w:t>Striatum</w:t>
      </w:r>
      <w:proofErr w:type="spellEnd"/>
      <w:r w:rsidR="00AB6FCF">
        <w:t xml:space="preserve"> eine verstärkte Hemmung des Globus </w:t>
      </w:r>
      <w:proofErr w:type="spellStart"/>
      <w:r w:rsidR="00AB6FCF">
        <w:t>pallidus</w:t>
      </w:r>
      <w:proofErr w:type="spellEnd"/>
      <w:r w:rsidR="00AB6FCF">
        <w:t xml:space="preserve"> </w:t>
      </w:r>
      <w:proofErr w:type="spellStart"/>
      <w:r w:rsidR="00AB6FCF">
        <w:t>externus</w:t>
      </w:r>
      <w:proofErr w:type="spellEnd"/>
      <w:r w:rsidR="00AB6FCF">
        <w:t xml:space="preserve"> bewirkt. Dieser hat dadurch eine verringerte hemmende Wirkung a</w:t>
      </w:r>
      <w:r w:rsidR="00EA3C7A">
        <w:t xml:space="preserve">uf den </w:t>
      </w:r>
      <w:proofErr w:type="spellStart"/>
      <w:r w:rsidR="00EA3C7A">
        <w:t>Subthalamischen</w:t>
      </w:r>
      <w:proofErr w:type="spellEnd"/>
      <w:r w:rsidR="00EA3C7A">
        <w:t xml:space="preserve"> Kern (STK</w:t>
      </w:r>
      <w:r w:rsidR="00AB6FCF">
        <w:t xml:space="preserve">), der dann wiederum eine verstärkende Wirkung auf den Globus </w:t>
      </w:r>
      <w:proofErr w:type="spellStart"/>
      <w:r w:rsidR="00AB6FCF">
        <w:t>pallidus</w:t>
      </w:r>
      <w:proofErr w:type="spellEnd"/>
      <w:r w:rsidR="00AB6FCF">
        <w:t xml:space="preserve"> </w:t>
      </w:r>
      <w:proofErr w:type="spellStart"/>
      <w:r w:rsidR="00AB6FCF">
        <w:t>internus</w:t>
      </w:r>
      <w:proofErr w:type="spellEnd"/>
      <w:r w:rsidR="00AB6FCF">
        <w:t xml:space="preserve"> und die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reticulata</w:t>
      </w:r>
      <w:proofErr w:type="spellEnd"/>
      <w:r w:rsidR="00AB6FCF">
        <w:t xml:space="preserve"> hat</w:t>
      </w:r>
      <w:r w:rsidR="0028116E">
        <w:t xml:space="preserve">. </w:t>
      </w:r>
      <w:r w:rsidR="00335D4C">
        <w:t>Es wurde außerdem eine weitere monosynapti</w:t>
      </w:r>
      <w:r w:rsidR="00EA3C7A">
        <w:t>sche Verbindung zwischen dem STK</w:t>
      </w:r>
      <w:r w:rsidR="00335D4C">
        <w:t xml:space="preserve"> und dem motorischen Kortex ge</w:t>
      </w:r>
      <w:r w:rsidR="00EF5196">
        <w:t>funden, welche</w:t>
      </w:r>
      <w:r w:rsidR="00EA3C7A">
        <w:t xml:space="preserve"> die Relevanz des STK</w:t>
      </w:r>
      <w:r w:rsidR="00335D4C">
        <w:t xml:space="preserve"> innerhalb dieser Verschaltung </w:t>
      </w:r>
      <w:r w:rsidR="00EF5196">
        <w:t xml:space="preserve">hervorgehoben </w:t>
      </w:r>
      <w:r w:rsidR="00335D4C">
        <w:t>hat</w:t>
      </w:r>
      <w:r w:rsidR="00DB7C45">
        <w:t>.</w:t>
      </w:r>
      <w:r w:rsidR="000E1DA9">
        <w:t xml:space="preserve"> </w:t>
      </w:r>
      <w:r w:rsidR="00DB5039">
        <w:t xml:space="preserve">All diese Erkenntnisse haben einen wichtigen Beitrag für den Fortschritt </w:t>
      </w:r>
      <w:r w:rsidR="006045B8">
        <w:t xml:space="preserve">in der klinischen Forschung von Parkinson geleistet und dafür gesorgt, dass einige effektive Behandlungsformen bereits seit einiger Zeit angewendet werden. </w:t>
      </w:r>
    </w:p>
    <w:p w:rsidR="006045B8" w:rsidRDefault="006045B8" w:rsidP="000D188D">
      <w:r>
        <w:t>1.3 Behandlung von Morbus Parkinson</w:t>
      </w:r>
    </w:p>
    <w:p w:rsidR="006045B8" w:rsidRDefault="0000655A" w:rsidP="000D188D">
      <w:r>
        <w:t>Auch wenn es bis heute nicht endgültig geheilt werden kann, haben die Fortschritte in der Forschung Morbus Parkinson zu der ersten neurodegenerativen Krankheit gemacht, mit der auf eine Weise umgegangen werden kann, bei der die Symptome kontrolliert und die Lebensqualität aufrecht erhalten werden können (</w:t>
      </w:r>
      <w:proofErr w:type="spellStart"/>
      <w:r>
        <w:t>Poewe</w:t>
      </w:r>
      <w:proofErr w:type="spellEnd"/>
      <w:r>
        <w:t xml:space="preserve"> et al., 2017).</w:t>
      </w:r>
      <w:r w:rsidR="00C87F2F">
        <w:t xml:space="preserve"> D</w:t>
      </w:r>
      <w:r w:rsidR="007B2BE2">
        <w:t>er Ursprung der motorischen Symptome</w:t>
      </w:r>
      <w:r w:rsidR="00C87F2F">
        <w:t xml:space="preserve"> liegt</w:t>
      </w:r>
      <w:r w:rsidR="007B2BE2">
        <w:t xml:space="preserve"> in dem Verlust der </w:t>
      </w:r>
      <w:proofErr w:type="spellStart"/>
      <w:r w:rsidR="007B2BE2">
        <w:t>dopaminergen</w:t>
      </w:r>
      <w:proofErr w:type="spellEnd"/>
      <w:r w:rsidR="007B2BE2">
        <w:t xml:space="preserve"> Neuronen in der </w:t>
      </w:r>
      <w:proofErr w:type="spellStart"/>
      <w:r w:rsidR="007B2BE2">
        <w:t>Substantia</w:t>
      </w:r>
      <w:proofErr w:type="spellEnd"/>
      <w:r w:rsidR="007B2BE2">
        <w:t xml:space="preserve"> </w:t>
      </w:r>
      <w:proofErr w:type="spellStart"/>
      <w:r w:rsidR="007B2BE2">
        <w:t>Nigra</w:t>
      </w:r>
      <w:proofErr w:type="spellEnd"/>
      <w:r w:rsidR="007B2BE2">
        <w:t xml:space="preserve"> pars </w:t>
      </w:r>
      <w:proofErr w:type="spellStart"/>
      <w:r w:rsidR="007B2BE2">
        <w:t>compacta</w:t>
      </w:r>
      <w:proofErr w:type="spellEnd"/>
      <w:r w:rsidR="007B2BE2">
        <w:t xml:space="preserve"> und der daraus resultierenden Verminderung von Dopamin im </w:t>
      </w:r>
      <w:proofErr w:type="spellStart"/>
      <w:r w:rsidR="007B2BE2">
        <w:t>Striatum</w:t>
      </w:r>
      <w:proofErr w:type="spellEnd"/>
      <w:r w:rsidR="00C87F2F">
        <w:t xml:space="preserve">. Diese Verminderung wird durch die medikamentöse </w:t>
      </w:r>
      <w:r w:rsidR="00F77EC2">
        <w:t xml:space="preserve">Zugabe von </w:t>
      </w:r>
      <w:proofErr w:type="spellStart"/>
      <w:r w:rsidR="00F77EC2">
        <w:t>Levodopa</w:t>
      </w:r>
      <w:proofErr w:type="spellEnd"/>
      <w:r w:rsidR="00F77EC2">
        <w:t>, der Vorstufe von Dopamin, ausgeglichen und kontrolliert. Diese Behandlungsform, die vor über 50 Jahren bahnbrechend war, ist immer noch Teil des Goldstandards zur Behandlung von Morbus Parkinson, sodass nahezu jede erkrankte Person im Laufe der Zeit damit behandelt wird (</w:t>
      </w:r>
      <w:proofErr w:type="spellStart"/>
      <w:r w:rsidR="00F77EC2">
        <w:t>Poewe</w:t>
      </w:r>
      <w:proofErr w:type="spellEnd"/>
      <w:r w:rsidR="00F77EC2">
        <w:t xml:space="preserve"> et al., zitiert nach). </w:t>
      </w:r>
      <w:r w:rsidR="00C87F2F">
        <w:t xml:space="preserve"> </w:t>
      </w:r>
      <w:r w:rsidR="00942FA8">
        <w:t xml:space="preserve">Allerdings löst die Behandlung mit </w:t>
      </w:r>
      <w:proofErr w:type="spellStart"/>
      <w:r w:rsidR="00942FA8">
        <w:t>Levodopa</w:t>
      </w:r>
      <w:proofErr w:type="spellEnd"/>
      <w:r w:rsidR="00942FA8">
        <w:t xml:space="preserve"> langfristig neue Bewegungsstörungen und </w:t>
      </w:r>
      <w:proofErr w:type="spellStart"/>
      <w:r w:rsidR="00942FA8">
        <w:t>Dyskinesien</w:t>
      </w:r>
      <w:proofErr w:type="spellEnd"/>
      <w:r w:rsidR="00942FA8">
        <w:t xml:space="preserve"> aus (</w:t>
      </w:r>
      <w:proofErr w:type="spellStart"/>
      <w:r w:rsidR="00942FA8">
        <w:t>Poewe</w:t>
      </w:r>
      <w:proofErr w:type="spellEnd"/>
      <w:r w:rsidR="00942FA8">
        <w:t xml:space="preserve"> et al., 2017). Die Gründe dafür sind immer noch nicht vollständig aufgeklärt. </w:t>
      </w:r>
      <w:r w:rsidR="00250996">
        <w:t xml:space="preserve">In </w:t>
      </w:r>
      <w:r w:rsidR="00465D1F">
        <w:t xml:space="preserve">einer Studie konnte gezeigt werden, dass die Komplikationen von </w:t>
      </w:r>
      <w:proofErr w:type="spellStart"/>
      <w:r w:rsidR="00465D1F">
        <w:t>dopaminergen</w:t>
      </w:r>
      <w:proofErr w:type="spellEnd"/>
      <w:r w:rsidR="00465D1F">
        <w:t xml:space="preserve"> Medikamenten von allen Faktoren den drittgrößten Einfluss auf die Verringerung der Lebensqualität haben (Gomez-Esteban et al., 2007). Auch die Anzahl der Jahre, in denen </w:t>
      </w:r>
      <w:proofErr w:type="spellStart"/>
      <w:r w:rsidR="00465D1F">
        <w:t>Levodopa</w:t>
      </w:r>
      <w:proofErr w:type="spellEnd"/>
      <w:r w:rsidR="00465D1F">
        <w:t xml:space="preserve"> genommen wurde, hatte einen negativen Zusammenhang mit der Lebensqualität, allerdings einen geringeren. </w:t>
      </w:r>
    </w:p>
    <w:p w:rsidR="00997325" w:rsidRDefault="004C7615" w:rsidP="000D188D">
      <w:r>
        <w:t xml:space="preserve">Im Jahr 1993 kam die Tiefe Hirnstimulation (THS) als alternative Behandlungsmöglichkeit </w:t>
      </w:r>
      <w:r w:rsidR="00EB624F">
        <w:t xml:space="preserve">für Morbus Parkinson </w:t>
      </w:r>
      <w:r>
        <w:t>zum Vorschein, n</w:t>
      </w:r>
      <w:r w:rsidR="00EF5196">
        <w:t>achdem der STK</w:t>
      </w:r>
      <w:r>
        <w:t xml:space="preserve"> als sinnvolles Ziel der THS festgestellt wurde (</w:t>
      </w:r>
      <w:proofErr w:type="spellStart"/>
      <w:r>
        <w:t>Poewe</w:t>
      </w:r>
      <w:proofErr w:type="spellEnd"/>
      <w:r>
        <w:t xml:space="preserve"> et al., 2017 zitiert nach).</w:t>
      </w:r>
      <w:r w:rsidR="001B40C0">
        <w:t xml:space="preserve"> Die THS basiert auf dem Befund, dass hochfrequente elek</w:t>
      </w:r>
      <w:r w:rsidR="00EB624F">
        <w:t>trische Stimulation von 100 – 200 H</w:t>
      </w:r>
      <w:r w:rsidR="001B40C0">
        <w:t>z auf bestimmte Bereiche des Gehirns den gleichen Effekt hat wie eine Läsion (</w:t>
      </w:r>
      <w:proofErr w:type="spellStart"/>
      <w:r w:rsidR="001B40C0">
        <w:t>Poewe</w:t>
      </w:r>
      <w:proofErr w:type="spellEnd"/>
      <w:r w:rsidR="001B40C0">
        <w:t xml:space="preserve"> et al., 2017). Der Vorteil daran ist, dass dieser Bereich des Gehirns dadurch nicht zerstört wird </w:t>
      </w:r>
      <w:r w:rsidR="00C54190">
        <w:t xml:space="preserve">und der Vorgang somit reversibel ist. Die Behandlung mit THS ist seitdem ausführlich klinisch getestet und untersucht worden. Aufgrund der sehr hohen </w:t>
      </w:r>
      <w:r w:rsidR="00EA3C7A">
        <w:t>Wirksamkeit, ist die THS des STK</w:t>
      </w:r>
      <w:r w:rsidR="00C54190">
        <w:t xml:space="preserve"> schon seit einiger Zeit eine etablierte und evidenzbasierte Option zur Behandlung von motorischen </w:t>
      </w:r>
      <w:r w:rsidR="00C54190">
        <w:lastRenderedPageBreak/>
        <w:t>Symptomen bei fortgeschrittener Erkrankung an Morbus Parkinson (</w:t>
      </w:r>
      <w:proofErr w:type="spellStart"/>
      <w:r w:rsidR="00C54190">
        <w:t>Poewe</w:t>
      </w:r>
      <w:proofErr w:type="spellEnd"/>
      <w:r w:rsidR="00C54190">
        <w:t xml:space="preserve"> et al., 2017 zitiert nach).</w:t>
      </w:r>
      <w:r w:rsidR="00FC5862">
        <w:t xml:space="preserve"> Da die Verringerung der Symptomatik bei der Behandlung mit THS und der Behandlung mit </w:t>
      </w:r>
      <w:proofErr w:type="spellStart"/>
      <w:r w:rsidR="00FC5862">
        <w:t>Levodopa</w:t>
      </w:r>
      <w:proofErr w:type="spellEnd"/>
      <w:r w:rsidR="00FC5862">
        <w:t xml:space="preserve"> a</w:t>
      </w:r>
      <w:r w:rsidR="00EB624F">
        <w:t>uf demselben Mechanismus basieren</w:t>
      </w:r>
      <w:r w:rsidR="00FC5862">
        <w:t xml:space="preserve">, sprechen Patient*innen meistens nicht auf die THS an, wenn  die Behandlung mit </w:t>
      </w:r>
      <w:proofErr w:type="spellStart"/>
      <w:r w:rsidR="00FC5862">
        <w:t>dopaminerger</w:t>
      </w:r>
      <w:proofErr w:type="spellEnd"/>
      <w:r w:rsidR="00FC5862">
        <w:t xml:space="preserve"> Medikation bereits keine Wirkung </w:t>
      </w:r>
      <w:r w:rsidR="00087CA9">
        <w:t>ge</w:t>
      </w:r>
      <w:r w:rsidR="00FC5862">
        <w:t>zeigt</w:t>
      </w:r>
      <w:r w:rsidR="00087CA9">
        <w:t xml:space="preserve"> hat</w:t>
      </w:r>
      <w:r w:rsidR="00FC5862">
        <w:t>. Die besten Voraussetzung</w:t>
      </w:r>
      <w:r w:rsidR="009829BB">
        <w:t>en sind daher</w:t>
      </w:r>
      <w:r w:rsidR="00BB72C8">
        <w:t xml:space="preserve"> erfüllt</w:t>
      </w:r>
      <w:r w:rsidR="009829BB">
        <w:t xml:space="preserve">, wenn </w:t>
      </w:r>
      <w:r w:rsidR="00B94287">
        <w:t xml:space="preserve">Patient*innen mit Morbus Parkinson sehr gut auf </w:t>
      </w:r>
      <w:proofErr w:type="spellStart"/>
      <w:r w:rsidR="00B94287">
        <w:t>Levodopa</w:t>
      </w:r>
      <w:proofErr w:type="spellEnd"/>
      <w:r w:rsidR="00B94287">
        <w:t xml:space="preserve"> reagieren, aber langfristig neue motorische Symptome durch</w:t>
      </w:r>
      <w:r w:rsidR="006C5A40">
        <w:t xml:space="preserve"> die Medikation entstanden sind</w:t>
      </w:r>
      <w:r w:rsidR="00B94287">
        <w:t xml:space="preserve"> (</w:t>
      </w:r>
      <w:proofErr w:type="spellStart"/>
      <w:r w:rsidR="00B94287">
        <w:t>Poewe</w:t>
      </w:r>
      <w:proofErr w:type="spellEnd"/>
      <w:r w:rsidR="00B94287">
        <w:t xml:space="preserve"> et al., 2017 zitiert nach). </w:t>
      </w:r>
      <w:r w:rsidR="00FC5862">
        <w:t xml:space="preserve"> </w:t>
      </w:r>
      <w:r w:rsidR="006C5A40">
        <w:t>Es konnte gezeigt werden,</w:t>
      </w:r>
      <w:r w:rsidR="00EA3C7A">
        <w:t xml:space="preserve"> dass die bilaterale THS des STK</w:t>
      </w:r>
      <w:r w:rsidR="006C5A40">
        <w:t xml:space="preserve"> die Aktivitäten im Alltag, die motorischen Symptome und die Lebensqualität erheblich verbessert</w:t>
      </w:r>
      <w:r w:rsidR="00997325">
        <w:t>, selbst im Vergleich zur bestmöglichen medikamentösen Behandlung</w:t>
      </w:r>
      <w:r w:rsidR="006C5A40">
        <w:t xml:space="preserve"> (</w:t>
      </w:r>
      <w:proofErr w:type="spellStart"/>
      <w:r w:rsidR="006C5A40">
        <w:t>Poewe</w:t>
      </w:r>
      <w:proofErr w:type="spellEnd"/>
      <w:r w:rsidR="006C5A40">
        <w:t xml:space="preserve"> et al., 2017 zitiert nach).</w:t>
      </w:r>
      <w:r w:rsidR="00997325">
        <w:t xml:space="preserve"> Nach der Operation wird die Dosie</w:t>
      </w:r>
      <w:r w:rsidR="00087CA9">
        <w:t>rung der Medikation schrittweise</w:t>
      </w:r>
      <w:r w:rsidR="00997325">
        <w:t xml:space="preserve"> runtergesetzt, allerdings trotzdem nicht vollständig abgesetzt. Der Globus </w:t>
      </w:r>
      <w:proofErr w:type="spellStart"/>
      <w:r w:rsidR="00997325">
        <w:t>Pallidus</w:t>
      </w:r>
      <w:proofErr w:type="spellEnd"/>
      <w:r w:rsidR="00997325">
        <w:t xml:space="preserve"> </w:t>
      </w:r>
      <w:proofErr w:type="spellStart"/>
      <w:r w:rsidR="00997325">
        <w:t>Internus</w:t>
      </w:r>
      <w:proofErr w:type="spellEnd"/>
      <w:r w:rsidR="00997325">
        <w:t xml:space="preserve"> ist ein alternativ mögliches Ziel für eine Operation zur Behandlung der motorischen Symptome, erlaubt aber häufig nicht die Reduktion der Medikation (</w:t>
      </w:r>
      <w:proofErr w:type="spellStart"/>
      <w:r w:rsidR="00997325">
        <w:t>Poewe</w:t>
      </w:r>
      <w:proofErr w:type="spellEnd"/>
      <w:r w:rsidR="00997325">
        <w:t xml:space="preserve"> et al., zitiert nach).</w:t>
      </w:r>
    </w:p>
    <w:p w:rsidR="00183EF5" w:rsidRDefault="00FE115F" w:rsidP="00441A07">
      <w:r>
        <w:t>Auch die THS ist</w:t>
      </w:r>
      <w:r w:rsidR="00183EF5">
        <w:t xml:space="preserve"> </w:t>
      </w:r>
      <w:r>
        <w:t xml:space="preserve">jedoch </w:t>
      </w:r>
      <w:r w:rsidR="00183EF5">
        <w:t xml:space="preserve">nicht frei von Komplikationen. </w:t>
      </w:r>
      <w:r w:rsidR="00A92E93">
        <w:t>Wegen der geringen Gr</w:t>
      </w:r>
      <w:r>
        <w:t xml:space="preserve">öße des </w:t>
      </w:r>
      <w:r w:rsidR="00EB624F">
        <w:t>senso</w:t>
      </w:r>
      <w:r>
        <w:t>motorischen Bereichs im</w:t>
      </w:r>
      <w:r w:rsidR="00A92E93">
        <w:t xml:space="preserve"> STK, muss die Elektrode sehr präzise positioniert werden, da die Spannung sich sonst auf umliegende Bereiche ausbreiten könnte (Thompson et al., 2018). </w:t>
      </w:r>
      <w:r w:rsidR="00A458C8">
        <w:t xml:space="preserve">Dabei kann es zu Nebeneffekten kommen wie Sprachstörungen, Kontraktionen, Parästhesien, Störungen der Augenbewegung und psychiatrische Symptome (Thompson et al., 2018 zitiert nach 6 Quellen). </w:t>
      </w:r>
      <w:r w:rsidR="00FF4E18">
        <w:t xml:space="preserve">Deshalb sind Neurochirurgen auf bildgebende Verfahren, Elektrophysiologie, kinästhetische Reaktionen und dem Testen der Stimulation angewiesen (Thompson et al., 2018 zitiert nach 3 Quellen). Der Goldstandard für die optimale </w:t>
      </w:r>
      <w:r w:rsidR="00EA3C7A">
        <w:t>Bestimmung d</w:t>
      </w:r>
      <w:r w:rsidR="006A7676">
        <w:t>es sensomotorischen Bereichs im</w:t>
      </w:r>
      <w:r w:rsidR="00EA3C7A">
        <w:t xml:space="preserve"> STK basiert auf Mikr</w:t>
      </w:r>
      <w:r w:rsidR="00A93D10">
        <w:t>oelektroden-Aufzeichnungen</w:t>
      </w:r>
      <w:r w:rsidR="00EA3C7A">
        <w:t xml:space="preserve"> der neuronalen Aktivität, die in den geplanten Trajekten der </w:t>
      </w:r>
      <w:r w:rsidR="00956D07">
        <w:t xml:space="preserve">Implantation der Elektroden </w:t>
      </w:r>
      <w:r w:rsidR="00EA3C7A">
        <w:t>zu finden sind (Thompson et al., 2018 zitiert nach 3 Quellen). Durch diese Aufzeichnungen können hochauflösende Kartierungen der Grenzen des STK vorgenommen we</w:t>
      </w:r>
      <w:r w:rsidR="00B43C14">
        <w:t xml:space="preserve">rden und </w:t>
      </w:r>
      <w:proofErr w:type="spellStart"/>
      <w:r w:rsidR="00B43C14">
        <w:t>oszillatorische</w:t>
      </w:r>
      <w:proofErr w:type="spellEnd"/>
      <w:r w:rsidR="00EA3C7A">
        <w:t xml:space="preserve"> Aktivitätsmuster</w:t>
      </w:r>
      <w:r w:rsidR="00B43C14">
        <w:t xml:space="preserve"> identifiziert werden,</w:t>
      </w:r>
      <w:r w:rsidR="00EA3C7A">
        <w:t xml:space="preserve"> die</w:t>
      </w:r>
      <w:r w:rsidR="00B43C14">
        <w:t xml:space="preserve"> mit</w:t>
      </w:r>
      <w:r w:rsidR="00EA3C7A">
        <w:t xml:space="preserve"> </w:t>
      </w:r>
      <w:r w:rsidR="00B43C14">
        <w:t xml:space="preserve">sensomotorischen somatotopen rezeptiven Felder übereinstimmen </w:t>
      </w:r>
      <w:r w:rsidR="00A93D10">
        <w:t>(</w:t>
      </w:r>
      <w:r w:rsidR="00B43C14">
        <w:t xml:space="preserve">Thompson et al., 2018 zitiert nach 5 Quellen). </w:t>
      </w:r>
      <w:r w:rsidR="00441A07">
        <w:t>Die THS ist daher eine komplexe Behandlungsmethode, die ein groß</w:t>
      </w:r>
      <w:r w:rsidR="00A93D10">
        <w:t>es Maß an interdisziplinä</w:t>
      </w:r>
      <w:r w:rsidR="00D659D2">
        <w:t>rer</w:t>
      </w:r>
      <w:r w:rsidR="00441A07">
        <w:t xml:space="preserve"> Expertise verlangt, um die Elektrode sinnvoll zu positionieren, die Stimulation anschließend zu programmieren und die Medikation anzupassen (</w:t>
      </w:r>
      <w:proofErr w:type="spellStart"/>
      <w:r w:rsidR="00441A07">
        <w:t>Poewe</w:t>
      </w:r>
      <w:proofErr w:type="spellEnd"/>
      <w:r w:rsidR="00441A07">
        <w:t xml:space="preserve"> et al., 2017 zitiert nach). Um die Elektrode sinnvoll zu positionieren, ist die Interpretation dieser elektrophysiologischen Aktivitätsmuster abhängig von erfahrenen Neuropsychologen weshalb dieses Vorgehen teilweise auch subjektiven Entscheidungen unterliegt (Thompson et al., 2018 zitiert nach 2 Quellen).</w:t>
      </w:r>
      <w:r w:rsidR="00B43C14">
        <w:t xml:space="preserve"> </w:t>
      </w:r>
      <w:r w:rsidR="00EA3C7A">
        <w:t xml:space="preserve">   </w:t>
      </w:r>
      <w:r w:rsidR="00FF4E18">
        <w:t xml:space="preserve"> </w:t>
      </w:r>
    </w:p>
    <w:p w:rsidR="00255E11" w:rsidRDefault="00DA1F01" w:rsidP="00255E11">
      <w:r>
        <w:t xml:space="preserve">Um diesem Umstand entgegenzuwirken und die Durchführung der THS einfacher und effizienter zu machen, gibt es einige rechnerische Modelle, die die beste Position für die Elektrode vorhersagen sollen (Thompson et al., 2018 zitiert nach 5 Quellen). Dabei werden meist </w:t>
      </w:r>
      <w:proofErr w:type="spellStart"/>
      <w:r>
        <w:t>oszillatorische</w:t>
      </w:r>
      <w:proofErr w:type="spellEnd"/>
      <w:r>
        <w:t xml:space="preserve"> </w:t>
      </w:r>
      <w:r w:rsidR="008E1846">
        <w:t>Aktivitätsm</w:t>
      </w:r>
      <w:r>
        <w:t xml:space="preserve">uster in bestimmten Frequenzbändern </w:t>
      </w:r>
      <w:r w:rsidR="00D659D2">
        <w:t>der Lokalen Feldpotentiale (LFP</w:t>
      </w:r>
      <w:r>
        <w:t xml:space="preserve">) genutzt, die </w:t>
      </w:r>
      <w:r w:rsidR="009E164B">
        <w:t xml:space="preserve">aus den Mikroelektroden-Aufzeichnungen abgeleitet werden, die </w:t>
      </w:r>
      <w:r>
        <w:t xml:space="preserve">während der </w:t>
      </w:r>
      <w:r w:rsidR="00997D2F">
        <w:t xml:space="preserve">Implantierung einer Elektrode </w:t>
      </w:r>
      <w:r>
        <w:t xml:space="preserve">aufgezeichnet werden (Thompson et al., 2018 zitiert nach 4 Quellen). </w:t>
      </w:r>
      <w:r w:rsidR="001B2C1C">
        <w:t>Es hat sich gezeigt, dass die Positionierung der Elektrode in Bereichen innerhalb des STK, die in der B</w:t>
      </w:r>
      <w:r w:rsidR="00D659D2">
        <w:t>eta-Frequenz</w:t>
      </w:r>
      <w:r w:rsidR="008E1846">
        <w:t xml:space="preserve"> von 13 – 30 H</w:t>
      </w:r>
      <w:r w:rsidR="00D659D2">
        <w:t>z</w:t>
      </w:r>
      <w:r w:rsidR="001B2C1C">
        <w:t xml:space="preserve"> eine erhöhte spektrale Power aufweisen, mit einem verbessertem Ergebnis zusammenhängen (Thompson et al., 2018 zitiert nach). Die halbautomatische </w:t>
      </w:r>
      <w:r w:rsidR="00EE1234">
        <w:t xml:space="preserve">Software </w:t>
      </w:r>
      <w:proofErr w:type="spellStart"/>
      <w:r w:rsidR="00EE1234">
        <w:t>HaG</w:t>
      </w:r>
      <w:r w:rsidR="00997D2F">
        <w:t>uide</w:t>
      </w:r>
      <w:proofErr w:type="spellEnd"/>
      <w:r w:rsidR="00997D2F">
        <w:t xml:space="preserve"> Tool wird bei der Implantierung der Elektroden</w:t>
      </w:r>
      <w:r w:rsidR="00EE1234">
        <w:t xml:space="preserve"> genutzt, um </w:t>
      </w:r>
      <w:r w:rsidR="00626AE7">
        <w:t>die Grenzen des STK und die optimale Zielposition</w:t>
      </w:r>
      <w:r w:rsidR="00997D2F">
        <w:t xml:space="preserve"> für die Elektrode</w:t>
      </w:r>
      <w:r w:rsidR="00EE1234">
        <w:t xml:space="preserve"> zu bestimmen (Thompson et al., 2018). Für die Bestimmung der Grenzen des STK wird</w:t>
      </w:r>
      <w:r w:rsidR="00255E11">
        <w:t xml:space="preserve"> die Spike-Aktivität als Maß verwendet</w:t>
      </w:r>
      <w:r w:rsidR="00EE1234">
        <w:t xml:space="preserve">. Sobald die Elektrode sich innerhalb des STK befindet, sind in der </w:t>
      </w:r>
      <w:r w:rsidR="00255E11">
        <w:t>Mikroelektroden-</w:t>
      </w:r>
      <w:r w:rsidR="00EE1234">
        <w:t>Au</w:t>
      </w:r>
      <w:r w:rsidR="00D659D2">
        <w:t>fzeichnung mehr Spikes zu sehen. D</w:t>
      </w:r>
      <w:r w:rsidR="00EE1234">
        <w:t>eshalb</w:t>
      </w:r>
      <w:r w:rsidR="00255E11">
        <w:t xml:space="preserve"> wird das quadratische Mittel des Signals aus der Mikroelektroden-Aufzeichnung verwendet, da es sensibel ist für Veränderungen in der Signaldichte und</w:t>
      </w:r>
      <w:r w:rsidR="00EE1234">
        <w:t xml:space="preserve"> deutlich größer</w:t>
      </w:r>
      <w:r w:rsidR="00255E11">
        <w:t xml:space="preserve"> wird</w:t>
      </w:r>
      <w:r w:rsidR="00EE1234">
        <w:t xml:space="preserve">, sobald die erste Grenze erreicht ist. </w:t>
      </w:r>
    </w:p>
    <w:p w:rsidR="00DA1F01" w:rsidRDefault="00EE1234" w:rsidP="00255E11">
      <w:r>
        <w:lastRenderedPageBreak/>
        <w:t xml:space="preserve">Es ist bekannt, dass sich der sensomotorische Bereich des STK im </w:t>
      </w:r>
      <w:proofErr w:type="spellStart"/>
      <w:r>
        <w:t>dorsolateralen</w:t>
      </w:r>
      <w:proofErr w:type="spellEnd"/>
      <w:r>
        <w:t xml:space="preserve"> Bereich b</w:t>
      </w:r>
      <w:r w:rsidR="005A139C">
        <w:t>efindet und dort</w:t>
      </w:r>
      <w:r w:rsidR="00BA6F4A">
        <w:t xml:space="preserve"> im LFP</w:t>
      </w:r>
      <w:r w:rsidR="005A139C">
        <w:t xml:space="preserve"> ein erhöhtes Powe</w:t>
      </w:r>
      <w:r w:rsidR="00997D2F">
        <w:t xml:space="preserve">rspektrum im </w:t>
      </w:r>
      <w:proofErr w:type="spellStart"/>
      <w:r w:rsidR="00997D2F">
        <w:t>Betaband</w:t>
      </w:r>
      <w:proofErr w:type="spellEnd"/>
      <w:r w:rsidR="00997D2F">
        <w:t xml:space="preserve"> bei 13 – 30 Hz </w:t>
      </w:r>
      <w:r w:rsidR="00BA6F4A">
        <w:t xml:space="preserve">zu finden </w:t>
      </w:r>
      <w:r w:rsidR="005A139C">
        <w:t>ist (Thompson et al., 2018 zitiert nach 2 Quellen).</w:t>
      </w:r>
      <w:r>
        <w:t xml:space="preserve"> </w:t>
      </w:r>
      <w:r w:rsidR="004B1A26">
        <w:t xml:space="preserve">Die Software war </w:t>
      </w:r>
      <w:r w:rsidR="00087CA9">
        <w:t xml:space="preserve">mit Hilfe dieser Informationen </w:t>
      </w:r>
      <w:r w:rsidR="004B1A26">
        <w:t>dazu in der Lage eine vertrauenswür</w:t>
      </w:r>
      <w:r w:rsidR="00A93D10">
        <w:t>dige Schätzung für das Ein-</w:t>
      </w:r>
      <w:r w:rsidR="004B1A26">
        <w:t xml:space="preserve"> und Au</w:t>
      </w:r>
      <w:r w:rsidR="00A93D10">
        <w:t>streten der Elektrode in Bezug auf den STK und d</w:t>
      </w:r>
      <w:r w:rsidR="004B1A26">
        <w:t xml:space="preserve">ie optimale Position der Elektrode mit starkem Zusammenhang zu den Beobachtungen eines erfahrenen Neurochirurgen/Neurophysiologen </w:t>
      </w:r>
      <w:r w:rsidR="00A93D10">
        <w:t xml:space="preserve">zu bestimmen </w:t>
      </w:r>
      <w:r w:rsidR="004B1A26">
        <w:t>(Thompson et al., 2018).</w:t>
      </w:r>
    </w:p>
    <w:p w:rsidR="00087CA9" w:rsidRDefault="00545DE5" w:rsidP="004B1A26">
      <w:r>
        <w:t>1.4 Versuchsidee</w:t>
      </w:r>
    </w:p>
    <w:p w:rsidR="00545DE5" w:rsidRDefault="00545DE5" w:rsidP="004B1A26">
      <w:r>
        <w:t>Der Nutzen der Spike-Aktivität wurde bereits in vielerlei Hinsicht erforscht und nach</w:t>
      </w:r>
      <w:r w:rsidR="00C648A4">
        <w:t>gewiesen (</w:t>
      </w:r>
      <w:proofErr w:type="spellStart"/>
      <w:r w:rsidR="00C648A4">
        <w:t>Koirala</w:t>
      </w:r>
      <w:proofErr w:type="spellEnd"/>
      <w:r w:rsidR="00C648A4">
        <w:t xml:space="preserve"> et al., 2020; Thompson et al., 2018</w:t>
      </w:r>
      <w:r w:rsidR="00F07B62">
        <w:t>).</w:t>
      </w:r>
      <w:r w:rsidR="00D659D2">
        <w:t xml:space="preserve"> </w:t>
      </w:r>
      <w:r w:rsidR="005F0D0D">
        <w:t>Allerdings ist die Spike-Aktivität kein eindeutiges und physiologisches Maß. Es ist unklar, durch welche unterschiedlichen Faktoren die Spike-Aktivität beeinflusst wird,</w:t>
      </w:r>
      <w:r w:rsidR="00F209E7">
        <w:t xml:space="preserve"> da</w:t>
      </w:r>
      <w:r w:rsidR="005F0D0D">
        <w:t xml:space="preserve"> auch Artefakte </w:t>
      </w:r>
      <w:r w:rsidR="00C76B2F">
        <w:t>von</w:t>
      </w:r>
      <w:r w:rsidR="005F0D0D">
        <w:t xml:space="preserve"> elektrische</w:t>
      </w:r>
      <w:r w:rsidR="00C76B2F">
        <w:t>n</w:t>
      </w:r>
      <w:r w:rsidR="005F0D0D">
        <w:t xml:space="preserve"> Geräte</w:t>
      </w:r>
      <w:r w:rsidR="00C76B2F">
        <w:t>n</w:t>
      </w:r>
      <w:r w:rsidR="005F0D0D">
        <w:t xml:space="preserve"> oder andere Störvariablen darin abgebildet sein</w:t>
      </w:r>
      <w:r w:rsidR="00F209E7">
        <w:t xml:space="preserve"> könnten</w:t>
      </w:r>
      <w:r w:rsidR="005F0D0D">
        <w:t xml:space="preserve">. </w:t>
      </w:r>
      <w:r w:rsidR="00D659D2">
        <w:t>Der funktionale Nutzen von LFP</w:t>
      </w:r>
      <w:r>
        <w:t xml:space="preserve"> in direktionaler THS ist </w:t>
      </w:r>
      <w:r w:rsidR="00F07B62">
        <w:t>jedoch noch nicht gut erfor</w:t>
      </w:r>
      <w:r w:rsidR="00F209E7">
        <w:t>scht. Auch wenn die Relevanz der Power des</w:t>
      </w:r>
      <w:r w:rsidR="00F07B62">
        <w:t xml:space="preserve"> </w:t>
      </w:r>
      <w:r w:rsidR="00C648A4">
        <w:t xml:space="preserve">Betabandes innerhalb des </w:t>
      </w:r>
      <w:proofErr w:type="spellStart"/>
      <w:r w:rsidR="00C648A4">
        <w:t>dorsolateralen</w:t>
      </w:r>
      <w:proofErr w:type="spellEnd"/>
      <w:r w:rsidR="00C648A4">
        <w:t xml:space="preserve"> Bereichs des STK bereits nachgewiesen ist, sind diese Befunde meist nicht einheitlich. Es scheint jedoch übergreifend nachgewiesen zu sein,</w:t>
      </w:r>
      <w:r w:rsidR="00F209E7">
        <w:t xml:space="preserve"> dass im Frequenzband von 13 – 30 H</w:t>
      </w:r>
      <w:r w:rsidR="00C648A4">
        <w:t>z für Beta die Power größer wird, wenn die Elektrode sich der Position nähert, die die beste Verringerung der Symptome zur Folge hat (</w:t>
      </w:r>
      <w:r w:rsidR="00A045D7">
        <w:t xml:space="preserve">Cole et al., 2017; </w:t>
      </w:r>
      <w:proofErr w:type="spellStart"/>
      <w:r w:rsidR="00A045D7">
        <w:t>Koirala</w:t>
      </w:r>
      <w:proofErr w:type="spellEnd"/>
      <w:r w:rsidR="00A045D7">
        <w:t xml:space="preserve"> et al., 2020; </w:t>
      </w:r>
      <w:proofErr w:type="spellStart"/>
      <w:r w:rsidR="00A045D7">
        <w:t>Telkes</w:t>
      </w:r>
      <w:proofErr w:type="spellEnd"/>
      <w:r w:rsidR="00A045D7">
        <w:t xml:space="preserve"> et al., 2020).</w:t>
      </w:r>
    </w:p>
    <w:p w:rsidR="001C57BB" w:rsidRDefault="001C57BB" w:rsidP="004B1A26">
      <w:r>
        <w:t>Eine tiefgründige Aufschlüsselung der einzelnen Faktoren, mit denen die Position der Elektrode im Gehirn bestimmt werden kann, ermöglicht potenziell ein genaueres und effizienteres Vorgehen be</w:t>
      </w:r>
      <w:r w:rsidR="00E26200">
        <w:t>i der Vorbereitung der Implantation der Elektrode</w:t>
      </w:r>
      <w:r>
        <w:t>. Außerdem wird mit den aktuellen Methoden lediglich kontinuierliche Stimulation angewandt, die Therapie dazu wird open-loop THS genannt</w:t>
      </w:r>
      <w:r w:rsidR="000A59CC">
        <w:t xml:space="preserve"> (</w:t>
      </w:r>
      <w:proofErr w:type="spellStart"/>
      <w:r w:rsidR="000A59CC">
        <w:t>Opri</w:t>
      </w:r>
      <w:proofErr w:type="spellEnd"/>
      <w:r w:rsidR="000A59CC">
        <w:t xml:space="preserve"> et al.,</w:t>
      </w:r>
      <w:r w:rsidR="00354E21">
        <w:t xml:space="preserve"> </w:t>
      </w:r>
      <w:r w:rsidR="000A59CC">
        <w:t>2020)</w:t>
      </w:r>
      <w:r>
        <w:t xml:space="preserve">. Das bedeutet, dass das Verhalten der Patient*innen und ihre Umweltfaktoren ignoriert werden, da darüber nicht genug Informationen vorliegen. Dies führt zu einer weniger effizienten Therapie, als es möglich sein könnte. Ein langfristiges Ziel in der Forschung der THS ist es, eine </w:t>
      </w:r>
      <w:proofErr w:type="spellStart"/>
      <w:r>
        <w:t>closed</w:t>
      </w:r>
      <w:proofErr w:type="spellEnd"/>
      <w:r>
        <w:t xml:space="preserve">-loop THS </w:t>
      </w:r>
      <w:r w:rsidR="000A59CC">
        <w:t>zu entwickeln, bei der die Stimulation sich von selbst an die Gegebenheiten anpasst.</w:t>
      </w:r>
      <w:r w:rsidR="00354E21">
        <w:t xml:space="preserve"> </w:t>
      </w:r>
      <w:proofErr w:type="spellStart"/>
      <w:r w:rsidR="00354E21">
        <w:t>Opri</w:t>
      </w:r>
      <w:proofErr w:type="spellEnd"/>
      <w:r w:rsidR="00354E21">
        <w:t xml:space="preserve"> et </w:t>
      </w:r>
      <w:r w:rsidR="00325C5E">
        <w:t xml:space="preserve">al. (2020) haben beispielsweise mit </w:t>
      </w:r>
      <w:proofErr w:type="spellStart"/>
      <w:r w:rsidR="00325C5E">
        <w:t>closed</w:t>
      </w:r>
      <w:proofErr w:type="spellEnd"/>
      <w:r w:rsidR="00325C5E">
        <w:t xml:space="preserve">-loop THS bei Patient*innen mit essentiellem Tremor experimentiert. Dafür konnte eine kortikale Elektrode erkennen, ob motorische Aktivität in den oberen Extremitäten vorhanden ist, durch die Veränderung des </w:t>
      </w:r>
      <w:r w:rsidR="00A47FB2">
        <w:t xml:space="preserve">oszillatorischen Aktivitätsmusters </w:t>
      </w:r>
      <w:r w:rsidR="00325C5E">
        <w:t xml:space="preserve">in dem jeweiligen Bereich des Gehirns. Da der essentielle Tremor genau dann auftritt, wenn eine motorische Handlung durchgeführt wird, konnte die </w:t>
      </w:r>
      <w:proofErr w:type="spellStart"/>
      <w:r w:rsidR="00325C5E">
        <w:t>closed</w:t>
      </w:r>
      <w:proofErr w:type="spellEnd"/>
      <w:r w:rsidR="00325C5E">
        <w:t>-loop THS so eingestellt werden, dass</w:t>
      </w:r>
      <w:r w:rsidR="00CD47DF">
        <w:t xml:space="preserve"> die Stimulation nur in solchen</w:t>
      </w:r>
      <w:r w:rsidR="00325C5E">
        <w:t xml:space="preserve"> Situation</w:t>
      </w:r>
      <w:r w:rsidR="00CD47DF">
        <w:t>en angewandt wird, in denen</w:t>
      </w:r>
      <w:r w:rsidR="00325C5E">
        <w:t xml:space="preserve"> der Tremor auch auftreten würde.</w:t>
      </w:r>
      <w:r w:rsidR="005B2AEA">
        <w:t xml:space="preserve"> Es werden also erste Schritte gemacht, dass die Stimulation bei der THS nur stattfindet, wenn sie notwendig ist, und auf eine Art und Weise, bei der Energie gespart, Nebenwirkungen vollständig vermieden und Aufwand minimiert werden kann. Dafür ist es notwendig, so viele detaillierte Informationen über</w:t>
      </w:r>
      <w:r w:rsidR="00CD47DF">
        <w:t xml:space="preserve"> die Zusammenhänge zwischen den oszillatorischen Aktiv</w:t>
      </w:r>
      <w:r w:rsidR="00626AE7">
        <w:t>itätsmustern des Gehirns und der jeweiligen Zielposition</w:t>
      </w:r>
      <w:r w:rsidR="005B2AEA">
        <w:t xml:space="preserve"> zu erforschen, wie es möglich ist.</w:t>
      </w:r>
      <w:r w:rsidR="00325C5E">
        <w:t xml:space="preserve"> </w:t>
      </w:r>
      <w:r w:rsidR="000A59CC">
        <w:t xml:space="preserve"> </w:t>
      </w:r>
      <w:r>
        <w:t xml:space="preserve">   </w:t>
      </w:r>
    </w:p>
    <w:p w:rsidR="000C5BA2" w:rsidRDefault="000C5BA2" w:rsidP="004B1A26">
      <w:r>
        <w:t>Das UKSH in Kiel ist ein Vorreiter in der Forschung und Behandlung von</w:t>
      </w:r>
      <w:r w:rsidR="00956D07">
        <w:t xml:space="preserve"> Morbus</w:t>
      </w:r>
      <w:r>
        <w:t xml:space="preserve"> Parkinson. Wir haben die Möglichkeit für diese Masterarbeit einige Datensätze von Patient*innen zu bekommen, die an Morbus Parkinson erkrankt sind und mit der THS behandelt wurden.</w:t>
      </w:r>
      <w:r w:rsidR="00956D07">
        <w:t xml:space="preserve"> </w:t>
      </w:r>
      <w:r w:rsidR="004E28B4">
        <w:t xml:space="preserve">Das Ziel dieser Masterarbeit ist es, die Frage zu beantworten, ob anhand dieser </w:t>
      </w:r>
      <w:r w:rsidR="00956D07">
        <w:t xml:space="preserve">Datensätze </w:t>
      </w:r>
      <w:r w:rsidR="00D13501">
        <w:t>ein stabiler Effekt für die</w:t>
      </w:r>
      <w:r w:rsidR="004E28B4">
        <w:t xml:space="preserve"> bisher gefunden Zusammenhänge </w:t>
      </w:r>
      <w:r w:rsidR="00400442">
        <w:t>aufgezeigt werden kann</w:t>
      </w:r>
      <w:r w:rsidR="00117895">
        <w:t xml:space="preserve"> und ob noch weitere Zusammenhänge zu finden </w:t>
      </w:r>
      <w:r w:rsidR="00400442">
        <w:t xml:space="preserve">sind. </w:t>
      </w:r>
      <w:r w:rsidR="00956D07">
        <w:t xml:space="preserve">Im Fokus stehen dabei die Zusammenhänge zwischen </w:t>
      </w:r>
      <w:r w:rsidR="00527BD2">
        <w:t>den oszillatorischen Aktiv</w:t>
      </w:r>
      <w:r w:rsidR="00626AE7">
        <w:t>itätsmustern des Gehirns und der jeweiligen Zielposition</w:t>
      </w:r>
      <w:r w:rsidR="00956D07">
        <w:t>.</w:t>
      </w:r>
      <w:r w:rsidR="00626AE7">
        <w:t xml:space="preserve"> Die Zielposition</w:t>
      </w:r>
      <w:r w:rsidR="00694CDE">
        <w:t xml:space="preserve"> im Falle der THS ist der sensomotorische Bereich des STK.</w:t>
      </w:r>
      <w:r w:rsidR="00956D07">
        <w:t xml:space="preserve"> </w:t>
      </w:r>
      <w:r w:rsidR="00400442">
        <w:t>Besonders interessant ist</w:t>
      </w:r>
      <w:r w:rsidR="00117895">
        <w:t xml:space="preserve"> zum einen </w:t>
      </w:r>
      <w:r w:rsidR="00400442">
        <w:t xml:space="preserve">die Power im </w:t>
      </w:r>
      <w:proofErr w:type="spellStart"/>
      <w:r w:rsidR="00400442">
        <w:t>Betaband</w:t>
      </w:r>
      <w:proofErr w:type="spellEnd"/>
      <w:r w:rsidR="004D7765">
        <w:t xml:space="preserve"> des LFP</w:t>
      </w:r>
      <w:r w:rsidR="00400442">
        <w:t>, da diese Information</w:t>
      </w:r>
      <w:r w:rsidR="00117895">
        <w:t xml:space="preserve"> durch den </w:t>
      </w:r>
      <w:proofErr w:type="spellStart"/>
      <w:r w:rsidR="00527BD2">
        <w:t>HaGuide</w:t>
      </w:r>
      <w:proofErr w:type="spellEnd"/>
      <w:r w:rsidR="00527BD2">
        <w:t xml:space="preserve"> bei der</w:t>
      </w:r>
      <w:r w:rsidR="00117895">
        <w:t xml:space="preserve"> </w:t>
      </w:r>
      <w:r w:rsidR="00527BD2">
        <w:t>Implantation der Elektrode</w:t>
      </w:r>
      <w:r w:rsidR="00117895">
        <w:t xml:space="preserve"> bereits zur Positionier</w:t>
      </w:r>
      <w:r w:rsidR="00400442">
        <w:t>ung der Elektrode</w:t>
      </w:r>
      <w:r w:rsidR="0020690E">
        <w:t xml:space="preserve"> und zur </w:t>
      </w:r>
      <w:r w:rsidR="009563DC">
        <w:t>Bestimmung</w:t>
      </w:r>
      <w:r w:rsidR="0020690E">
        <w:t xml:space="preserve"> des sensomotorischen Bereichs des STK</w:t>
      </w:r>
      <w:r w:rsidR="00400442">
        <w:t xml:space="preserve"> genutzt wird (Thompson et al., 2018). Ebenfalls interessant ist</w:t>
      </w:r>
      <w:r w:rsidR="0066637E">
        <w:t xml:space="preserve"> die Spike-Aktivität im elektrischen Signal</w:t>
      </w:r>
      <w:r w:rsidR="00400442">
        <w:t xml:space="preserve">, da auch das im </w:t>
      </w:r>
      <w:proofErr w:type="spellStart"/>
      <w:r w:rsidR="00400442">
        <w:t>HaGuide</w:t>
      </w:r>
      <w:proofErr w:type="spellEnd"/>
      <w:r w:rsidR="00400442">
        <w:t xml:space="preserve"> genutzt wird</w:t>
      </w:r>
      <w:r w:rsidR="0020690E">
        <w:t xml:space="preserve">, um </w:t>
      </w:r>
      <w:r w:rsidR="0020690E">
        <w:lastRenderedPageBreak/>
        <w:t>die Grenzen des STK zu bestimmen</w:t>
      </w:r>
      <w:r w:rsidR="00400442">
        <w:t xml:space="preserve">. </w:t>
      </w:r>
      <w:r w:rsidR="0020690E">
        <w:t xml:space="preserve">Damit wir diese Zusammenhänge überprüfen können, sehen wir uns die </w:t>
      </w:r>
      <w:r w:rsidR="009563DC">
        <w:t xml:space="preserve">jeweiligen </w:t>
      </w:r>
      <w:r w:rsidR="0020690E">
        <w:t>oszillat</w:t>
      </w:r>
      <w:r w:rsidR="00626AE7">
        <w:t>orischen Aktivitätsmuster in der Zielposition an, in der</w:t>
      </w:r>
      <w:r w:rsidR="0020690E">
        <w:t xml:space="preserve"> die Elektroden implantiert wurden.</w:t>
      </w:r>
      <w:r w:rsidR="009563DC">
        <w:t xml:space="preserve"> Dort sollte sich der sensomotorische Bereich des STK befinden.</w:t>
      </w:r>
      <w:r w:rsidR="0020690E">
        <w:t xml:space="preserve"> Aus </w:t>
      </w:r>
      <w:r w:rsidR="00400442">
        <w:t>der bisherigen Literatur ergibt</w:t>
      </w:r>
      <w:r w:rsidR="00D13501">
        <w:t xml:space="preserve"> sich </w:t>
      </w:r>
      <w:r w:rsidR="00400442">
        <w:t>die folgende Annahme</w:t>
      </w:r>
      <w:r w:rsidR="00D13501">
        <w:t xml:space="preserve">: </w:t>
      </w:r>
    </w:p>
    <w:p w:rsidR="00D13501" w:rsidRDefault="00D13501" w:rsidP="004B1A26">
      <w:r>
        <w:t>Hypothese 1</w:t>
      </w:r>
      <w:r w:rsidR="00942303">
        <w:t>.1</w:t>
      </w:r>
      <w:r>
        <w:t xml:space="preserve">: Die Power im </w:t>
      </w:r>
      <w:proofErr w:type="spellStart"/>
      <w:r>
        <w:t>Betaband</w:t>
      </w:r>
      <w:proofErr w:type="spellEnd"/>
      <w:r w:rsidR="004C62A2">
        <w:t xml:space="preserve"> </w:t>
      </w:r>
      <w:r w:rsidR="00527BD2">
        <w:t xml:space="preserve">des LFP </w:t>
      </w:r>
      <w:r w:rsidR="00942303">
        <w:t>ist</w:t>
      </w:r>
      <w:r w:rsidR="00626AE7">
        <w:t xml:space="preserve"> in der Nähe der Zielposition</w:t>
      </w:r>
      <w:r w:rsidR="0020690E">
        <w:t xml:space="preserve"> </w:t>
      </w:r>
      <w:r w:rsidR="00E17525">
        <w:t>größer</w:t>
      </w:r>
      <w:r w:rsidR="00B47553">
        <w:t xml:space="preserve"> als in weiter</w:t>
      </w:r>
      <w:r w:rsidR="00626AE7">
        <w:t xml:space="preserve"> Entfernung von der Zielposition</w:t>
      </w:r>
      <w:r>
        <w:t>.</w:t>
      </w:r>
    </w:p>
    <w:p w:rsidR="00942303" w:rsidRDefault="0066637E" w:rsidP="00942303">
      <w:r>
        <w:t>Hypothese 1.2: Die</w:t>
      </w:r>
      <w:r w:rsidR="00942303">
        <w:t xml:space="preserve"> </w:t>
      </w:r>
      <w:r>
        <w:t xml:space="preserve">Spike-Aktivität im elektrischen Signal </w:t>
      </w:r>
      <w:r w:rsidR="00942303">
        <w:t>ist in d</w:t>
      </w:r>
      <w:r w:rsidR="00626AE7">
        <w:t>er Nähe der Zielposition</w:t>
      </w:r>
      <w:r w:rsidR="00E17525">
        <w:t xml:space="preserve"> größer</w:t>
      </w:r>
      <w:r w:rsidR="00626AE7">
        <w:t xml:space="preserve"> als in weiter Entfernung von</w:t>
      </w:r>
      <w:r w:rsidR="00942303">
        <w:t xml:space="preserve"> </w:t>
      </w:r>
      <w:r w:rsidR="00626AE7">
        <w:t>der Zielposition</w:t>
      </w:r>
      <w:r w:rsidR="00942303">
        <w:t>.</w:t>
      </w:r>
    </w:p>
    <w:p w:rsidR="00C354B8" w:rsidRDefault="00D13501" w:rsidP="004B1A26">
      <w:r>
        <w:t>Ebenfalls von besonderem Interesse ist die aperiodische Komponente de</w:t>
      </w:r>
      <w:r w:rsidR="00B20E7A">
        <w:t>s LFP</w:t>
      </w:r>
      <w:r>
        <w:t xml:space="preserve">. </w:t>
      </w:r>
      <w:r w:rsidR="00B20E7A">
        <w:t>Das LFP</w:t>
      </w:r>
      <w:r>
        <w:t xml:space="preserve"> enthält periodische und aperiodische Eigenschaften. In der Forschung wurden bisher in den meisten Bereichen ausschließlich die periodischen Anteile berücksichtigt, während der aperiodische Anteil, der einer 1/f-Verteilun</w:t>
      </w:r>
      <w:r w:rsidR="00B20E7A">
        <w:t>g entspricht</w:t>
      </w:r>
      <w:r w:rsidR="00562463">
        <w:t>, nur als Hintergrundrauschen entfernt und ignoriert wurde (</w:t>
      </w:r>
      <w:proofErr w:type="spellStart"/>
      <w:r w:rsidR="00C141B0">
        <w:t>Donoghue</w:t>
      </w:r>
      <w:proofErr w:type="spellEnd"/>
      <w:r w:rsidR="00C141B0">
        <w:t xml:space="preserve"> et al., 2020).</w:t>
      </w:r>
      <w:r w:rsidR="00193E0E">
        <w:t xml:space="preserve"> Dass die periodischen Oszillationen mit physiologischen, kognitiven und </w:t>
      </w:r>
      <w:proofErr w:type="spellStart"/>
      <w:r w:rsidR="00193E0E">
        <w:t>behavioralen</w:t>
      </w:r>
      <w:proofErr w:type="spellEnd"/>
      <w:r w:rsidR="00193E0E">
        <w:t xml:space="preserve"> Zuständen sowie mit Krankheitseigenschaften zusammenhängen, konnte in der Vergangenheit nachgewiesen werden. Nun gibt es aber auch Hinweise darauf, dass</w:t>
      </w:r>
      <w:r w:rsidR="00A43F20">
        <w:t xml:space="preserve"> sich</w:t>
      </w:r>
      <w:r w:rsidR="00193E0E">
        <w:t xml:space="preserve"> die aperiodische Komponente ebenfalls </w:t>
      </w:r>
      <w:r w:rsidR="00A43F20">
        <w:t xml:space="preserve">in Abhängigkeit von Alter, Aufgabenanforderungen und kognitiven Zuständen verändert und somit eher eine physiologisch interpretierbare Eigenschaft darstellt, statt eines zufälligen Hintergrundrauschens. Durch einen neuen Algorithmus </w:t>
      </w:r>
      <w:r w:rsidR="00CB3F02">
        <w:t xml:space="preserve">(FOOOF) </w:t>
      </w:r>
      <w:r w:rsidR="00A43F20">
        <w:t xml:space="preserve">von </w:t>
      </w:r>
      <w:proofErr w:type="spellStart"/>
      <w:r w:rsidR="00A43F20">
        <w:t>Donoghue</w:t>
      </w:r>
      <w:proofErr w:type="spellEnd"/>
      <w:r w:rsidR="00A43F20">
        <w:t xml:space="preserve"> et al. (2020) kann der aperiodische Anteil des Signals von den periodischen Anteilen getrennt werden</w:t>
      </w:r>
      <w:r w:rsidR="00C354B8">
        <w:t>. Dadurch können w</w:t>
      </w:r>
      <w:r w:rsidR="00CB3F02">
        <w:t xml:space="preserve">ir die reine Power der periodischen Oszillationen </w:t>
      </w:r>
      <w:r w:rsidR="00B21298">
        <w:t>ohne aperiodischen Anteil für die</w:t>
      </w:r>
      <w:r w:rsidR="00CB3F02">
        <w:t xml:space="preserve"> einzelnen</w:t>
      </w:r>
      <w:r w:rsidR="00C354B8">
        <w:t xml:space="preserve"> Frequenzbänder errechnen, aber auch die aperiodische Komponente selbst als Faktor untersuchen. Dabei gehen wir davon aus, dass es </w:t>
      </w:r>
      <w:r w:rsidR="00E17525">
        <w:t xml:space="preserve">auch </w:t>
      </w:r>
      <w:r w:rsidR="00C354B8">
        <w:t>einen Zusammenhang zwischen der aperiodischen Kompo</w:t>
      </w:r>
      <w:r w:rsidR="00A236E8">
        <w:t>nente und der Zielposition</w:t>
      </w:r>
      <w:r w:rsidR="00C354B8">
        <w:t xml:space="preserve"> gibt</w:t>
      </w:r>
      <w:r w:rsidR="00E17525">
        <w:t>, in dem die Elektrode implantiert wurde</w:t>
      </w:r>
      <w:r w:rsidR="00C354B8">
        <w:t>.</w:t>
      </w:r>
    </w:p>
    <w:p w:rsidR="00D13501" w:rsidRDefault="008637AB" w:rsidP="004B1A26">
      <w:r>
        <w:t>Hypothese 2</w:t>
      </w:r>
      <w:r w:rsidR="00C354B8">
        <w:t>: Die aperiod</w:t>
      </w:r>
      <w:r w:rsidR="004D0B8A">
        <w:t>ische Komponente des LFP</w:t>
      </w:r>
      <w:r w:rsidR="00BE20E5">
        <w:t xml:space="preserve"> hängt zusammen mit der Entfernu</w:t>
      </w:r>
      <w:r w:rsidR="00A236E8">
        <w:t>ng der Elektrode zu der Zielposition.</w:t>
      </w:r>
    </w:p>
    <w:p w:rsidR="008637AB" w:rsidRDefault="008637AB" w:rsidP="004B1A26">
      <w:r>
        <w:t xml:space="preserve">Es soll </w:t>
      </w:r>
      <w:r w:rsidR="009229BA">
        <w:t xml:space="preserve">zusätzlich </w:t>
      </w:r>
      <w:r>
        <w:t xml:space="preserve">explorativ überprüft werden, ob die bisherigen Befunde aus der Forschung in dem vorhandenen Datensatz zu finden sind und ob noch weitere Aspekte eine Rolle spielen könnten, die bisher nicht berücksichtigt worden sind. Die Power im Thetaband und im Alphaband wurde beispielsweise mit Tremor in Verbindung gebracht, aber nicht </w:t>
      </w:r>
      <w:r w:rsidR="00606DE4">
        <w:t xml:space="preserve">direkt </w:t>
      </w:r>
      <w:r>
        <w:t>mit der Positionierung der Elektrode im sensomotorischen Bereich des STK (</w:t>
      </w:r>
      <w:proofErr w:type="spellStart"/>
      <w:r>
        <w:t>Koirala</w:t>
      </w:r>
      <w:proofErr w:type="spellEnd"/>
      <w:r>
        <w:t xml:space="preserve"> et al., 2020).</w:t>
      </w:r>
    </w:p>
    <w:p w:rsidR="000C5BA2" w:rsidRDefault="000C5BA2" w:rsidP="004B1A26">
      <w:r>
        <w:t xml:space="preserve">Ein weiteres Ziel ist, am Ende der Masterarbeit ein Skript entwickelt zu haben, das zukünftige Forschung </w:t>
      </w:r>
      <w:r w:rsidR="00843FF4">
        <w:t xml:space="preserve">zu diesem Bereich </w:t>
      </w:r>
      <w:r>
        <w:t>erleichtert und ein automatisiertes Programm zu Verfügung stellt, mit dem andere Datensätze und Fragestellungen verarbeitet und untersucht werden können.</w:t>
      </w:r>
    </w:p>
    <w:p w:rsidR="00465D1F" w:rsidRDefault="00966214" w:rsidP="000D188D">
      <w:r>
        <w:t xml:space="preserve">2. Methoden </w:t>
      </w:r>
    </w:p>
    <w:p w:rsidR="00966214" w:rsidRDefault="00966214" w:rsidP="000D188D">
      <w:r>
        <w:t>2.1 Stichprobe/ Daten</w:t>
      </w:r>
    </w:p>
    <w:p w:rsidR="000E3A63" w:rsidRDefault="00966214" w:rsidP="000D188D">
      <w:r>
        <w:t>Es liegen Daten von 30 Patient*innen vor, die an Morbus Parkinson erkrankt sind und eine Behandlung durch THS erhalten haben. Pro Patient*in befinden sich 38 bis 153 Dateien in dem jeweilig</w:t>
      </w:r>
      <w:r w:rsidR="0079625F">
        <w:t>en Ordner, wobei jede Datei die</w:t>
      </w:r>
      <w:r>
        <w:t xml:space="preserve"> Momentaufnahme von einer bestimmten Elektrodenposition beinhaltet. </w:t>
      </w:r>
      <w:r w:rsidR="00AD4E9E">
        <w:t xml:space="preserve">Der Dateiname enthält dabei alle Informationen über die Position der Elektrode zu diesem Messzeitpunkt. </w:t>
      </w:r>
      <w:r w:rsidR="00F577BF">
        <w:t xml:space="preserve">Das erste Zeichen des Dateinamens ist entweder ein L oder ein R und </w:t>
      </w:r>
      <w:r w:rsidR="00E5355F">
        <w:t xml:space="preserve">steht für die Seite, auf der die Elektrode eingeführt wurde. Der jeweilige Buchstabe </w:t>
      </w:r>
      <w:r w:rsidR="00F577BF">
        <w:t>zeigt an, ob sich die Elektrode in der rechten</w:t>
      </w:r>
      <w:r w:rsidR="00E5355F">
        <w:t xml:space="preserve"> (R)</w:t>
      </w:r>
      <w:r w:rsidR="00F577BF">
        <w:t xml:space="preserve"> oder linken Hemisphäre </w:t>
      </w:r>
      <w:r w:rsidR="00E5355F">
        <w:t xml:space="preserve">(L) </w:t>
      </w:r>
      <w:r w:rsidR="00F577BF">
        <w:t>befindet.</w:t>
      </w:r>
      <w:r w:rsidR="0035508D">
        <w:t xml:space="preserve"> Dahinter steht en</w:t>
      </w:r>
      <w:r w:rsidR="00E635F2">
        <w:t xml:space="preserve">tweder T1, T2, T3, T4 oder T5. Dadurch wird angeben, in welchem Trajekt sich die Elektrode befindet. Zur Implantation </w:t>
      </w:r>
      <w:r w:rsidR="00E635F2">
        <w:lastRenderedPageBreak/>
        <w:t>der Elektrode wird sie in eine</w:t>
      </w:r>
      <w:r w:rsidR="008B6691">
        <w:t xml:space="preserve"> winkelstabile</w:t>
      </w:r>
      <w:r w:rsidR="00E635F2">
        <w:t xml:space="preserve"> Vorrichtung eingeführt, die aus 5 Öffnungen besteht. Je nachdem in welche Öffnung die Elektrode eingeführt wird, befindet sich die Elektrode entweder zentral (T1), </w:t>
      </w:r>
      <w:proofErr w:type="spellStart"/>
      <w:r w:rsidR="00E635F2">
        <w:t>anterior</w:t>
      </w:r>
      <w:proofErr w:type="spellEnd"/>
      <w:r w:rsidR="00E635F2">
        <w:t xml:space="preserve"> (T2), medial (T3 auf der linken Seite; T5 auf der rechten Seite), </w:t>
      </w:r>
      <w:proofErr w:type="spellStart"/>
      <w:r w:rsidR="00E635F2">
        <w:t>posterior</w:t>
      </w:r>
      <w:proofErr w:type="spellEnd"/>
      <w:r w:rsidR="00E635F2">
        <w:t xml:space="preserve"> (T4) oder lateral (T5 auf der linken Seite; T3 auf der linken Seite). </w:t>
      </w:r>
      <w:r w:rsidR="00CA7EC0">
        <w:t>Als nächstes folgt nach dem Buchstaben D eine Zahl, die für die Tiefe de</w:t>
      </w:r>
      <w:r w:rsidR="00D67C89">
        <w:t>r Elektrode in Relation zu einer Zielposition</w:t>
      </w:r>
      <w:r w:rsidR="00CA7EC0">
        <w:t xml:space="preserve"> steht. Die Zielposition für die Elektrode wurde zuvor mittels MRT bestimmt und wird im Dateinamen als 0 kodiert. Die Messung des S</w:t>
      </w:r>
      <w:r w:rsidR="00D67C89">
        <w:t>ignals beginnt bei der Implantation der Elektrode</w:t>
      </w:r>
      <w:r w:rsidR="00CA7EC0">
        <w:t xml:space="preserve"> in der Regel bei einer Tiefe von 10.000, also 10 mm vor der Zielposition.</w:t>
      </w:r>
      <w:r w:rsidR="0092094A">
        <w:t xml:space="preserve"> Wird die Elektrode über die Zielposition hinaus bewegt, bekommt die Tiefe ein negatives Vorzeichen</w:t>
      </w:r>
      <w:r w:rsidR="008B6691">
        <w:t xml:space="preserve">. Innerhalb von der Datei selbst befindet sich die Aufzeichnung des elektrischen Signals. Neben den Rohdaten befinden sich in den Datensätzen noch einige weitere Versionen, bei denen das Signal auf unterschiedliche Weise bereits vorverarbeitet oder gefiltert wurde. </w:t>
      </w:r>
    </w:p>
    <w:p w:rsidR="0023392E" w:rsidRDefault="0023392E" w:rsidP="000D188D">
      <w:r>
        <w:t>2.2 Durchführung</w:t>
      </w:r>
    </w:p>
    <w:p w:rsidR="004A551C" w:rsidRDefault="00F96CB9" w:rsidP="000D188D">
      <w:r>
        <w:t>Bevor die Operation</w:t>
      </w:r>
      <w:r w:rsidR="00CD7FA9">
        <w:t xml:space="preserve"> zur Implantation der Elektroden</w:t>
      </w:r>
      <w:r>
        <w:t xml:space="preserve"> stattfindet, wird durch ein MRT des Gehirns die Position des STK bestimmt, um festzulegen, an welcher Stelle die Elektrode eingesetzt werden soll. Da die STK selbst im MRT oft nicht ausreichend erkennbar sind, muss die</w:t>
      </w:r>
      <w:r w:rsidR="00FA0E4A">
        <w:t xml:space="preserve"> Position durch die umliegenden Strukturen geschätzt werden. </w:t>
      </w:r>
      <w:r w:rsidR="000E3A63">
        <w:t>Z</w:t>
      </w:r>
      <w:r w:rsidR="003F70B6">
        <w:t>ur Durchführung der Operation wu</w:t>
      </w:r>
      <w:r w:rsidR="000E3A63">
        <w:t>rd</w:t>
      </w:r>
      <w:r w:rsidR="003F70B6">
        <w:t>e</w:t>
      </w:r>
      <w:r w:rsidR="00FA0E4A">
        <w:t xml:space="preserve"> an der</w:t>
      </w:r>
      <w:r w:rsidR="000E3A63">
        <w:t xml:space="preserve"> vorher bestimmten Stelle durch eine Bohrung di</w:t>
      </w:r>
      <w:r w:rsidR="003F70B6">
        <w:t>e Schädeldecke geöffnet. Dort wu</w:t>
      </w:r>
      <w:r w:rsidR="000E3A63">
        <w:t>rd</w:t>
      </w:r>
      <w:r w:rsidR="003F70B6">
        <w:t>e</w:t>
      </w:r>
      <w:r w:rsidR="000E3A63">
        <w:t xml:space="preserve"> zunächst erstmal eine Testelektrode eingeführt, um die Nebenwirkungen der THS durch das Anpassen der Position und der Stromstärke zu minimieren. </w:t>
      </w:r>
      <w:r w:rsidR="0092094A">
        <w:t xml:space="preserve"> </w:t>
      </w:r>
      <w:r w:rsidR="003F70B6">
        <w:t>Dafür wurden die Patient*innen geweckt, damit sie Fragen beantworten konnten. Ihre Antworten konnten Hinweise auf Sprach- oder Denkstörungen geben, die durch die THS neu entstanden sind.</w:t>
      </w:r>
      <w:r w:rsidR="00C62577">
        <w:t xml:space="preserve"> Da die im Voraus berechnete Stelle für die Platzierung der Elektrode </w:t>
      </w:r>
      <w:r w:rsidR="00D60E01">
        <w:t>meistens</w:t>
      </w:r>
      <w:r w:rsidR="00C62577">
        <w:t xml:space="preserve"> bereits ausreichend genau i</w:t>
      </w:r>
      <w:r w:rsidR="00D60E01">
        <w:t>st, wurde die Elektrode in der Regel</w:t>
      </w:r>
      <w:r w:rsidR="00C62577">
        <w:t xml:space="preserve"> nur in das zentrale Trajekt eingeführt. Falls dieses Trajekt doch nicht zu dem gewünschten Ergebnis führte, wurden in wenigen Fällen andere Trajekte ausprobiert, um die unerwünschten Nebenwirkungen der THS besser zu umgehen und die Verbesserung der Symptomatik zu maximieren.</w:t>
      </w:r>
      <w:r w:rsidR="00396A46">
        <w:t xml:space="preserve"> Pro Datei konnten daher die Aufzeichnungen von eins bis fünf Kanälen</w:t>
      </w:r>
      <w:r w:rsidR="007F6159">
        <w:t xml:space="preserve"> </w:t>
      </w:r>
      <w:r w:rsidR="00D60E01">
        <w:t>enthalten sein, wobei dies lediglich</w:t>
      </w:r>
      <w:r w:rsidR="00396A46">
        <w:t xml:space="preserve"> die Verwendung eines anderen Trajekts bedeutete. </w:t>
      </w:r>
      <w:r w:rsidR="00912FB2">
        <w:t>Bei insgesamt 3738 Dateien (</w:t>
      </w:r>
      <w:r w:rsidR="00912FB2" w:rsidRPr="00912FB2">
        <w:rPr>
          <w:i/>
        </w:rPr>
        <w:t>M</w:t>
      </w:r>
      <w:r w:rsidR="00912FB2">
        <w:t xml:space="preserve"> = 124.6, </w:t>
      </w:r>
      <w:r w:rsidR="00912FB2" w:rsidRPr="00912FB2">
        <w:rPr>
          <w:i/>
        </w:rPr>
        <w:t>SD</w:t>
      </w:r>
      <w:r w:rsidR="00CD7FA9">
        <w:t xml:space="preserve"> = 26.6</w:t>
      </w:r>
      <w:r w:rsidR="00912FB2">
        <w:t>) über die 30 Patient*innen, gab es 3971 Kanäle</w:t>
      </w:r>
      <w:r w:rsidR="00754537">
        <w:t>, wobei bei 8 Patient*innen mehr als ein Kanal vorhanden war</w:t>
      </w:r>
      <w:r w:rsidR="00912FB2">
        <w:t>.</w:t>
      </w:r>
      <w:r w:rsidR="00754537">
        <w:t xml:space="preserve"> Bei den Patient</w:t>
      </w:r>
      <w:r w:rsidR="00D60E01">
        <w:t>*</w:t>
      </w:r>
      <w:r w:rsidR="00754537">
        <w:t>innen, bei denen mehr als ein Kanal zu finden war, traf das auf sämtliche Dateien zu, und die höchste Anzahl an Kanälen</w:t>
      </w:r>
      <w:r w:rsidR="00D60E01">
        <w:t xml:space="preserve"> war 3</w:t>
      </w:r>
      <w:r w:rsidR="00754537">
        <w:t>.</w:t>
      </w:r>
      <w:r w:rsidR="00912FB2">
        <w:t xml:space="preserve"> In dem Ordner mit den wenigsten Dateien, befanden sic</w:t>
      </w:r>
      <w:r w:rsidR="00CD7FA9">
        <w:t xml:space="preserve">h 38 Dateien. In dem Ordner mit </w:t>
      </w:r>
      <w:r w:rsidR="00912FB2">
        <w:t>den meisten Date</w:t>
      </w:r>
      <w:r w:rsidR="00D60E01">
        <w:t xml:space="preserve">ien befanden sich 153 Dateien. </w:t>
      </w:r>
      <w:r w:rsidR="007F6159">
        <w:t>Sobald die Position</w:t>
      </w:r>
      <w:r w:rsidR="005F0D0D">
        <w:t xml:space="preserve"> der Elektrode ausgewählt wurde, die das</w:t>
      </w:r>
      <w:r w:rsidR="007F6159">
        <w:t xml:space="preserve"> </w:t>
      </w:r>
      <w:r w:rsidR="005F0D0D">
        <w:t>beste Ergebnis aufwies</w:t>
      </w:r>
      <w:r w:rsidR="007F6159">
        <w:t xml:space="preserve">, konnte anschließend die endgültige Elektrode eingeführt und die Operationsstelle verschlossen werden. Da bilateral stimuliert wird, wurde dieses Vorgehen sowohl für die linke, als auch für die rechte Hemisphäre durchgeführt. Abschließend wurde ein CT durchgeführt, um eventuelle Blutungen oder andere Gefahren zu überprüfen. Die Daten, die für diese Masterarbeit vorliegen, sind die, die von den Testelektroden aufgezeichnet wurden. </w:t>
      </w:r>
    </w:p>
    <w:p w:rsidR="0023392E" w:rsidRDefault="00C62D1C" w:rsidP="000D188D">
      <w:r>
        <w:t xml:space="preserve">2.3 </w:t>
      </w:r>
      <w:proofErr w:type="gramStart"/>
      <w:r>
        <w:t>Vorverarbeitung</w:t>
      </w:r>
      <w:proofErr w:type="gramEnd"/>
      <w:r w:rsidR="0023392E">
        <w:t xml:space="preserve"> der EEG-Daten</w:t>
      </w:r>
    </w:p>
    <w:p w:rsidR="0023392E" w:rsidRDefault="00610D3E" w:rsidP="000D188D">
      <w:r>
        <w:t>Die Datensätze wu</w:t>
      </w:r>
      <w:r w:rsidR="0023392E">
        <w:t>rde</w:t>
      </w:r>
      <w:r>
        <w:t>n</w:t>
      </w:r>
      <w:r w:rsidR="0023392E">
        <w:t xml:space="preserve"> mit Hilfe von </w:t>
      </w:r>
      <w:proofErr w:type="spellStart"/>
      <w:r w:rsidR="0023392E">
        <w:t>Matlab</w:t>
      </w:r>
      <w:proofErr w:type="spellEnd"/>
      <w:r w:rsidR="0023392E">
        <w:t xml:space="preserve"> (R2020b, </w:t>
      </w:r>
      <w:proofErr w:type="spellStart"/>
      <w:r w:rsidR="0023392E">
        <w:t>MathWorks</w:t>
      </w:r>
      <w:proofErr w:type="spellEnd"/>
      <w:r w:rsidR="0023392E">
        <w:t xml:space="preserve"> Inc.)</w:t>
      </w:r>
      <w:r>
        <w:t xml:space="preserve"> eingelesen, verarbeitet und visualisiert. Die Dateien wurden dafür mit einem Converter von dem Dateiformat des </w:t>
      </w:r>
      <w:proofErr w:type="spellStart"/>
      <w:r>
        <w:t>Neuro</w:t>
      </w:r>
      <w:proofErr w:type="spellEnd"/>
      <w:r>
        <w:t xml:space="preserve"> Omega Players (.</w:t>
      </w:r>
      <w:proofErr w:type="spellStart"/>
      <w:r>
        <w:t>mpx</w:t>
      </w:r>
      <w:proofErr w:type="spellEnd"/>
      <w:r>
        <w:t xml:space="preserve">) in </w:t>
      </w:r>
      <w:proofErr w:type="spellStart"/>
      <w:r>
        <w:t>Matlab</w:t>
      </w:r>
      <w:proofErr w:type="spellEnd"/>
      <w:r>
        <w:t>-Dateien gewandelt (.</w:t>
      </w:r>
      <w:proofErr w:type="spellStart"/>
      <w:r>
        <w:t>mat</w:t>
      </w:r>
      <w:proofErr w:type="spellEnd"/>
      <w:r>
        <w:t xml:space="preserve">). </w:t>
      </w:r>
      <w:r w:rsidR="00B43223">
        <w:t xml:space="preserve">Um die Daten einzulesen und zu verarbeiten wurde die </w:t>
      </w:r>
      <w:proofErr w:type="spellStart"/>
      <w:r w:rsidR="00B43223">
        <w:t>Matlab</w:t>
      </w:r>
      <w:proofErr w:type="spellEnd"/>
      <w:r w:rsidR="00B43223">
        <w:t>-Toolbox Fieldtrip verwendet (</w:t>
      </w:r>
      <w:proofErr w:type="spellStart"/>
      <w:r w:rsidR="00B43223">
        <w:t>Oostenveld</w:t>
      </w:r>
      <w:proofErr w:type="spellEnd"/>
      <w:r w:rsidR="00B43223">
        <w:t xml:space="preserve">, Fries, Maris &amp; </w:t>
      </w:r>
      <w:proofErr w:type="spellStart"/>
      <w:r w:rsidR="00B43223">
        <w:t>Schoffelen</w:t>
      </w:r>
      <w:proofErr w:type="spellEnd"/>
      <w:r w:rsidR="00B43223">
        <w:t xml:space="preserve">, 2011). </w:t>
      </w:r>
      <w:r w:rsidR="00C62D1C">
        <w:t xml:space="preserve">In einem ersten selbsterstellten </w:t>
      </w:r>
      <w:proofErr w:type="gramStart"/>
      <w:r w:rsidR="00C62D1C">
        <w:t>Skript</w:t>
      </w:r>
      <w:proofErr w:type="gramEnd"/>
      <w:r w:rsidR="00C62D1C">
        <w:t xml:space="preserve"> wurden durch einen Loop sämtliche Patient*innen-Ordner geöffnet und durch einen weiteren Loop alle einzelnen Dateien innerhalb eines Patient*innen-Ordners eingelesen und verarbeitet.</w:t>
      </w:r>
      <w:r w:rsidR="00821B87">
        <w:t xml:space="preserve"> Zu Beginn wu</w:t>
      </w:r>
      <w:r w:rsidR="008813BD">
        <w:t xml:space="preserve">rden die jeweiligen Informationen über die </w:t>
      </w:r>
      <w:r w:rsidR="00CD7FA9">
        <w:t xml:space="preserve">aktuelle </w:t>
      </w:r>
      <w:r w:rsidR="008813BD">
        <w:t xml:space="preserve">Position der Elektrode aus dem Dateinamen für alle Dateien eines Patient*innen-Ordners </w:t>
      </w:r>
      <w:r w:rsidR="008813BD">
        <w:lastRenderedPageBreak/>
        <w:t xml:space="preserve">abgespeichert (Tiefe, Seite, Trajekt). </w:t>
      </w:r>
      <w:r w:rsidR="00031E37">
        <w:t>Dann wurde das unverarbeitete</w:t>
      </w:r>
      <w:r w:rsidR="00821B87">
        <w:t xml:space="preserve"> elektrische Signal eingelesen. </w:t>
      </w:r>
      <w:r w:rsidR="00E5355F">
        <w:t>Davon wurde das quadratische Mittel</w:t>
      </w:r>
      <w:r w:rsidR="00821B87">
        <w:t xml:space="preserve"> berechnet und abgespeichert. Als nächstes wurden die LFP-Daten eingele</w:t>
      </w:r>
      <w:r w:rsidR="005F0D0D">
        <w:t>sen und die S</w:t>
      </w:r>
      <w:r w:rsidR="0049460C">
        <w:t xml:space="preserve">amplegröße von 44000 </w:t>
      </w:r>
      <w:r w:rsidR="00821B87">
        <w:t xml:space="preserve">Hz auf 512 Hz </w:t>
      </w:r>
      <w:r w:rsidR="00F65A91">
        <w:t>verringert. Dadurch verkürzt sich die Dauer der Datenverarbeitung von mehreren Tagen auf wenige</w:t>
      </w:r>
      <w:r w:rsidR="00031E37">
        <w:t xml:space="preserve"> Stunden. Im nächsten Schritt wu</w:t>
      </w:r>
      <w:r w:rsidR="00F65A91">
        <w:t xml:space="preserve">rden die </w:t>
      </w:r>
      <w:r w:rsidR="00031E37">
        <w:t>LFP-</w:t>
      </w:r>
      <w:r w:rsidR="00F65A91">
        <w:t xml:space="preserve">Daten bereinigt. </w:t>
      </w:r>
      <w:r w:rsidR="005C311D">
        <w:t xml:space="preserve">Um die Vergleichbarkeit der </w:t>
      </w:r>
      <w:r w:rsidR="00031E37">
        <w:t>LFP-</w:t>
      </w:r>
      <w:r w:rsidR="005C311D">
        <w:t xml:space="preserve">Daten zu ermöglichen, wurden sie </w:t>
      </w:r>
      <w:r w:rsidR="00031E37">
        <w:t xml:space="preserve">dafür </w:t>
      </w:r>
      <w:r w:rsidR="005C311D">
        <w:t>normalisiert. Anschließend wurden die</w:t>
      </w:r>
      <w:r w:rsidR="00031E37">
        <w:t xml:space="preserve"> normalisierten</w:t>
      </w:r>
      <w:r w:rsidR="005C311D">
        <w:t xml:space="preserve"> </w:t>
      </w:r>
      <w:r w:rsidR="00031E37">
        <w:t>LFP-Daten</w:t>
      </w:r>
      <w:r w:rsidR="00943331">
        <w:t xml:space="preserve"> der </w:t>
      </w:r>
      <w:r w:rsidR="005C311D">
        <w:t>Kanäle sämtlicher Positionen</w:t>
      </w:r>
      <w:r w:rsidR="00943331">
        <w:t xml:space="preserve"> für alle Patient*innen grafisch dargestellt. Durch visu</w:t>
      </w:r>
      <w:r w:rsidR="00031E37">
        <w:t>elle Inspektion</w:t>
      </w:r>
      <w:r w:rsidR="00943331">
        <w:t xml:space="preserve"> w</w:t>
      </w:r>
      <w:r w:rsidR="00031E37">
        <w:t>urde entschieden, dass alle LFP</w:t>
      </w:r>
      <w:r w:rsidR="00943331">
        <w:t xml:space="preserve"> in 4 Teile geschnitten </w:t>
      </w:r>
      <w:r w:rsidR="005F0D0D">
        <w:t>werden und</w:t>
      </w:r>
      <w:r w:rsidR="00E26E9F">
        <w:t xml:space="preserve"> alle Kanäle, die in einem dieser 4 Abschnitte </w:t>
      </w:r>
      <w:r w:rsidR="00396A46">
        <w:t>eine Varianz kleiner gleich</w:t>
      </w:r>
      <w:r w:rsidR="007B13F9">
        <w:t xml:space="preserve"> 0.003</w:t>
      </w:r>
      <w:r w:rsidR="00396A46">
        <w:t xml:space="preserve"> oder größer als 0.07</w:t>
      </w:r>
      <w:r w:rsidR="0006445C">
        <w:t>5</w:t>
      </w:r>
      <w:r w:rsidR="00E26E9F">
        <w:t xml:space="preserve"> aufweisen, gelöscht werden. </w:t>
      </w:r>
      <w:r w:rsidR="0006445C">
        <w:t xml:space="preserve">Diese Grenzwerte wurden möglichst konservativ gewählt, da bekannt und ersichtlich war, dass eine Vielzahl der Daten Artefakte enthält. </w:t>
      </w:r>
      <w:r w:rsidR="008E707B">
        <w:t xml:space="preserve">Es handelt sich bei der Operation nicht um ein Forschungsumfeld, sondern um einen klinischen Eingriff. Daher wurde bei der Aufzeichnung der Daten </w:t>
      </w:r>
      <w:r w:rsidR="00031E37">
        <w:t>nicht auf die Qualität</w:t>
      </w:r>
      <w:r w:rsidR="008E707B">
        <w:t xml:space="preserve"> oder die Vermeidung von Störsignalen geachtet. </w:t>
      </w:r>
      <w:r w:rsidR="00E26E9F">
        <w:t xml:space="preserve">Außerdem wurden alle Kanäle gelöscht, die weniger als 1280 Samplepunkte beinhalten </w:t>
      </w:r>
      <w:r w:rsidR="005F0D0D">
        <w:t xml:space="preserve">und somit </w:t>
      </w:r>
      <w:r w:rsidR="008E707B">
        <w:t>Daten aufgezeichnet wurden</w:t>
      </w:r>
      <w:r w:rsidR="005F0D0D">
        <w:t>, die weniger als 2.5 Sekunden lang sind</w:t>
      </w:r>
      <w:r w:rsidR="00E26E9F">
        <w:t>.</w:t>
      </w:r>
      <w:r w:rsidR="00396A46">
        <w:t xml:space="preserve"> In diesem ersten Schritt der Datenbereinigung sind bereits 924 von 3971 Kanälen </w:t>
      </w:r>
      <w:r w:rsidR="00754537">
        <w:t xml:space="preserve">entfernt worden. </w:t>
      </w:r>
      <w:r w:rsidR="0064535B">
        <w:t>In der Abbildung 1</w:t>
      </w:r>
      <w:r w:rsidR="005C0164">
        <w:t xml:space="preserve"> ist zu sehen, dass ein unverhältnismäßig großer Anteil aller Varianzen sich in dem Bereich unter 0.003 befindet, wobei alle Varianzen von exakt 0</w:t>
      </w:r>
      <w:r w:rsidR="00031E37">
        <w:t>, die also nichts gemessen haben,</w:t>
      </w:r>
      <w:r w:rsidR="005C0164">
        <w:t xml:space="preserve"> nicht in diesem Histogramm mit abgebildet sind. Dies zeigt, dass in vielen Kanälen keine aussagekräftigen Daten gemessen wurden, da es sich dabei um eine sehr kleine Varianz handelt.</w:t>
      </w:r>
    </w:p>
    <w:p w:rsidR="003E434A" w:rsidRDefault="003E434A" w:rsidP="000D188D">
      <w:r>
        <w:t xml:space="preserve">Im nächsten Schritt wurden die </w:t>
      </w:r>
      <w:r w:rsidR="00B00B23">
        <w:t>LFP-</w:t>
      </w:r>
      <w:r>
        <w:t>Daten gefiltert, um anschließend eine Ze</w:t>
      </w:r>
      <w:r w:rsidR="008E707B">
        <w:t>it-Frequenz-Analyse</w:t>
      </w:r>
      <w:r w:rsidR="00714095">
        <w:t xml:space="preserve"> (TFR)</w:t>
      </w:r>
      <w:r w:rsidR="008E707B">
        <w:t xml:space="preserve"> zu rechnen. Ein </w:t>
      </w:r>
      <w:proofErr w:type="spellStart"/>
      <w:r w:rsidR="008E707B">
        <w:t>Demean</w:t>
      </w:r>
      <w:proofErr w:type="spellEnd"/>
      <w:r w:rsidR="008E707B">
        <w:t xml:space="preserve">, der den Mittelwert der </w:t>
      </w:r>
      <w:r w:rsidR="00B00B23">
        <w:t>LFP-Daten von sich selbst</w:t>
      </w:r>
      <w:r w:rsidR="008E707B">
        <w:t xml:space="preserve"> abzieht, wurde angewendet, um </w:t>
      </w:r>
      <w:r w:rsidR="00377AFD">
        <w:t>langsame</w:t>
      </w:r>
      <w:r w:rsidR="004622A3">
        <w:t xml:space="preserve"> </w:t>
      </w:r>
      <w:proofErr w:type="spellStart"/>
      <w:r w:rsidR="004622A3">
        <w:t>Drift</w:t>
      </w:r>
      <w:r w:rsidR="00377AFD">
        <w:t>s</w:t>
      </w:r>
      <w:proofErr w:type="spellEnd"/>
      <w:r w:rsidR="00403EFA">
        <w:t xml:space="preserve"> zu entfernen</w:t>
      </w:r>
      <w:r w:rsidR="00377AFD">
        <w:t>, die</w:t>
      </w:r>
      <w:r w:rsidR="004622A3">
        <w:t xml:space="preserve"> im zeitli</w:t>
      </w:r>
      <w:r w:rsidR="00377AFD">
        <w:t>chen Verlauf das Signal verzerren</w:t>
      </w:r>
      <w:r w:rsidR="00403EFA">
        <w:t>.</w:t>
      </w:r>
      <w:r w:rsidR="004622A3">
        <w:t xml:space="preserve"> </w:t>
      </w:r>
      <w:r w:rsidR="008D15C4">
        <w:t>Damit k</w:t>
      </w:r>
      <w:r w:rsidR="00B00B23">
        <w:t>eine Frequenzbereiche eingeschlossen</w:t>
      </w:r>
      <w:r w:rsidR="008D15C4">
        <w:t xml:space="preserve"> werden, die für die Fragestellung nicht no</w:t>
      </w:r>
      <w:r w:rsidR="00CB3974">
        <w:t>twendig sind, wurden mit einem h</w:t>
      </w:r>
      <w:r w:rsidR="008D15C4">
        <w:t>igh</w:t>
      </w:r>
      <w:r w:rsidR="00CB3974">
        <w:t>-</w:t>
      </w:r>
      <w:proofErr w:type="spellStart"/>
      <w:r w:rsidR="00CB3974">
        <w:t>pass</w:t>
      </w:r>
      <w:proofErr w:type="spellEnd"/>
      <w:r w:rsidR="00CB3974">
        <w:t xml:space="preserve"> </w:t>
      </w:r>
      <w:r w:rsidR="008D15C4">
        <w:t>Filter alle Frequenzen unter</w:t>
      </w:r>
      <w:r w:rsidR="00CB3974">
        <w:t xml:space="preserve"> 0.5 Hz und mit einem </w:t>
      </w:r>
      <w:proofErr w:type="spellStart"/>
      <w:r w:rsidR="00CB3974">
        <w:t>l</w:t>
      </w:r>
      <w:r w:rsidR="008D15C4">
        <w:t>ow</w:t>
      </w:r>
      <w:proofErr w:type="spellEnd"/>
      <w:r w:rsidR="00CB3974">
        <w:t>-</w:t>
      </w:r>
      <w:proofErr w:type="spellStart"/>
      <w:r w:rsidR="00CB3974">
        <w:t>pass</w:t>
      </w:r>
      <w:proofErr w:type="spellEnd"/>
      <w:r w:rsidR="00CB3974">
        <w:t xml:space="preserve"> </w:t>
      </w:r>
      <w:r w:rsidR="008D15C4">
        <w:t>Filter</w:t>
      </w:r>
      <w:r w:rsidR="00CB3974">
        <w:t xml:space="preserve"> alle</w:t>
      </w:r>
      <w:r w:rsidR="00B00B23">
        <w:t xml:space="preserve"> Frequenzen über 45 Hz entfern. </w:t>
      </w:r>
      <w:r w:rsidR="007F47B2" w:rsidRPr="007F47B2">
        <w:t>Der high-</w:t>
      </w:r>
      <w:proofErr w:type="spellStart"/>
      <w:r w:rsidR="007F47B2" w:rsidRPr="007F47B2">
        <w:t>pass</w:t>
      </w:r>
      <w:proofErr w:type="spellEnd"/>
      <w:r w:rsidR="007F47B2" w:rsidRPr="007F47B2">
        <w:t xml:space="preserve"> Filter war ein </w:t>
      </w:r>
      <w:proofErr w:type="spellStart"/>
      <w:r w:rsidR="007F47B2" w:rsidRPr="007F47B2">
        <w:t>onepass-zerophase</w:t>
      </w:r>
      <w:proofErr w:type="spellEnd"/>
      <w:r w:rsidR="007F47B2" w:rsidRPr="007F47B2">
        <w:t xml:space="preserve"> </w:t>
      </w:r>
      <w:proofErr w:type="spellStart"/>
      <w:r w:rsidR="007F47B2" w:rsidRPr="007F47B2">
        <w:t>hamming</w:t>
      </w:r>
      <w:proofErr w:type="spellEnd"/>
      <w:r w:rsidR="007F47B2" w:rsidRPr="007F47B2">
        <w:t xml:space="preserve"> </w:t>
      </w:r>
      <w:proofErr w:type="spellStart"/>
      <w:r w:rsidR="007F47B2" w:rsidRPr="007F47B2">
        <w:t>windowed</w:t>
      </w:r>
      <w:proofErr w:type="spellEnd"/>
      <w:r w:rsidR="007F47B2" w:rsidRPr="007F47B2">
        <w:t xml:space="preserve"> </w:t>
      </w:r>
      <w:proofErr w:type="spellStart"/>
      <w:r w:rsidR="007F47B2" w:rsidRPr="007F47B2">
        <w:t>sinc</w:t>
      </w:r>
      <w:proofErr w:type="spellEnd"/>
      <w:r w:rsidR="007F47B2" w:rsidRPr="007F47B2">
        <w:t xml:space="preserve"> FIR Filter der 1690. Ordnung mit einem Cut-off bei -6 dB, einer Übergangsweite von 1.0 Hz, einem </w:t>
      </w:r>
      <w:proofErr w:type="spellStart"/>
      <w:r w:rsidR="007F47B2" w:rsidRPr="007F47B2">
        <w:t>Stopband</w:t>
      </w:r>
      <w:proofErr w:type="spellEnd"/>
      <w:r w:rsidR="007F47B2" w:rsidRPr="007F47B2">
        <w:t xml:space="preserve"> von 0 – 0.0 Hz, einem </w:t>
      </w:r>
      <w:proofErr w:type="spellStart"/>
      <w:r w:rsidR="007F47B2" w:rsidRPr="007F47B2">
        <w:t>Passband</w:t>
      </w:r>
      <w:proofErr w:type="spellEnd"/>
      <w:r w:rsidR="007F47B2" w:rsidRPr="007F47B2">
        <w:t xml:space="preserve"> von 1.0 – 256 Hz, einer maximalen Passbandabweichung von 0.22% und einer </w:t>
      </w:r>
      <w:proofErr w:type="spellStart"/>
      <w:r w:rsidR="007F47B2" w:rsidRPr="007F47B2">
        <w:t>Stopbanddämpfung</w:t>
      </w:r>
      <w:proofErr w:type="spellEnd"/>
      <w:r w:rsidR="007F47B2" w:rsidRPr="007F47B2">
        <w:t xml:space="preserve"> von -53 dB.</w:t>
      </w:r>
      <w:r w:rsidR="007F47B2">
        <w:t xml:space="preserve"> Der </w:t>
      </w:r>
      <w:proofErr w:type="spellStart"/>
      <w:r w:rsidR="007F47B2">
        <w:t>low</w:t>
      </w:r>
      <w:proofErr w:type="spellEnd"/>
      <w:r w:rsidR="007F47B2">
        <w:t>-</w:t>
      </w:r>
      <w:proofErr w:type="spellStart"/>
      <w:r w:rsidR="007F47B2">
        <w:t>pass</w:t>
      </w:r>
      <w:proofErr w:type="spellEnd"/>
      <w:r w:rsidR="007F47B2">
        <w:t xml:space="preserve"> Filter war ein </w:t>
      </w:r>
      <w:proofErr w:type="spellStart"/>
      <w:r w:rsidR="007F47B2">
        <w:t>onepass-zerophase</w:t>
      </w:r>
      <w:proofErr w:type="spellEnd"/>
      <w:r w:rsidR="007F47B2">
        <w:t xml:space="preserve"> </w:t>
      </w:r>
      <w:proofErr w:type="spellStart"/>
      <w:r w:rsidR="007F47B2">
        <w:t>hamming</w:t>
      </w:r>
      <w:proofErr w:type="spellEnd"/>
      <w:r w:rsidR="007F47B2">
        <w:t xml:space="preserve"> </w:t>
      </w:r>
      <w:proofErr w:type="spellStart"/>
      <w:r w:rsidR="007F47B2">
        <w:t>windowed</w:t>
      </w:r>
      <w:proofErr w:type="spellEnd"/>
      <w:r w:rsidR="007F47B2">
        <w:t xml:space="preserve"> </w:t>
      </w:r>
      <w:proofErr w:type="spellStart"/>
      <w:r w:rsidR="007F47B2">
        <w:t>sinc</w:t>
      </w:r>
      <w:proofErr w:type="spellEnd"/>
      <w:r w:rsidR="007F47B2">
        <w:t xml:space="preserve"> FIR Filter der 152. Ordnung mit einem Cut-off bei -6 dB, einer Übergangsweite von 11.3 Hz, einem </w:t>
      </w:r>
      <w:proofErr w:type="spellStart"/>
      <w:r w:rsidR="007F47B2">
        <w:t>Stopband</w:t>
      </w:r>
      <w:proofErr w:type="spellEnd"/>
      <w:r w:rsidR="007F47B2">
        <w:t xml:space="preserve"> von 50.6 – 256 Hz, einem </w:t>
      </w:r>
      <w:proofErr w:type="spellStart"/>
      <w:r w:rsidR="007F47B2">
        <w:t>Passband</w:t>
      </w:r>
      <w:proofErr w:type="spellEnd"/>
      <w:r w:rsidR="007F47B2">
        <w:t xml:space="preserve"> von 0 – 39.4 Hz, einer maximalen Passbandabweichung von 0.22% und einer </w:t>
      </w:r>
      <w:proofErr w:type="spellStart"/>
      <w:r w:rsidR="007F47B2">
        <w:t>Stopbanddämpfung</w:t>
      </w:r>
      <w:proofErr w:type="spellEnd"/>
      <w:r w:rsidR="007F47B2">
        <w:t xml:space="preserve"> von -53 dB.</w:t>
      </w:r>
    </w:p>
    <w:p w:rsidR="008B546F" w:rsidRDefault="00714095" w:rsidP="000D188D">
      <w:r>
        <w:t>Für die TFR wurde als Methode die multi-taper-</w:t>
      </w:r>
      <w:proofErr w:type="spellStart"/>
      <w:r>
        <w:t>method</w:t>
      </w:r>
      <w:proofErr w:type="spellEnd"/>
      <w:r>
        <w:t xml:space="preserve"> </w:t>
      </w:r>
      <w:proofErr w:type="spellStart"/>
      <w:r>
        <w:t>convol</w:t>
      </w:r>
      <w:proofErr w:type="spellEnd"/>
      <w:r>
        <w:t xml:space="preserve"> („</w:t>
      </w:r>
      <w:proofErr w:type="spellStart"/>
      <w:r>
        <w:t>mtmconvol</w:t>
      </w:r>
      <w:proofErr w:type="spellEnd"/>
      <w:r>
        <w:t>“</w:t>
      </w:r>
      <w:r w:rsidR="00F7580F">
        <w:t>) gewählt. A</w:t>
      </w:r>
      <w:r>
        <w:t>ls Ou</w:t>
      </w:r>
      <w:r w:rsidR="005F0D0D">
        <w:t>tput wurde die Power festgelegt</w:t>
      </w:r>
      <w:r w:rsidR="00F7580F">
        <w:t>, da zur Beantwortung der Fragestellung die Power der jeweiligen Frequenzen über die Zeit notwendig ist.</w:t>
      </w:r>
      <w:r>
        <w:t xml:space="preserve"> </w:t>
      </w:r>
      <w:r w:rsidR="00F7580F">
        <w:t xml:space="preserve">Die Frequenzauflösung war von 2 bis 35 Hz in 0.05er Schritten. Die Zeitauflösung war von 0 bis 5 s in 0.01er Schritten. </w:t>
      </w:r>
      <w:r w:rsidR="00CE47C9">
        <w:t xml:space="preserve">Als Tapereinstellungen wurden </w:t>
      </w:r>
      <w:proofErr w:type="spellStart"/>
      <w:r w:rsidR="00CE47C9">
        <w:t>Hanning-Taper</w:t>
      </w:r>
      <w:proofErr w:type="spellEnd"/>
      <w:r w:rsidR="00CE47C9">
        <w:t xml:space="preserve"> mit 5 Zyklen pro Zeitfenster gewählt. Durch adaptive Glättung passt sich die Länge des Zeitfensters</w:t>
      </w:r>
      <w:r w:rsidR="0061355F">
        <w:t xml:space="preserve"> der Frequenz an (</w:t>
      </w:r>
      <w:proofErr w:type="spellStart"/>
      <w:r w:rsidR="0061355F">
        <w:t>Oostenveld</w:t>
      </w:r>
      <w:proofErr w:type="spellEnd"/>
      <w:r w:rsidR="0061355F">
        <w:t>, 2018</w:t>
      </w:r>
      <w:r w:rsidR="00CE47C9">
        <w:t xml:space="preserve">). Daher wird das Zeitfenster kleiner, je größer die </w:t>
      </w:r>
      <w:r w:rsidR="000D6596">
        <w:t xml:space="preserve">Frequenz ist. Um zu entscheiden, welcher </w:t>
      </w:r>
      <w:proofErr w:type="spellStart"/>
      <w:r w:rsidR="000D6596">
        <w:t>Taper</w:t>
      </w:r>
      <w:proofErr w:type="spellEnd"/>
      <w:r w:rsidR="000D6596">
        <w:t xml:space="preserve"> mit welchen Einstellungen den besten Kompromiss zwischen der Auflösung der Frequenzdimension und der Auflösung der Zeitdimension aufweist, wurden zuvor explorativ an einem Beispieldatensatz verschiedene Einstellu</w:t>
      </w:r>
      <w:r w:rsidR="0064535B">
        <w:t>ngen ausprobiert. In Abbildung 2</w:t>
      </w:r>
      <w:r w:rsidR="000D6596">
        <w:t xml:space="preserve"> ist zu sehen, dass die TFR mit </w:t>
      </w:r>
      <w:proofErr w:type="spellStart"/>
      <w:r w:rsidR="000D6596">
        <w:t>Hanning</w:t>
      </w:r>
      <w:proofErr w:type="spellEnd"/>
      <w:r w:rsidR="000D6596">
        <w:t xml:space="preserve">-Tapern bei 5 Zyklen weniger Informationsverlust in der Zeitdimension aufweist als die TFR mit </w:t>
      </w:r>
      <w:proofErr w:type="spellStart"/>
      <w:r w:rsidR="000D6596">
        <w:t>Hanning</w:t>
      </w:r>
      <w:proofErr w:type="spellEnd"/>
      <w:r w:rsidR="000D6596">
        <w:t>-Tapern bei 6 oder 7 Zyklen, aber einen größeren Informationsgehalt i</w:t>
      </w:r>
      <w:r w:rsidR="00361555">
        <w:t xml:space="preserve">n der Frequenzdimension als die TFR mit </w:t>
      </w:r>
      <w:proofErr w:type="spellStart"/>
      <w:r w:rsidR="00361555">
        <w:t>Hanning</w:t>
      </w:r>
      <w:proofErr w:type="spellEnd"/>
      <w:r w:rsidR="00361555">
        <w:t xml:space="preserve">-Tapern bei 3 oder 4 Zyklen. Die TFR mit </w:t>
      </w:r>
      <w:proofErr w:type="spellStart"/>
      <w:r w:rsidR="00361555">
        <w:t>Hanning</w:t>
      </w:r>
      <w:proofErr w:type="spellEnd"/>
      <w:r w:rsidR="00361555">
        <w:t>-Tapern wurde mit einer TFR mit Wavelets verglichen, wobei dort keine adaptive Glättung der Zeitfen</w:t>
      </w:r>
      <w:r w:rsidR="0064535B">
        <w:t>ster möglich war. In Abbildung 3</w:t>
      </w:r>
      <w:r w:rsidR="00361555">
        <w:t xml:space="preserve"> ist zu sehen, dass die TFR mit Wavelets bei 3 bis 7 Zyklen grundsätzlich eine schlechtere Auflösung in der Frequenzdimension aufweisen</w:t>
      </w:r>
      <w:r w:rsidR="0064535B">
        <w:t xml:space="preserve"> als die TFR mit </w:t>
      </w:r>
      <w:proofErr w:type="spellStart"/>
      <w:r w:rsidR="0064535B">
        <w:t>Hanning</w:t>
      </w:r>
      <w:proofErr w:type="spellEnd"/>
      <w:r w:rsidR="0064535B">
        <w:t>-Tapern in Abbildung 2.</w:t>
      </w:r>
      <w:r w:rsidR="00361555">
        <w:t xml:space="preserve"> </w:t>
      </w:r>
      <w:r w:rsidR="000D6596">
        <w:t xml:space="preserve"> </w:t>
      </w:r>
    </w:p>
    <w:p w:rsidR="00CB3F02" w:rsidRDefault="00DB03FE" w:rsidP="000D188D">
      <w:r>
        <w:lastRenderedPageBreak/>
        <w:t xml:space="preserve">Der letzte größere Schritt des ersten Skripts bestand darin, die </w:t>
      </w:r>
      <w:r w:rsidR="00CB49E6">
        <w:t xml:space="preserve">über die Zeit gemittelten </w:t>
      </w:r>
      <w:r>
        <w:t>Powerspektren, die durch die TFR errechnet wurden als Input für den FOOOF-Algorithmus zu nutzen</w:t>
      </w:r>
      <w:r w:rsidR="00B17ACC">
        <w:t xml:space="preserve"> (</w:t>
      </w:r>
      <w:proofErr w:type="spellStart"/>
      <w:r w:rsidR="00B17ACC">
        <w:t>Donoghue</w:t>
      </w:r>
      <w:proofErr w:type="spellEnd"/>
      <w:r w:rsidR="00B17ACC">
        <w:t xml:space="preserve"> et al., 2020)</w:t>
      </w:r>
      <w:r>
        <w:t>.</w:t>
      </w:r>
      <w:r w:rsidR="00CB3F02">
        <w:t xml:space="preserve"> Dieser wurde genutzt, um die periodische</w:t>
      </w:r>
      <w:r w:rsidR="00B00B23">
        <w:t>n</w:t>
      </w:r>
      <w:r w:rsidR="00CB3F02">
        <w:t xml:space="preserve"> Komponente</w:t>
      </w:r>
      <w:r w:rsidR="00B00B23">
        <w:t>n</w:t>
      </w:r>
      <w:r w:rsidR="00CB3F02">
        <w:t xml:space="preserve"> der Powerspektren von den aperiodischen Komponenten zu trennen. </w:t>
      </w:r>
      <w:r w:rsidR="003235F2">
        <w:t xml:space="preserve">Der Algorithmus wurde ursprünglich für Python erstellt, es wurde jedoch ein Wrapper (Version 1.0.0) für </w:t>
      </w:r>
      <w:proofErr w:type="spellStart"/>
      <w:r w:rsidR="003235F2">
        <w:t>Matlab</w:t>
      </w:r>
      <w:proofErr w:type="spellEnd"/>
      <w:r w:rsidR="003235F2">
        <w:t xml:space="preserve"> genutzt, um nicht die Programmiersprache wechseln zu müssen. </w:t>
      </w:r>
      <w:r w:rsidR="001F68C6">
        <w:t xml:space="preserve">Der FOOOF-Algorithmus berechnet bei seinem Vorgehen </w:t>
      </w:r>
      <w:r w:rsidR="003235F2">
        <w:t>auch die Peaks der jeweiligen Powerspek</w:t>
      </w:r>
      <w:r w:rsidR="001F68C6">
        <w:t>tren. Für die Suche nach den Peaks wurden die Standardeinstellungen beibehal</w:t>
      </w:r>
      <w:r w:rsidR="00A130E3">
        <w:t>ten: Limits für die Bandbreite der Peaks: 0.5 Hz und 12 Hz; maximale Anzahl an Peaks: unbegrenzt; Mindesthöhe für einen Peak (Power über der aperiodischen Komponente): 0 µV; Peak Schwelle: 2 Standardabweichungen; aperi</w:t>
      </w:r>
      <w:r w:rsidR="005F4D0E">
        <w:t>odischer Modus: fix. Der Frequenzbereich, der für die Anwendung des FOOOF-Algorithmus gewählt wurd</w:t>
      </w:r>
      <w:r w:rsidR="00612B79">
        <w:t>e, war auf 4 – 30</w:t>
      </w:r>
      <w:r w:rsidR="005F4D0E">
        <w:t xml:space="preserve"> Hz festgelegt.</w:t>
      </w:r>
      <w:r w:rsidR="00DB648D">
        <w:t xml:space="preserve"> Abschließend wurden alle relevanten Daten abgespeichert und in einem zweiten Skript weiterverarbeitet.</w:t>
      </w:r>
      <w:r w:rsidR="00612B79">
        <w:t xml:space="preserve"> Dazu gehören die Ergebnisse des FOOOF-Algorithmus sowie die Informationen über die aktuelle Position der E</w:t>
      </w:r>
      <w:r w:rsidR="00E9447D">
        <w:t>lektrode.</w:t>
      </w:r>
      <w:r w:rsidR="00DB648D">
        <w:t xml:space="preserve"> </w:t>
      </w:r>
    </w:p>
    <w:p w:rsidR="00966214" w:rsidRDefault="00DB648D" w:rsidP="000D188D">
      <w:r>
        <w:t>In dem</w:t>
      </w:r>
      <w:r w:rsidR="007C4638">
        <w:t xml:space="preserve"> zweiten Skript wurden die Ergebnisse aus dem FOOOF-Algorithmus</w:t>
      </w:r>
      <w:r>
        <w:t xml:space="preserve"> weiter bereinigt und in neue tabellarische Strukturen umformatiert, die sich für die statistische Auswertung besser eignen. Als erstes wurden im Vorfeld alle Kanäle rausgeworfen, bei denen</w:t>
      </w:r>
      <w:r w:rsidR="007717F4">
        <w:t xml:space="preserve"> zwei Bedingungen gleichzeitig auftraten. Zum einen durfte </w:t>
      </w:r>
      <w:r>
        <w:t xml:space="preserve">die Differenz zwischen </w:t>
      </w:r>
      <w:r w:rsidR="007717F4">
        <w:t xml:space="preserve">dem ersten Powerwert des originalen Powerspektrums und dem ersten Powerwert der geschätzten aperiodischen Komponente nicht größer als 0.3 µV sein. Zum anderen wurde beim gesamten Datensatz aller Kanäle vom originalen Powerspektrum die Power der geschätzten aperiodischen Komponente </w:t>
      </w:r>
      <w:r w:rsidR="000B55FD">
        <w:t>abgezogen</w:t>
      </w:r>
      <w:r w:rsidR="00E704C7">
        <w:t>, um das reine periodische Signal zu erhalten. D</w:t>
      </w:r>
      <w:r w:rsidR="000B55FD">
        <w:t xml:space="preserve">er Mittelwert aller Werte, bei denen ein </w:t>
      </w:r>
      <w:r w:rsidR="007717F4">
        <w:t>negativ</w:t>
      </w:r>
      <w:r w:rsidR="000B55FD">
        <w:t>er Wert auftrat</w:t>
      </w:r>
      <w:r w:rsidR="007717F4">
        <w:t xml:space="preserve">, durfte nicht größer als -0.15 µV sein. </w:t>
      </w:r>
      <w:r w:rsidR="006C0BC0">
        <w:t>Bei 138</w:t>
      </w:r>
      <w:r w:rsidR="00CB49E6">
        <w:t xml:space="preserve"> Kanälen, die aus dem Datensatz entfernt wurden, trafen beide Bedingen zu. </w:t>
      </w:r>
      <w:r w:rsidR="00E36320">
        <w:t xml:space="preserve">Dann wurde eine neue Tabelle erstellt, bei der pro Zeile alle Informationen eines Kanals abgebildet waren. In den Spalten waren die </w:t>
      </w:r>
      <w:r w:rsidR="00AA14DD">
        <w:t>Identifikationsn</w:t>
      </w:r>
      <w:r w:rsidR="00E36320">
        <w:t xml:space="preserve">ummer der Versuchsperson, zu der die Elektrode gehörte, die Seite, Tiefe und </w:t>
      </w:r>
      <w:r w:rsidR="005F0D0D">
        <w:t xml:space="preserve">das </w:t>
      </w:r>
      <w:r w:rsidR="00E36320">
        <w:t xml:space="preserve">Trajekt der Elektrode, die Anzahl der Samples, der aperiodische Exponent, die Power im Theta-, Alpha- und </w:t>
      </w:r>
      <w:proofErr w:type="spellStart"/>
      <w:r w:rsidR="00E36320">
        <w:t>Betaband</w:t>
      </w:r>
      <w:proofErr w:type="spellEnd"/>
      <w:r w:rsidR="0066637E">
        <w:t xml:space="preserve"> </w:t>
      </w:r>
      <w:r w:rsidR="00E36320">
        <w:t xml:space="preserve">des Powerspektrums </w:t>
      </w:r>
      <w:r w:rsidR="00AA14DD">
        <w:t xml:space="preserve">im LFP </w:t>
      </w:r>
      <w:r w:rsidR="00E36320">
        <w:t>sowie</w:t>
      </w:r>
      <w:r w:rsidR="00AA14DD">
        <w:t xml:space="preserve"> das quadratische Mittel de</w:t>
      </w:r>
      <w:r w:rsidR="0066637E">
        <w:t>s elektrischen Signals</w:t>
      </w:r>
      <w:r w:rsidR="002F2462">
        <w:t xml:space="preserve"> abgespeichert. Für die Grenzen des Betabandes wurden 13 Hz und 30 Hz gewählt, da dies wie in der Einleitung beschrieben der Bereich ist, in dem in der früheren Forschung </w:t>
      </w:r>
      <w:r w:rsidR="00454B1E">
        <w:t xml:space="preserve">eine </w:t>
      </w:r>
      <w:r w:rsidR="002F2462">
        <w:t xml:space="preserve">erhöhte Aktivität im STK gefunden wurde. Das Thetaband </w:t>
      </w:r>
      <w:r w:rsidR="00454B1E">
        <w:t>wird meistens im Bereich von 4 – 8</w:t>
      </w:r>
      <w:r w:rsidR="002F2462">
        <w:t xml:space="preserve"> Hz und </w:t>
      </w:r>
      <w:r w:rsidR="00454B1E">
        <w:t>das Alphaband im Bereich von 8 – 12</w:t>
      </w:r>
      <w:r w:rsidR="002F2462">
        <w:t xml:space="preserve"> Hz definiert (</w:t>
      </w:r>
      <w:r w:rsidR="00E704C7">
        <w:t>Cohen, 2021). Wir übernehmen diese Definition,</w:t>
      </w:r>
      <w:r w:rsidR="00454B1E">
        <w:t xml:space="preserve"> nur dass das Alphaband auf 8 – 13 </w:t>
      </w:r>
      <w:r w:rsidR="00E704C7">
        <w:t xml:space="preserve">Hz angepasst wird, damit ein fließender Übergang zwischen den Frequenzbändern entsteht. Laut Cohen (2021) ist auch </w:t>
      </w:r>
      <w:r w:rsidR="002B033C">
        <w:t xml:space="preserve">dieses Frequenzband eine häufig genutzte </w:t>
      </w:r>
      <w:r w:rsidR="00E704C7">
        <w:t>Defini</w:t>
      </w:r>
      <w:r w:rsidR="00232E75">
        <w:t xml:space="preserve">tion für Alpha. </w:t>
      </w:r>
      <w:r w:rsidR="005F0D0D">
        <w:t xml:space="preserve">Die untere Grenze der definierten Frequenzbänder zählt dabei immer mit in das jeweilige Band, die obere Grenze nicht. </w:t>
      </w:r>
      <w:r w:rsidR="00232E75">
        <w:t>Es wurde der Mittelwert der Power in diesem Frequenzbereich berechnet, um die Power im Theta-, Alpha</w:t>
      </w:r>
      <w:r w:rsidR="00CB49E6">
        <w:t>-</w:t>
      </w:r>
      <w:r w:rsidR="00232E75">
        <w:t xml:space="preserve"> und </w:t>
      </w:r>
      <w:proofErr w:type="spellStart"/>
      <w:r w:rsidR="00232E75">
        <w:t>Betaband</w:t>
      </w:r>
      <w:proofErr w:type="spellEnd"/>
      <w:r w:rsidR="00232E75">
        <w:t xml:space="preserve"> für den jeweiligen Kanal in die Tabelle hinzuzufügen.</w:t>
      </w:r>
      <w:r w:rsidR="00CB49E6">
        <w:t xml:space="preserve"> Jeder Kanal bei dem</w:t>
      </w:r>
      <w:r w:rsidR="005F0D0D">
        <w:t xml:space="preserve"> sich</w:t>
      </w:r>
      <w:r w:rsidR="00CB49E6">
        <w:t xml:space="preserve"> für mindestens einer dieser Frequenz</w:t>
      </w:r>
      <w:r w:rsidR="005F0D0D">
        <w:t>bänder eine negative Power ergeben hat, wurde ebenfalls rausgeworfen. D</w:t>
      </w:r>
      <w:r w:rsidR="00CB49E6">
        <w:t>ies</w:t>
      </w:r>
      <w:r w:rsidR="005F0D0D">
        <w:t xml:space="preserve"> lässt darauf schließen</w:t>
      </w:r>
      <w:r w:rsidR="00CB49E6">
        <w:t>, dass die aperiodische Komponente größer geschätzt wurde als das originale Signal, was für eine schlechte Schätzu</w:t>
      </w:r>
      <w:r w:rsidR="006C0BC0">
        <w:t>ng spricht. Dabei sind weitere 377</w:t>
      </w:r>
      <w:r w:rsidR="00CB49E6">
        <w:t xml:space="preserve"> Kanäle aus dem Datensatz entfernt worden. </w:t>
      </w:r>
      <w:r w:rsidR="006A443F">
        <w:t xml:space="preserve">Als letzte Bereinigungsschritte wurden alle Daten, die eine Tiefe von größer gleich 10 oder kleiner -3 hatten, aus dem Datensatz entfernt, da es sich dabei um den Start und das Ende der Aufzeichnung handelt und hier Aufgrund von Kalibrierungen keine sinnvollen Daten </w:t>
      </w:r>
      <w:r w:rsidR="006C0BC0">
        <w:t>enthalten sind. Noch weitere 357</w:t>
      </w:r>
      <w:r w:rsidR="006A443F">
        <w:t xml:space="preserve"> Kanäle sind hierbei entfernt worden. Abschließend wurde ein Kanal entfernt der ein auffällig großes quadratisches Mittel aufwies, das den nächstgrößt</w:t>
      </w:r>
      <w:r w:rsidR="00D82083">
        <w:t>en um das 300-fache über</w:t>
      </w:r>
      <w:r w:rsidR="006868EC">
        <w:t xml:space="preserve">stieg. Es </w:t>
      </w:r>
      <w:proofErr w:type="gramStart"/>
      <w:r w:rsidR="006868EC">
        <w:t>sind</w:t>
      </w:r>
      <w:proofErr w:type="gramEnd"/>
      <w:r w:rsidR="006868EC">
        <w:t xml:space="preserve"> letztendlich 2168</w:t>
      </w:r>
      <w:r w:rsidR="00D82083">
        <w:t xml:space="preserve"> von den ursprünglichen </w:t>
      </w:r>
      <w:r w:rsidR="008423B7">
        <w:t xml:space="preserve">3971 Kanälen übrig geblieben. </w:t>
      </w:r>
      <w:r w:rsidR="002C0AF9" w:rsidRPr="00863B8E">
        <w:t xml:space="preserve">Nun da </w:t>
      </w:r>
      <w:r w:rsidR="002C0AF9">
        <w:t>alle Schritte zur Bereinigun</w:t>
      </w:r>
      <w:r w:rsidR="00863B8E">
        <w:t>g der Daten durchgeführt wurden, wurden der aperiodische Exponent, das quadr</w:t>
      </w:r>
      <w:r w:rsidR="005F0D0D">
        <w:t>atische Mittel und die Theta-, Alpha- und Betapower</w:t>
      </w:r>
      <w:r w:rsidR="00863B8E">
        <w:t xml:space="preserve"> </w:t>
      </w:r>
      <w:r w:rsidR="00863B8E">
        <w:lastRenderedPageBreak/>
        <w:t xml:space="preserve">innerhalb der jeweiligen Patient*innen z-standardisiert, um die Abweichungen von der Normalverteilung zu korrigieren. Abschließend wurde eine weitere Tabelle erstellt, die </w:t>
      </w:r>
      <w:r w:rsidR="002B033C">
        <w:t xml:space="preserve">für die eben genannten Variablen für alle Patient*innen </w:t>
      </w:r>
      <w:r w:rsidR="005F0D0D">
        <w:t xml:space="preserve">den </w:t>
      </w:r>
      <w:r w:rsidR="002B033C">
        <w:t xml:space="preserve">jeweiligen </w:t>
      </w:r>
      <w:r w:rsidR="005F0D0D">
        <w:t>Wert aus dem Datensatz</w:t>
      </w:r>
      <w:r w:rsidR="002B033C">
        <w:t xml:space="preserve"> abspeicherte, der der</w:t>
      </w:r>
      <w:r w:rsidR="0078306A">
        <w:t xml:space="preserve"> Z</w:t>
      </w:r>
      <w:r w:rsidR="002B033C">
        <w:t>ielposition</w:t>
      </w:r>
      <w:r w:rsidR="0078306A">
        <w:t xml:space="preserve"> am nächsten war</w:t>
      </w:r>
      <w:r w:rsidR="004D5C32">
        <w:t xml:space="preserve">, und den </w:t>
      </w:r>
      <w:r w:rsidR="002B033C">
        <w:t xml:space="preserve">jeweiligen </w:t>
      </w:r>
      <w:r w:rsidR="004D5C32">
        <w:t>Wert</w:t>
      </w:r>
      <w:r w:rsidR="005F0D0D">
        <w:t xml:space="preserve"> aus dem Datens</w:t>
      </w:r>
      <w:r w:rsidR="002B033C">
        <w:t>atz, der den größten Abstand zur Zielposition</w:t>
      </w:r>
      <w:r w:rsidR="005F0D0D">
        <w:t xml:space="preserve"> hat</w:t>
      </w:r>
      <w:r w:rsidR="0078306A">
        <w:t>te</w:t>
      </w:r>
      <w:r w:rsidR="004D5C32">
        <w:t>.</w:t>
      </w:r>
      <w:r w:rsidR="005F0D0D">
        <w:t xml:space="preserve"> Die We</w:t>
      </w:r>
      <w:r w:rsidR="00E060EA">
        <w:t>rte aus den Datensätzen, die der Zielposition</w:t>
      </w:r>
      <w:r w:rsidR="005F0D0D">
        <w:t xml:space="preserve"> am nächsten sind und somit eine Tiefe haben, die möglichst nah an 0 liegen, werden im weiteren Verlauf als die Bedingung „nah“ bezeichnet. Die Werte aus den Datensätzen, </w:t>
      </w:r>
      <w:r w:rsidR="00E060EA">
        <w:t>welche die größte Entfernung von der Zielposition</w:t>
      </w:r>
      <w:r w:rsidR="005F0D0D">
        <w:t xml:space="preserve"> haben und somit eine Tiefe haben, die möglichst nah an 10 liegen, werden im weiteren Verlauf als die Bedingung „fern“ bezeichnet.</w:t>
      </w:r>
    </w:p>
    <w:p w:rsidR="004D5C32" w:rsidRDefault="004D5C32" w:rsidP="000D188D">
      <w:r>
        <w:t xml:space="preserve">2.5 </w:t>
      </w:r>
      <w:proofErr w:type="gramStart"/>
      <w:r>
        <w:t>statistische Auswertung</w:t>
      </w:r>
      <w:proofErr w:type="gramEnd"/>
      <w:r>
        <w:t xml:space="preserve"> </w:t>
      </w:r>
    </w:p>
    <w:p w:rsidR="004D5C32" w:rsidRDefault="004D5C32" w:rsidP="000D188D">
      <w:r>
        <w:t>Mit Hilfe der Programmiersprache R (Version 4.1.2) werden die Daten, die aus den ers</w:t>
      </w:r>
      <w:r w:rsidR="008423B7">
        <w:t>ten beiden Skripts ausgegeben wu</w:t>
      </w:r>
      <w:r>
        <w:t xml:space="preserve">rden, ausgewertet. </w:t>
      </w:r>
      <w:r w:rsidR="004C62A2">
        <w:t>Für die Überprüfung der erst</w:t>
      </w:r>
      <w:r w:rsidR="0055306F">
        <w:t xml:space="preserve">en Hypothese, dass die Power im </w:t>
      </w:r>
      <w:proofErr w:type="spellStart"/>
      <w:r w:rsidR="0055306F">
        <w:t>Betaband</w:t>
      </w:r>
      <w:proofErr w:type="spellEnd"/>
      <w:r w:rsidR="004C62A2">
        <w:t xml:space="preserve"> </w:t>
      </w:r>
      <w:r w:rsidR="0055306F">
        <w:t xml:space="preserve">des LFP </w:t>
      </w:r>
      <w:r w:rsidR="0066637E">
        <w:t>und die Spike-Aktivität</w:t>
      </w:r>
      <w:r w:rsidR="004C62A2">
        <w:t xml:space="preserve"> </w:t>
      </w:r>
      <w:r w:rsidR="0055306F">
        <w:t>des</w:t>
      </w:r>
      <w:r w:rsidR="0066637E">
        <w:t xml:space="preserve"> elektrischen</w:t>
      </w:r>
      <w:r w:rsidR="0055306F">
        <w:t xml:space="preserve"> Signals </w:t>
      </w:r>
      <w:r w:rsidR="00E060EA">
        <w:t>in der Nähe der Zielposition</w:t>
      </w:r>
      <w:r w:rsidR="00852527">
        <w:t xml:space="preserve"> größer sind als in </w:t>
      </w:r>
      <w:r w:rsidR="00B47553">
        <w:t>weiter</w:t>
      </w:r>
      <w:r w:rsidR="00852527">
        <w:t xml:space="preserve"> Entfernung</w:t>
      </w:r>
      <w:r w:rsidR="00E060EA">
        <w:t xml:space="preserve"> von der Zielposition</w:t>
      </w:r>
      <w:r w:rsidR="00DB3D34">
        <w:t>, werden</w:t>
      </w:r>
      <w:r w:rsidR="0066637E">
        <w:t xml:space="preserve"> Betapower und quadratisches Mittel</w:t>
      </w:r>
      <w:r w:rsidR="0078306A">
        <w:t xml:space="preserve"> der Bedingung „nah“</w:t>
      </w:r>
      <w:r w:rsidR="00852527">
        <w:t xml:space="preserve"> mit den </w:t>
      </w:r>
      <w:r w:rsidR="00CE04C8">
        <w:t xml:space="preserve">jeweiligen </w:t>
      </w:r>
      <w:r w:rsidR="00852527">
        <w:t>Werten</w:t>
      </w:r>
      <w:r w:rsidR="0078306A">
        <w:t xml:space="preserve"> der Bedingung „fern“</w:t>
      </w:r>
      <w:r w:rsidR="00852527">
        <w:t xml:space="preserve"> von allen Patient*innen</w:t>
      </w:r>
      <w:r w:rsidR="00DB3D34">
        <w:t xml:space="preserve"> verglichen</w:t>
      </w:r>
      <w:r w:rsidR="00852527">
        <w:t xml:space="preserve">. </w:t>
      </w:r>
      <w:r w:rsidR="00DB3D34">
        <w:t>Dafür muss geprüft werden, ob die Diffe</w:t>
      </w:r>
      <w:r w:rsidR="0078306A">
        <w:t>renzen zwischen den Werten bei</w:t>
      </w:r>
      <w:r w:rsidR="00DB3D34">
        <w:t>de</w:t>
      </w:r>
      <w:r w:rsidR="0078306A">
        <w:t xml:space="preserve">r Bedingungen </w:t>
      </w:r>
      <w:r w:rsidR="00DB3D34">
        <w:t>normalverteilt sind. Da es sich hierbei nur um 30 Werte pro Gruppe handelt, kann hierfür der S</w:t>
      </w:r>
      <w:r w:rsidR="009F2646">
        <w:t>hapiro-Wilk-Test genutzt werden. Bei großen Stichproben würde der Shapiro-Wilk-Test automatisch signifikant werden und es wäre keine vernünftige Aussage über die Verletzung der Normalverteilung möglich.</w:t>
      </w:r>
      <w:r w:rsidR="00DB3D34">
        <w:t xml:space="preserve"> Wenn der Test nicht signifikant wird, kann keine Verletzung der Normalverteilung angenommen werden. In diesem Fall werden</w:t>
      </w:r>
      <w:r w:rsidR="00B47553">
        <w:t xml:space="preserve"> rechts</w:t>
      </w:r>
      <w:r w:rsidR="000F0842">
        <w:t>seitige</w:t>
      </w:r>
      <w:r w:rsidR="00DB3D34">
        <w:t xml:space="preserve"> </w:t>
      </w:r>
      <w:r w:rsidR="00DB3D34" w:rsidRPr="00DB3D34">
        <w:rPr>
          <w:i/>
        </w:rPr>
        <w:t>t</w:t>
      </w:r>
      <w:r w:rsidR="00DB3D34">
        <w:t>-Tests für abhängige Stichproben auf 5% Signifikanzniveau gerechnet. Ist der Shapiro-Wilk-Test signifikant, muss von einer Verletzung der Normalverteilung ausgegangen werden. In diesem Fall werden</w:t>
      </w:r>
      <w:r w:rsidR="00B47553">
        <w:t xml:space="preserve"> rechts</w:t>
      </w:r>
      <w:r w:rsidR="000F0842">
        <w:t>seitige</w:t>
      </w:r>
      <w:r w:rsidR="00DB3D34">
        <w:t xml:space="preserve"> </w:t>
      </w:r>
      <w:proofErr w:type="spellStart"/>
      <w:r w:rsidR="00DB3D34">
        <w:t>Wilcoxon</w:t>
      </w:r>
      <w:proofErr w:type="spellEnd"/>
      <w:r w:rsidR="00DB3D34">
        <w:t>-Vorzeichen-Rang-Tests auf 5% Signifikanzniveau gerechnet</w:t>
      </w:r>
      <w:r w:rsidR="0078306A">
        <w:t xml:space="preserve">. Der Erwartungswert der Werte in der Bedingung „nah“ </w:t>
      </w:r>
      <w:r w:rsidR="00CB4C93">
        <w:t>sollte größer sein als der Erwartungswert der Werte</w:t>
      </w:r>
      <w:r w:rsidR="0078306A">
        <w:t xml:space="preserve"> in der Bedingung „fern“, </w:t>
      </w:r>
      <w:r w:rsidR="00CB4C93">
        <w:t xml:space="preserve">damit die Alternativhypothese angenommen werden kann. </w:t>
      </w:r>
    </w:p>
    <w:p w:rsidR="007C132B" w:rsidRDefault="007C132B" w:rsidP="000D188D">
      <w:r>
        <w:t>H1</w:t>
      </w:r>
      <w:r w:rsidR="00942303">
        <w:t>.1</w:t>
      </w:r>
      <w:r>
        <w:rPr>
          <w:vertAlign w:val="subscript"/>
        </w:rPr>
        <w:t>0</w:t>
      </w:r>
      <w:r w:rsidR="00623A73">
        <w:t>: µ</w:t>
      </w:r>
      <w:r w:rsidRPr="007C132B">
        <w:t>(Betapower</w:t>
      </w:r>
      <w:r w:rsidR="0078306A">
        <w:rPr>
          <w:vertAlign w:val="subscript"/>
        </w:rPr>
        <w:t>nah</w:t>
      </w:r>
      <w:r w:rsidR="00623A73">
        <w:t>) ≤ µ</w:t>
      </w:r>
      <w:r w:rsidRPr="007C132B">
        <w:t>(Betapower</w:t>
      </w:r>
      <w:r w:rsidR="0078306A">
        <w:rPr>
          <w:vertAlign w:val="subscript"/>
        </w:rPr>
        <w:t>fern</w:t>
      </w:r>
      <w:r>
        <w:t>)</w:t>
      </w:r>
      <w:r>
        <w:br/>
        <w:t>H1</w:t>
      </w:r>
      <w:r w:rsidR="00942303">
        <w:t>.1</w:t>
      </w:r>
      <w:r w:rsidRPr="007C132B">
        <w:rPr>
          <w:vertAlign w:val="subscript"/>
        </w:rPr>
        <w:t>1</w:t>
      </w:r>
      <w:r w:rsidR="00623A73">
        <w:t>: µ</w:t>
      </w:r>
      <w:r>
        <w:t>(Betapower</w:t>
      </w:r>
      <w:r w:rsidR="0078306A">
        <w:rPr>
          <w:vertAlign w:val="subscript"/>
        </w:rPr>
        <w:t>nah</w:t>
      </w:r>
      <w:r>
        <w:t xml:space="preserve">) </w:t>
      </w:r>
      <w:r w:rsidR="00623A73">
        <w:t>&gt; µ</w:t>
      </w:r>
      <w:r w:rsidR="00BE20E5">
        <w:t>(Betapower</w:t>
      </w:r>
      <w:r w:rsidR="0078306A">
        <w:rPr>
          <w:vertAlign w:val="subscript"/>
        </w:rPr>
        <w:t>fern</w:t>
      </w:r>
      <w:r w:rsidR="00BE20E5">
        <w:t>)</w:t>
      </w:r>
    </w:p>
    <w:p w:rsidR="00BE20E5" w:rsidRDefault="00942303" w:rsidP="00BE20E5">
      <w:r>
        <w:t>H1.2</w:t>
      </w:r>
      <w:r w:rsidR="00BE20E5">
        <w:rPr>
          <w:vertAlign w:val="subscript"/>
        </w:rPr>
        <w:t>0</w:t>
      </w:r>
      <w:r w:rsidR="00623A73">
        <w:t>: µ</w:t>
      </w:r>
      <w:r w:rsidR="00BE20E5">
        <w:t>(Quadratisches Mittel</w:t>
      </w:r>
      <w:r w:rsidR="0078306A">
        <w:rPr>
          <w:vertAlign w:val="subscript"/>
        </w:rPr>
        <w:t>nah</w:t>
      </w:r>
      <w:r w:rsidR="00BE20E5" w:rsidRPr="007C132B">
        <w:t xml:space="preserve">) </w:t>
      </w:r>
      <w:r w:rsidR="00623A73">
        <w:t>≤ µ</w:t>
      </w:r>
      <w:r w:rsidR="00BE20E5">
        <w:t>(Quadratisches Mittel</w:t>
      </w:r>
      <w:r w:rsidR="0078306A">
        <w:rPr>
          <w:vertAlign w:val="subscript"/>
        </w:rPr>
        <w:t>fern</w:t>
      </w:r>
      <w:r>
        <w:t>)</w:t>
      </w:r>
      <w:r>
        <w:br/>
        <w:t>H1.2</w:t>
      </w:r>
      <w:r w:rsidR="00BE20E5" w:rsidRPr="007C132B">
        <w:rPr>
          <w:vertAlign w:val="subscript"/>
        </w:rPr>
        <w:t>1</w:t>
      </w:r>
      <w:r w:rsidR="00623A73">
        <w:t>: µ</w:t>
      </w:r>
      <w:r w:rsidR="00BE20E5">
        <w:t>(Quadratisches Mittel</w:t>
      </w:r>
      <w:r w:rsidR="0078306A">
        <w:rPr>
          <w:vertAlign w:val="subscript"/>
        </w:rPr>
        <w:t>nah</w:t>
      </w:r>
      <w:r w:rsidR="00623A73">
        <w:t>) &gt; µ</w:t>
      </w:r>
      <w:r w:rsidR="00BE20E5">
        <w:t>(Quadratisches Mittel</w:t>
      </w:r>
      <w:r w:rsidR="0078306A">
        <w:rPr>
          <w:vertAlign w:val="subscript"/>
        </w:rPr>
        <w:t>fern</w:t>
      </w:r>
      <w:r w:rsidR="00BE20E5">
        <w:t>)</w:t>
      </w:r>
    </w:p>
    <w:p w:rsidR="00BE20E5" w:rsidRDefault="00BE20E5" w:rsidP="00BE20E5">
      <w:r>
        <w:t xml:space="preserve">Um die zweite Hypothese zu überprüfen, </w:t>
      </w:r>
      <w:r w:rsidR="000F0842">
        <w:t>dass der aperiodische Exponent</w:t>
      </w:r>
      <w:r>
        <w:t xml:space="preserve"> einen Zusammenhang mit der Entfernung der Elektr</w:t>
      </w:r>
      <w:r w:rsidR="009A4A90">
        <w:t xml:space="preserve">ode zu der Zielposition (Tiefe) </w:t>
      </w:r>
      <w:r w:rsidR="0078306A">
        <w:t>aufzeigt, we</w:t>
      </w:r>
      <w:r>
        <w:t>rd</w:t>
      </w:r>
      <w:r w:rsidR="0078306A">
        <w:t>en einerseits ebenfalls die</w:t>
      </w:r>
      <w:r>
        <w:t xml:space="preserve"> Wert</w:t>
      </w:r>
      <w:r w:rsidR="0078306A">
        <w:t>e der Bedingung „nah“ mit den</w:t>
      </w:r>
      <w:r>
        <w:t xml:space="preserve"> Wert</w:t>
      </w:r>
      <w:r w:rsidR="0078306A">
        <w:t>en der Bedingung „fern“</w:t>
      </w:r>
      <w:r>
        <w:t xml:space="preserve"> verglichen. Auch in diesem Fall wird daher ein Shapiro-Wilk-Test angewendet, um die Differenzen </w:t>
      </w:r>
      <w:r w:rsidR="0078306A">
        <w:t xml:space="preserve">beider Bedingungen </w:t>
      </w:r>
      <w:r>
        <w:t>auf Normalverteilung zu testen. Auch hier wird bei nicht signifikantem Ergeb</w:t>
      </w:r>
      <w:r w:rsidR="000F0842">
        <w:t xml:space="preserve">nis ein </w:t>
      </w:r>
      <w:r w:rsidR="000F0842" w:rsidRPr="00DB3D34">
        <w:rPr>
          <w:i/>
        </w:rPr>
        <w:t>t</w:t>
      </w:r>
      <w:r w:rsidR="000F0842">
        <w:t xml:space="preserve">-Test für abhängige Stichproben, und bei signifikantem Ergebnis ein </w:t>
      </w:r>
      <w:proofErr w:type="spellStart"/>
      <w:r w:rsidR="000F0842">
        <w:t>Wilcoxon</w:t>
      </w:r>
      <w:proofErr w:type="spellEnd"/>
      <w:r w:rsidR="000F0842">
        <w:t xml:space="preserve">-Vorzeichen-Rang-Tests auf 5% Signifikanzniveau gerechnet. Da es sich jedoch nicht um eine gerichtete Hypothese handelt, wird der jeweilige Test zweiseitig durchgeführt. </w:t>
      </w:r>
      <w:r w:rsidR="00B47553">
        <w:t xml:space="preserve">Die aperiodischen Exponenten in der Bedingung „nah“ sollten sich von den aperiodischen Exponenten in der Bedingung „fern“ unterscheiden, damit die Alternativhypothese angenommen werden kann. </w:t>
      </w:r>
      <w:r w:rsidR="00C81150">
        <w:t>Zusätzlich wird ein Korrelationstest gerechnet, um zu über</w:t>
      </w:r>
      <w:r w:rsidR="00BC250B">
        <w:t>prüfen, ob zwischen der Tiefe</w:t>
      </w:r>
      <w:r w:rsidR="00C81150">
        <w:t xml:space="preserve"> und dem aperiodischen Exponenten ein linearer Zusammenhang existiert. Da der Shapiro-Wilk-Test bei der großen Stichprobenzahl von 1975 automatisch signifikant wird, kann mit ihm in diesem Fall keine Aussagen über eine Verletzung der Normalverteilung gemacht werden. Stattdessen wird die Verletzung der Normalverteilung durch visuelle Darstellung mit Histogrammen, Q-Q-Diagrammen und Dichtediagrammen überprüft. Wenn sowohl die </w:t>
      </w:r>
      <w:r w:rsidR="009A4A90">
        <w:t xml:space="preserve">Tiefe </w:t>
      </w:r>
      <w:r w:rsidR="00C81150">
        <w:t xml:space="preserve">als auch der aperiodische Exponent keine auffällige Verletzung der </w:t>
      </w:r>
      <w:r w:rsidR="00C81150">
        <w:lastRenderedPageBreak/>
        <w:t>Normalverteilung aufweisen, wird ein</w:t>
      </w:r>
      <w:r w:rsidR="00872575">
        <w:t xml:space="preserve"> zweiseitiger</w:t>
      </w:r>
      <w:r w:rsidR="00C81150">
        <w:t xml:space="preserve"> Korrelationstest</w:t>
      </w:r>
      <w:r w:rsidR="00680AAF">
        <w:t xml:space="preserve"> auf 5% Signifikanzniveau</w:t>
      </w:r>
      <w:r w:rsidR="00C81150">
        <w:t xml:space="preserve"> gerechnet, der auf der Pearson-Korrelation basiert. In dem Fall, dass mindestens eine der beiden Variablen eine deutliche Verletzung der Normalvertei</w:t>
      </w:r>
      <w:r w:rsidR="00680AAF">
        <w:t>lung aufweist, wird ein</w:t>
      </w:r>
      <w:r w:rsidR="00872575">
        <w:t xml:space="preserve"> zweiseitiger</w:t>
      </w:r>
      <w:r w:rsidR="00680AAF">
        <w:t xml:space="preserve"> Korrelationstest auf 5% Signifikanzniveau gerechnet, der auf der Kendall-Korrelation basiert. Die </w:t>
      </w:r>
      <w:r w:rsidR="009A4A90">
        <w:t xml:space="preserve">Tiefe </w:t>
      </w:r>
      <w:r w:rsidR="00680AAF">
        <w:t xml:space="preserve">und der aperiodische Exponent sollten einen linearen Zusammenhang aufweisen, der größer ist als 0, damit die Alternativhypothese angenommen werden kann. </w:t>
      </w:r>
    </w:p>
    <w:p w:rsidR="000F0842" w:rsidRDefault="00942303" w:rsidP="000F0842">
      <w:r>
        <w:t>H2.1</w:t>
      </w:r>
      <w:r w:rsidR="000F0842">
        <w:rPr>
          <w:vertAlign w:val="subscript"/>
        </w:rPr>
        <w:t>0</w:t>
      </w:r>
      <w:r w:rsidR="00623A73">
        <w:t>: µ</w:t>
      </w:r>
      <w:r w:rsidR="000F0842">
        <w:t xml:space="preserve">(aperiodischer </w:t>
      </w:r>
      <w:proofErr w:type="spellStart"/>
      <w:r w:rsidR="000F0842">
        <w:t>Exponent</w:t>
      </w:r>
      <w:r w:rsidR="0078306A">
        <w:rPr>
          <w:vertAlign w:val="subscript"/>
        </w:rPr>
        <w:t>nah</w:t>
      </w:r>
      <w:proofErr w:type="spellEnd"/>
      <w:r w:rsidR="000F0842" w:rsidRPr="007C132B">
        <w:t xml:space="preserve">) </w:t>
      </w:r>
      <w:r w:rsidR="00623A73">
        <w:t>= µ</w:t>
      </w:r>
      <w:r w:rsidR="000F0842">
        <w:t xml:space="preserve">(aperiodischer </w:t>
      </w:r>
      <w:proofErr w:type="spellStart"/>
      <w:r w:rsidR="000F0842">
        <w:t>Exponent</w:t>
      </w:r>
      <w:r w:rsidR="0078306A">
        <w:rPr>
          <w:vertAlign w:val="subscript"/>
        </w:rPr>
        <w:t>fern</w:t>
      </w:r>
      <w:proofErr w:type="spellEnd"/>
      <w:r>
        <w:t>)</w:t>
      </w:r>
      <w:r>
        <w:br/>
        <w:t>H2.1</w:t>
      </w:r>
      <w:r w:rsidR="000F0842" w:rsidRPr="007C132B">
        <w:rPr>
          <w:vertAlign w:val="subscript"/>
        </w:rPr>
        <w:t>1</w:t>
      </w:r>
      <w:r w:rsidR="00623A73">
        <w:t>: µ</w:t>
      </w:r>
      <w:r w:rsidR="000F0842">
        <w:t xml:space="preserve">(aperiodischer </w:t>
      </w:r>
      <w:proofErr w:type="spellStart"/>
      <w:r w:rsidR="000F0842">
        <w:t>Exponent</w:t>
      </w:r>
      <w:r w:rsidR="0078306A">
        <w:rPr>
          <w:vertAlign w:val="subscript"/>
        </w:rPr>
        <w:t>nah</w:t>
      </w:r>
      <w:proofErr w:type="spellEnd"/>
      <w:r w:rsidR="000F0842">
        <w:t xml:space="preserve">) </w:t>
      </w:r>
      <w:r w:rsidR="000F0842">
        <w:rPr>
          <w:rFonts w:ascii="Arial" w:hAnsi="Arial" w:cs="Arial"/>
        </w:rPr>
        <w:t>≠</w:t>
      </w:r>
      <w:r w:rsidR="00623A73">
        <w:t xml:space="preserve"> µ</w:t>
      </w:r>
      <w:r w:rsidR="000F0842">
        <w:t xml:space="preserve">(aperiodischer </w:t>
      </w:r>
      <w:proofErr w:type="spellStart"/>
      <w:r w:rsidR="000F0842">
        <w:t>Exponent</w:t>
      </w:r>
      <w:r w:rsidR="0078306A">
        <w:rPr>
          <w:vertAlign w:val="subscript"/>
        </w:rPr>
        <w:t>fern</w:t>
      </w:r>
      <w:proofErr w:type="spellEnd"/>
      <w:r w:rsidR="000F0842">
        <w:t>)</w:t>
      </w:r>
    </w:p>
    <w:p w:rsidR="00680AAF" w:rsidRDefault="00942303" w:rsidP="00680AAF">
      <w:r>
        <w:t>H2.2</w:t>
      </w:r>
      <w:r w:rsidR="00680AAF">
        <w:rPr>
          <w:vertAlign w:val="subscript"/>
        </w:rPr>
        <w:t>0</w:t>
      </w:r>
      <w:r w:rsidR="00680AAF">
        <w:t xml:space="preserve">: </w:t>
      </w:r>
      <w:r w:rsidR="00680AAF">
        <w:rPr>
          <w:rFonts w:ascii="Arial" w:hAnsi="Arial" w:cs="Arial"/>
          <w:color w:val="202122"/>
          <w:sz w:val="21"/>
          <w:szCs w:val="21"/>
          <w:shd w:val="clear" w:color="auto" w:fill="FFFFFF"/>
        </w:rPr>
        <w:t>ρ(</w:t>
      </w:r>
      <w:r w:rsidR="00680AAF">
        <w:t>aperiodischer Ex</w:t>
      </w:r>
      <w:r w:rsidR="0078306A">
        <w:t>ponent, Tiefe</w:t>
      </w:r>
      <w:r>
        <w:t>) = 0</w:t>
      </w:r>
      <w:r>
        <w:br/>
        <w:t>H2.2</w:t>
      </w:r>
      <w:r w:rsidR="00680AAF" w:rsidRPr="007C132B">
        <w:rPr>
          <w:vertAlign w:val="subscript"/>
        </w:rPr>
        <w:t>1</w:t>
      </w:r>
      <w:r w:rsidR="00680AAF">
        <w:t xml:space="preserve">: </w:t>
      </w:r>
      <w:r w:rsidR="00680AAF">
        <w:rPr>
          <w:rFonts w:ascii="Arial" w:hAnsi="Arial" w:cs="Arial"/>
          <w:color w:val="202122"/>
          <w:sz w:val="21"/>
          <w:szCs w:val="21"/>
          <w:shd w:val="clear" w:color="auto" w:fill="FFFFFF"/>
        </w:rPr>
        <w:t>ρ(</w:t>
      </w:r>
      <w:r w:rsidR="00680AAF">
        <w:t>aperiodischer Ex</w:t>
      </w:r>
      <w:r w:rsidR="0078306A">
        <w:t>ponent, Tiefe</w:t>
      </w:r>
      <w:r w:rsidR="00680AAF">
        <w:t>)</w:t>
      </w:r>
      <w:r w:rsidR="00680AAF">
        <w:rPr>
          <w:rFonts w:ascii="Arial" w:hAnsi="Arial" w:cs="Arial"/>
          <w:color w:val="202122"/>
          <w:sz w:val="21"/>
          <w:szCs w:val="21"/>
          <w:shd w:val="clear" w:color="auto" w:fill="FFFFFF"/>
        </w:rPr>
        <w:t xml:space="preserve"> ≠ 0</w:t>
      </w:r>
    </w:p>
    <w:p w:rsidR="00680AAF" w:rsidRDefault="00EC3B09" w:rsidP="000F0842">
      <w:r>
        <w:t>Zusätzlich soll explorativ auch für die Theta- und Alphapower ein Vergleich zwischen der Bedingung „nah</w:t>
      </w:r>
      <w:r w:rsidR="009A4A90">
        <w:t>“</w:t>
      </w:r>
      <w:r>
        <w:t xml:space="preserve"> und der Bedingung „fern“ gerechnet werden. </w:t>
      </w:r>
      <w:r w:rsidR="009229BA">
        <w:t xml:space="preserve">Außerdem </w:t>
      </w:r>
      <w:r w:rsidR="003B4970">
        <w:t>wird eine Korrelationstabelle mit allen Korrelationen zwischen d</w:t>
      </w:r>
      <w:r w:rsidR="00BC250B">
        <w:t>em aperiodischen Exponenten, dem</w:t>
      </w:r>
      <w:r w:rsidR="003B4970">
        <w:t xml:space="preserve"> quadratische</w:t>
      </w:r>
      <w:r w:rsidR="00BC250B">
        <w:t>n Mittel, der Theta-, Alpha- und Betapower und der Tiefe</w:t>
      </w:r>
      <w:r w:rsidR="003B4970">
        <w:t xml:space="preserve"> erstellt, um einen Überblick für bereits bekannte und möglicher Weise noch unbekannte Zusammenhänge zu bekommen.</w:t>
      </w:r>
    </w:p>
    <w:p w:rsidR="00193E65" w:rsidRDefault="00193E65" w:rsidP="000F0842">
      <w:r>
        <w:t>3. Ergebnisse</w:t>
      </w:r>
    </w:p>
    <w:p w:rsidR="009F2646" w:rsidRDefault="0064535B" w:rsidP="009F2646">
      <w:r>
        <w:t>In der Abbildung 4</w:t>
      </w:r>
      <w:r w:rsidR="009F2646">
        <w:t xml:space="preserve"> ist </w:t>
      </w:r>
      <w:r>
        <w:t xml:space="preserve">anhand der Dichtediagramme </w:t>
      </w:r>
      <w:r w:rsidR="009F2646">
        <w:t>zu erkennen, dass die z-Transformation innerhalb der Patient*innen eine sichtbare Annäherung an die Normalverteilung bewirkt hat</w:t>
      </w:r>
      <w:r>
        <w:t xml:space="preserve"> im Vergleich zu den Dichtediagrammen vor der z-Transformation in Abbildung 5</w:t>
      </w:r>
      <w:r w:rsidR="009F2646">
        <w:t>. Daher gehen wir lediglich bei dem quadratischen Mittel von einer Verletzung der Normalverteilung aus, wo sich die Daten auch nach der z-Transformation noch deutlich von der Normalverteilung unterscheiden. Da bei neuronalen Oszillationen häufig l</w:t>
      </w:r>
      <w:r w:rsidR="006257D1">
        <w:t>og-Transformation</w:t>
      </w:r>
      <w:r w:rsidR="004D0B8A">
        <w:t>en</w:t>
      </w:r>
      <w:r w:rsidR="006257D1">
        <w:t xml:space="preserve"> verwendet werden</w:t>
      </w:r>
      <w:r w:rsidR="009F2646">
        <w:t>, um für die Verletzung der Normalverteilung zu korrigieren, wurde auch dieses Vorgehen an der Theta-, Alpha- und Betapower get</w:t>
      </w:r>
      <w:r w:rsidR="00607622">
        <w:t>estet. Wie jedoch in Abbildung 6</w:t>
      </w:r>
      <w:r w:rsidR="009F2646">
        <w:t xml:space="preserve"> zu sehen ist, stellt diese Transformation der Daten keine Annäherung an die Normalverteilung dar. </w:t>
      </w:r>
    </w:p>
    <w:p w:rsidR="00C81150" w:rsidRDefault="009F2646" w:rsidP="000F0842">
      <w:r>
        <w:t>Der Shapiro-Wilk-Test für die Differenzen zwischen der Betapower in der Bedingung „nah“ und der Betapower in der Bedingung „fern“ ist nicht signifikant auf 5% Signifikanzniveau (</w:t>
      </w:r>
      <w:r w:rsidRPr="009F2646">
        <w:rPr>
          <w:i/>
        </w:rPr>
        <w:t>W</w:t>
      </w:r>
      <w:r>
        <w:t xml:space="preserve"> = 0.98; </w:t>
      </w:r>
      <w:r w:rsidRPr="009F2646">
        <w:rPr>
          <w:i/>
        </w:rPr>
        <w:t>p</w:t>
      </w:r>
      <w:r>
        <w:t xml:space="preserve"> = 0.69).</w:t>
      </w:r>
      <w:r w:rsidR="00D4260A">
        <w:t xml:space="preserve"> In den </w:t>
      </w:r>
      <w:proofErr w:type="spellStart"/>
      <w:r w:rsidR="00D4260A">
        <w:t>Boxplots</w:t>
      </w:r>
      <w:proofErr w:type="spellEnd"/>
      <w:r w:rsidR="00D4260A">
        <w:t xml:space="preserve"> der Abbildung 7 ist zu sehen, dass die Mittelwerte der beiden Bedingungen nahezu gleich groß sind.</w:t>
      </w:r>
      <w:r w:rsidR="004550A5">
        <w:t xml:space="preserve"> </w:t>
      </w:r>
      <w:r w:rsidR="00B47553">
        <w:t>Um den ersten Teil der ersten Hypothese zu überprüfen, dass die P</w:t>
      </w:r>
      <w:r w:rsidR="006257D1">
        <w:t xml:space="preserve">ower im </w:t>
      </w:r>
      <w:proofErr w:type="spellStart"/>
      <w:r w:rsidR="006257D1">
        <w:t>Betaband</w:t>
      </w:r>
      <w:proofErr w:type="spellEnd"/>
      <w:r w:rsidR="006257D1">
        <w:t xml:space="preserve"> in der Nähe der Zielposition</w:t>
      </w:r>
      <w:r w:rsidR="00B47553">
        <w:t xml:space="preserve"> größer </w:t>
      </w:r>
      <w:r w:rsidR="006257D1">
        <w:t>ist als in weiter Entfernung von der Zielposition</w:t>
      </w:r>
      <w:r w:rsidR="00B47553">
        <w:t xml:space="preserve">, wurde daher ein rechtsseitiger </w:t>
      </w:r>
      <w:r w:rsidR="00D66911" w:rsidRPr="00D66911">
        <w:rPr>
          <w:i/>
        </w:rPr>
        <w:t>t</w:t>
      </w:r>
      <w:r w:rsidR="00D66911">
        <w:t xml:space="preserve">-Test für abhängige Stichproben auf 5% Signifikanzniveau gerechnet. Der Mittelwert der Differenzen beträgt -0.02. Der entsprechende </w:t>
      </w:r>
      <w:r w:rsidR="00D66911" w:rsidRPr="008D4B6A">
        <w:rPr>
          <w:i/>
        </w:rPr>
        <w:t>t</w:t>
      </w:r>
      <w:r w:rsidR="00D66911">
        <w:t>-Test ergab, dass der Mittelwert der</w:t>
      </w:r>
      <w:r w:rsidR="00912E0E">
        <w:t xml:space="preserve"> Betapower in der Bedingung „nah“</w:t>
      </w:r>
      <w:r w:rsidR="00823ED0">
        <w:t xml:space="preserve"> auf 5% Signifikanzniveau</w:t>
      </w:r>
      <w:r w:rsidR="00912E0E">
        <w:t xml:space="preserve"> nicht signifikant größer ist als der Mittelwert der Betapower in der Bedingung „fern“ (</w:t>
      </w:r>
      <w:r w:rsidR="00912E0E" w:rsidRPr="00912E0E">
        <w:rPr>
          <w:i/>
        </w:rPr>
        <w:t>t</w:t>
      </w:r>
      <w:r w:rsidR="00912E0E">
        <w:t xml:space="preserve">(29) = -0.13; </w:t>
      </w:r>
      <w:r w:rsidR="00912E0E" w:rsidRPr="00912E0E">
        <w:rPr>
          <w:i/>
        </w:rPr>
        <w:t>p</w:t>
      </w:r>
      <w:r w:rsidR="00912E0E">
        <w:t xml:space="preserve"> = 0.55). </w:t>
      </w:r>
    </w:p>
    <w:p w:rsidR="000F0842" w:rsidRDefault="00912E0E" w:rsidP="00BE20E5">
      <w:r>
        <w:t>Der Shapiro-Wilk-Test für die Differenzen zwischen dem quadratischen Mittel in der Bedingung „nah“ und dem quadratischen Mittel in der Bedingung „fern“ ist ebenfalls nicht signifikant auf 5% Signifikanzniveau (</w:t>
      </w:r>
      <w:r w:rsidRPr="009F2646">
        <w:rPr>
          <w:i/>
        </w:rPr>
        <w:t>W</w:t>
      </w:r>
      <w:r>
        <w:t xml:space="preserve"> = 0.98; </w:t>
      </w:r>
      <w:r w:rsidRPr="009F2646">
        <w:rPr>
          <w:i/>
        </w:rPr>
        <w:t>p</w:t>
      </w:r>
      <w:r>
        <w:t xml:space="preserve"> = 0.91).</w:t>
      </w:r>
      <w:r w:rsidR="00D4260A">
        <w:t xml:space="preserve"> In den </w:t>
      </w:r>
      <w:proofErr w:type="spellStart"/>
      <w:r w:rsidR="00D4260A">
        <w:t>Boxplots</w:t>
      </w:r>
      <w:proofErr w:type="spellEnd"/>
      <w:r w:rsidR="00D4260A">
        <w:t xml:space="preserve"> von der Abbildung 8 ist zu erkennen, dass der Mittelwert der Bedingung „nah“ sichtlich größer ist als der Mittelwert der Bedingung „fern“.</w:t>
      </w:r>
      <w:r>
        <w:t xml:space="preserve"> Um den zweiten Teil der ersten H</w:t>
      </w:r>
      <w:r w:rsidR="0066637E">
        <w:t>ypothese zu überprüfen, dass die Spike-Aktivität</w:t>
      </w:r>
      <w:r>
        <w:t xml:space="preserve"> </w:t>
      </w:r>
      <w:r w:rsidR="00105260">
        <w:t>des</w:t>
      </w:r>
      <w:r w:rsidR="0066637E">
        <w:t xml:space="preserve"> elektrischen</w:t>
      </w:r>
      <w:r w:rsidR="00105260">
        <w:t xml:space="preserve"> in der Nähe der Zielposition</w:t>
      </w:r>
      <w:r>
        <w:t xml:space="preserve"> größer </w:t>
      </w:r>
      <w:r w:rsidR="00105260">
        <w:t>ist als in weiter Entfernung von der Zielposition</w:t>
      </w:r>
      <w:r>
        <w:t xml:space="preserve">, wurde also auch ein rechtsseitiger </w:t>
      </w:r>
      <w:r w:rsidRPr="00D66911">
        <w:rPr>
          <w:i/>
        </w:rPr>
        <w:t>t</w:t>
      </w:r>
      <w:r>
        <w:t xml:space="preserve">-Test für abhängige Stichproben auf 5% Signifikanzniveau gerechnet. Der Mittelwert der Differenzen beträgt 1.21. Der entsprechende </w:t>
      </w:r>
      <w:r w:rsidRPr="008D4B6A">
        <w:rPr>
          <w:i/>
        </w:rPr>
        <w:t>t</w:t>
      </w:r>
      <w:r>
        <w:t>-Test ergab, dass der Mittelwert des quadratischen Mittels in der Bedingung „nah“</w:t>
      </w:r>
      <w:r w:rsidR="00823ED0">
        <w:t xml:space="preserve"> auf dem Signifikanzniveau von 5%  signifikant größer ist als der Mittelwert des quadratischen Mittels </w:t>
      </w:r>
      <w:r>
        <w:t>in der Bedingung „fern“ (</w:t>
      </w:r>
      <w:r w:rsidRPr="00912E0E">
        <w:rPr>
          <w:i/>
        </w:rPr>
        <w:t>t</w:t>
      </w:r>
      <w:r>
        <w:t>(29) =</w:t>
      </w:r>
      <w:r w:rsidR="00823ED0">
        <w:t xml:space="preserve"> 6.48</w:t>
      </w:r>
      <w:r>
        <w:t xml:space="preserve">; </w:t>
      </w:r>
      <w:r w:rsidRPr="00912E0E">
        <w:rPr>
          <w:i/>
        </w:rPr>
        <w:t>p</w:t>
      </w:r>
      <w:r w:rsidR="00823ED0">
        <w:t xml:space="preserve"> &lt; 0.01</w:t>
      </w:r>
      <w:r>
        <w:t>).</w:t>
      </w:r>
    </w:p>
    <w:p w:rsidR="00BE20E5" w:rsidRPr="00BE20E5" w:rsidRDefault="000A7E18" w:rsidP="000D188D">
      <w:r>
        <w:lastRenderedPageBreak/>
        <w:t>Der Shapiro-Wilk-Test für die Differenzen zwischen dem aperiodischen Exponenten in der Bedingung „nah“ und dem aperiodischen Exponenten in der Bedingung „fern“ ist nicht signifikant auf 5% Signifikanzniveau (</w:t>
      </w:r>
      <w:r w:rsidRPr="009F2646">
        <w:rPr>
          <w:i/>
        </w:rPr>
        <w:t>W</w:t>
      </w:r>
      <w:r>
        <w:t xml:space="preserve"> = 0.98; </w:t>
      </w:r>
      <w:r w:rsidRPr="009F2646">
        <w:rPr>
          <w:i/>
        </w:rPr>
        <w:t>p</w:t>
      </w:r>
      <w:r>
        <w:t xml:space="preserve"> = 0.75). </w:t>
      </w:r>
      <w:r w:rsidR="00D4260A">
        <w:t xml:space="preserve">Mit Hilfe der </w:t>
      </w:r>
      <w:proofErr w:type="spellStart"/>
      <w:r w:rsidR="00D4260A">
        <w:t>Boxplots</w:t>
      </w:r>
      <w:proofErr w:type="spellEnd"/>
      <w:r w:rsidR="00D4260A">
        <w:t xml:space="preserve"> in Abbildung 9 wird dargestellt, dass zwischen den Mittelwerten beider Bedingungen wenig Unterschied zu erkennen ist. </w:t>
      </w:r>
      <w:r>
        <w:t>Um den ersten Teil der zweiten Hypothese zu überprüfen, dass der aperi</w:t>
      </w:r>
      <w:r w:rsidR="007973F5">
        <w:t>odische Exponent in der Nähe der Zielposition</w:t>
      </w:r>
      <w:r>
        <w:t xml:space="preserve"> größer </w:t>
      </w:r>
      <w:r w:rsidR="007973F5">
        <w:t>ist als in weiter Entfernung von der Zielposition</w:t>
      </w:r>
      <w:r>
        <w:t xml:space="preserve">, wurde ein zweiseitiger </w:t>
      </w:r>
      <w:r w:rsidRPr="00D66911">
        <w:rPr>
          <w:i/>
        </w:rPr>
        <w:t>t</w:t>
      </w:r>
      <w:r>
        <w:t xml:space="preserve">-Test für abhängige Stichproben auf 5% Signifikanzniveau gerechnet. Der Mittelwert der Differenzen beträgt 0.12. Der entsprechende </w:t>
      </w:r>
      <w:r w:rsidRPr="008D4B6A">
        <w:rPr>
          <w:i/>
        </w:rPr>
        <w:t>t</w:t>
      </w:r>
      <w:r>
        <w:t xml:space="preserve">-Test ergab, dass der Mittelwert des aperiodischen Exponenten in der Bedingung „nah“ </w:t>
      </w:r>
      <w:r w:rsidR="00A6045F">
        <w:t xml:space="preserve">sich </w:t>
      </w:r>
      <w:r>
        <w:t xml:space="preserve">auf 5% Signifikanzniveau nicht signifikant </w:t>
      </w:r>
      <w:r w:rsidR="00A6045F">
        <w:t xml:space="preserve">von dem Mittelwert des aperiodischen Exponenten </w:t>
      </w:r>
      <w:r>
        <w:t>in der Bedingung „fern“</w:t>
      </w:r>
      <w:r w:rsidR="00A6045F">
        <w:t xml:space="preserve"> unterscheidet</w:t>
      </w:r>
      <w:r>
        <w:t xml:space="preserve"> (</w:t>
      </w:r>
      <w:r w:rsidRPr="00912E0E">
        <w:rPr>
          <w:i/>
        </w:rPr>
        <w:t>t</w:t>
      </w:r>
      <w:r>
        <w:t>(29) =</w:t>
      </w:r>
      <w:r w:rsidR="00A6045F">
        <w:t xml:space="preserve"> 0.56</w:t>
      </w:r>
      <w:r>
        <w:t xml:space="preserve">; </w:t>
      </w:r>
      <w:r w:rsidRPr="00912E0E">
        <w:rPr>
          <w:i/>
        </w:rPr>
        <w:t>p</w:t>
      </w:r>
      <w:r w:rsidR="00A6045F">
        <w:t xml:space="preserve"> = 0.56</w:t>
      </w:r>
      <w:r>
        <w:t>).</w:t>
      </w:r>
    </w:p>
    <w:p w:rsidR="006045B8" w:rsidRDefault="008D4B6A" w:rsidP="000D188D">
      <w:r>
        <w:t>Anhand des Dichtediagramms</w:t>
      </w:r>
      <w:r w:rsidR="00D4260A">
        <w:t xml:space="preserve"> (Abbildung 10</w:t>
      </w:r>
      <w:r w:rsidR="003D06CC">
        <w:t>)</w:t>
      </w:r>
      <w:r>
        <w:t xml:space="preserve"> ist zu erkennen, dass die Tiefe der Elektrode nicht normalverteilt ist. Für den zweiten Teil der zweiten Hypothese</w:t>
      </w:r>
      <w:r w:rsidR="003349A0">
        <w:t>, dass zwischen der Entfernung der Elektrode von der Zielposition</w:t>
      </w:r>
      <w:r w:rsidR="0033728A">
        <w:t xml:space="preserve"> und dem aperiodischen Exponenten ein linearer Zusammen existiert,</w:t>
      </w:r>
      <w:r>
        <w:t xml:space="preserve"> wurde deshalb ein zweiseitiger Korrelationstest auf 5% Signifikanzniveau gerechnet, der auf der Kendall-Korrelation </w:t>
      </w:r>
      <w:r w:rsidR="0033728A">
        <w:t>basiert. Kendalls Tau weist</w:t>
      </w:r>
      <w:r>
        <w:t xml:space="preserve"> mit </w:t>
      </w:r>
      <w:r w:rsidR="0033728A">
        <w:t>0.034 einen geringen positiven Zusammenhang auf. Der Korrelationstest hat ergeben, dass sich der lineare Zusammenhang zwischen der Tiefe und dem aperiodischen Exponenten signifikant von 0 unterscheidet (</w:t>
      </w:r>
      <w:r w:rsidR="0033728A" w:rsidRPr="0033728A">
        <w:rPr>
          <w:i/>
        </w:rPr>
        <w:t>z</w:t>
      </w:r>
      <w:r w:rsidR="0033728A">
        <w:t xml:space="preserve"> = 2.37; </w:t>
      </w:r>
      <w:r w:rsidR="0033728A" w:rsidRPr="0033728A">
        <w:rPr>
          <w:i/>
        </w:rPr>
        <w:t>p</w:t>
      </w:r>
      <w:r w:rsidR="0033728A">
        <w:t xml:space="preserve"> = 0.018), da der </w:t>
      </w:r>
      <w:r w:rsidR="0033728A" w:rsidRPr="0033728A">
        <w:rPr>
          <w:i/>
        </w:rPr>
        <w:t>p</w:t>
      </w:r>
      <w:r w:rsidR="0033728A">
        <w:t xml:space="preserve">-Wert kleiner ist als das halbe Signifikanzniveau. </w:t>
      </w:r>
      <w:r w:rsidR="00D26B4D">
        <w:t>Abbildun</w:t>
      </w:r>
      <w:r w:rsidR="00D4260A">
        <w:t>g 11</w:t>
      </w:r>
    </w:p>
    <w:p w:rsidR="0033728A" w:rsidRDefault="002B3B68" w:rsidP="000D188D">
      <w:r>
        <w:t>Tabelle</w:t>
      </w:r>
      <w:r w:rsidR="00D26B4D">
        <w:t xml:space="preserve"> 1</w:t>
      </w:r>
      <w:r w:rsidR="00F576AF">
        <w:t xml:space="preserve"> zeigt die Korrelationstabelle für die Zusammenhänge zwischen der Tiefe, dem aperiodischen Exponenten, der Theta-, Alpha und Betapower und dem quadratischen Mittel. Der Zusammenhang zwischen der Thetapower und der Tiefe ist mit -0.038 größer als der Zusammenhang zwischen dem aperiodischen Exponenten und der Tiefe. Dasselbe gilt für den Zusammenhang zwischen der alphapower und der Tiefe, der 0.041 beträgt. Der Zusammenhang zwischen der Betapower und der Tiefe ist mit -0.0042 deutlich kleiner, während der Zusammenhang zwischen der Tiefe und dem quadratischen Mittel deutlich größer ist mit -0.35.</w:t>
      </w:r>
      <w:r w:rsidR="00D26B4D">
        <w:t xml:space="preserve"> Die gefund</w:t>
      </w:r>
      <w:r w:rsidR="00D4260A">
        <w:t>enen Korrelationen werden in den</w:t>
      </w:r>
      <w:r w:rsidR="00D26B4D">
        <w:t xml:space="preserve"> Abbildung</w:t>
      </w:r>
      <w:r w:rsidR="00D4260A">
        <w:t>en 12, 13 und 14</w:t>
      </w:r>
      <w:r w:rsidR="00D26B4D">
        <w:t xml:space="preserve"> dargestellt.</w:t>
      </w:r>
      <w:r w:rsidR="00F576AF">
        <w:t xml:space="preserve"> </w:t>
      </w:r>
      <w:r w:rsidR="00F70B1B">
        <w:t xml:space="preserve">Bei </w:t>
      </w:r>
      <w:r w:rsidR="00196173">
        <w:t>einer multiplen linearen Regression, bei der die Tiefe als abhängige Variable, das quadratische Mittel, der aperiodische Exponent, die Theta- und Alphapower als unabhängige Variable, und die Versuchsperson als Zufallsfaktor angegeben wurden, war jedoch nur das quadratische Mittel ein signifikanter Prädiktor für die Tiefe (siehe Tabelle).</w:t>
      </w:r>
    </w:p>
    <w:p w:rsidR="00825F2E" w:rsidRPr="007C132B" w:rsidRDefault="00825F2E" w:rsidP="000D188D">
      <w:r>
        <w:t>Absc</w:t>
      </w:r>
      <w:r w:rsidR="007973F5">
        <w:t>hließend wurden zwei weitere</w:t>
      </w:r>
      <w:r>
        <w:t xml:space="preserve"> </w:t>
      </w:r>
      <w:r w:rsidRPr="00825F2E">
        <w:rPr>
          <w:i/>
        </w:rPr>
        <w:t>t</w:t>
      </w:r>
      <w:r>
        <w:t>-tests für abhängige Stichproben durchgeführt, um zu überprüfen, ob die Thetapower un</w:t>
      </w:r>
      <w:r w:rsidR="00867786">
        <w:t>d die Alphapower in der Nähe der Zielposition</w:t>
      </w:r>
      <w:r>
        <w:t xml:space="preserve"> größer </w:t>
      </w:r>
      <w:r w:rsidR="00C073B8">
        <w:t xml:space="preserve">oder kleiner </w:t>
      </w:r>
      <w:r>
        <w:t>s</w:t>
      </w:r>
      <w:r w:rsidR="00867786">
        <w:t>ind als in weiter Entfernung von der Zielposition</w:t>
      </w:r>
      <w:r>
        <w:t xml:space="preserve">. </w:t>
      </w:r>
      <w:r w:rsidR="00A87B9E">
        <w:t>Die Shapiro-Wilk-Tests waren sowohl für die Differenzen zwischen der Bedingung „nah“ und der Bedingung „fern“ der Thetapower (</w:t>
      </w:r>
      <w:r w:rsidR="00A87B9E" w:rsidRPr="009F2646">
        <w:rPr>
          <w:i/>
        </w:rPr>
        <w:t>W</w:t>
      </w:r>
      <w:r w:rsidR="00A87B9E">
        <w:t xml:space="preserve"> = 0.97; </w:t>
      </w:r>
      <w:r w:rsidR="00A87B9E" w:rsidRPr="009F2646">
        <w:rPr>
          <w:i/>
        </w:rPr>
        <w:t>p</w:t>
      </w:r>
      <w:r w:rsidR="00A87B9E">
        <w:t xml:space="preserve"> = 0.45) als auch der Alphapower (</w:t>
      </w:r>
      <w:r w:rsidR="00A87B9E" w:rsidRPr="009F2646">
        <w:rPr>
          <w:i/>
        </w:rPr>
        <w:t>W</w:t>
      </w:r>
      <w:r w:rsidR="00A87B9E">
        <w:t xml:space="preserve"> = 0.98; </w:t>
      </w:r>
      <w:r w:rsidR="00A87B9E" w:rsidRPr="009F2646">
        <w:rPr>
          <w:i/>
        </w:rPr>
        <w:t>p</w:t>
      </w:r>
      <w:r w:rsidR="00A87B9E">
        <w:t xml:space="preserve"> = 0.90) nicht signifikant. Daher konnte die Normalverteilung angenommen werden. Aufgrund der negativen Korrelation zwischen Thetapower und Tiefe, wurde für die Thetapower ein rechtsseitiger </w:t>
      </w:r>
      <w:r w:rsidR="00A87B9E" w:rsidRPr="00E17474">
        <w:rPr>
          <w:i/>
        </w:rPr>
        <w:t>t</w:t>
      </w:r>
      <w:r w:rsidR="00A87B9E">
        <w:t>-test für abhängigen Stichproben auf 5% Signifikanzniveau gerechnet</w:t>
      </w:r>
      <w:r w:rsidR="00E17474">
        <w:t xml:space="preserve">. </w:t>
      </w:r>
      <w:r w:rsidR="00C56B62">
        <w:t xml:space="preserve">Der Mittelwert der Differenzen beträgt -0.04. Der entsprechende </w:t>
      </w:r>
      <w:r w:rsidR="00C56B62" w:rsidRPr="008D4B6A">
        <w:rPr>
          <w:i/>
        </w:rPr>
        <w:t>t</w:t>
      </w:r>
      <w:r w:rsidR="00C56B62">
        <w:t>-Test ergab, dass der Mittelwert der Thetapower in der Bedingung „nah“ auf 5% Signifikanzniveau nicht signifikant größer ist als der Mittelwert der Thetapower in der Bedingung „fern“ (</w:t>
      </w:r>
      <w:r w:rsidR="00C56B62" w:rsidRPr="00912E0E">
        <w:rPr>
          <w:i/>
        </w:rPr>
        <w:t>t</w:t>
      </w:r>
      <w:r w:rsidR="00C56B62">
        <w:t xml:space="preserve">(29) = -0.22; </w:t>
      </w:r>
      <w:r w:rsidR="00C56B62" w:rsidRPr="00912E0E">
        <w:rPr>
          <w:i/>
        </w:rPr>
        <w:t>p</w:t>
      </w:r>
      <w:r w:rsidR="00C56B62">
        <w:t xml:space="preserve"> = 0.59). Aufgrund der positiven Korrelation zwischen Alphapower und Tiefe, wurde für die Alphapower ein linksseitiger </w:t>
      </w:r>
      <w:r w:rsidR="00C56B62" w:rsidRPr="00E17474">
        <w:rPr>
          <w:i/>
        </w:rPr>
        <w:t>t</w:t>
      </w:r>
      <w:r w:rsidR="00C56B62">
        <w:t xml:space="preserve">-test für abhängigen Stichproben auf 5% Signifikanzniveau gerechnet. Der Mittelwert der Differenzen beträgt -0.25. Der entsprechende </w:t>
      </w:r>
      <w:r w:rsidR="00C56B62" w:rsidRPr="008D4B6A">
        <w:rPr>
          <w:i/>
        </w:rPr>
        <w:t>t</w:t>
      </w:r>
      <w:r w:rsidR="00C56B62">
        <w:t>-Test ergab, dass der Mittelwert der Thetapower in der Bedingung „nah“ auf 5% Signifikanzniveau nicht signifikant kleiner ist als der Mittelwert der Thetapower in der Bedingung „fern“ unterscheidet (</w:t>
      </w:r>
      <w:r w:rsidR="00C56B62" w:rsidRPr="00912E0E">
        <w:rPr>
          <w:i/>
        </w:rPr>
        <w:t>t</w:t>
      </w:r>
      <w:r w:rsidR="00C56B62">
        <w:t xml:space="preserve">(29) = -0.22; </w:t>
      </w:r>
      <w:r w:rsidR="00C56B62" w:rsidRPr="00912E0E">
        <w:rPr>
          <w:i/>
        </w:rPr>
        <w:t>p</w:t>
      </w:r>
      <w:r w:rsidR="00C56B62">
        <w:t xml:space="preserve"> = 0.59).</w:t>
      </w:r>
    </w:p>
    <w:p w:rsidR="00103A37" w:rsidRDefault="00084A45">
      <w:r w:rsidRPr="007C132B">
        <w:t xml:space="preserve"> </w:t>
      </w:r>
      <w:r w:rsidR="00103A37" w:rsidRPr="00DF6E10">
        <w:t xml:space="preserve">4. </w:t>
      </w:r>
      <w:r w:rsidR="00103A37" w:rsidRPr="00103A37">
        <w:t>Diskussion</w:t>
      </w:r>
    </w:p>
    <w:p w:rsidR="009D21C5" w:rsidRDefault="00CE04C8">
      <w:r>
        <w:lastRenderedPageBreak/>
        <w:t>Bei der Behandlung der neurodegenerativen Krankheit Morbus Parkinson sind durch immense Fortschritte in der Forschung der letzten Jahrzehnte gute Therapiemöglichkeiten entwickelt und etabliert worden, mit denen die Symptome und der Leidensdruck zu einem gewissen Maß kontrolliert und eingeschränkt werden können. Die THS des STK war die letzte innovative Therapie, die einen Durchbruch in der Behandlung von Morbus Parkinson ermöglicht hat.</w:t>
      </w:r>
      <w:r w:rsidR="00A51B3E">
        <w:t xml:space="preserve"> Dabei werden operativ Elektroden in die STK eingeführt und elektrisch stimuliert, wodurch der Bereich des STK</w:t>
      </w:r>
      <w:r w:rsidR="008F1774">
        <w:t>, der stimuliert wird,</w:t>
      </w:r>
      <w:r w:rsidR="00A51B3E">
        <w:t xml:space="preserve"> deaktiviert wird.</w:t>
      </w:r>
      <w:r w:rsidR="007973F5">
        <w:t xml:space="preserve"> Die Zielposition</w:t>
      </w:r>
      <w:r w:rsidR="004D5968">
        <w:t xml:space="preserve"> wird vor der Operation ermittelt, indem durch ein MRT geschätzt wird, wo sich der </w:t>
      </w:r>
      <w:proofErr w:type="spellStart"/>
      <w:r w:rsidR="004D5968">
        <w:t>dorsolaterale</w:t>
      </w:r>
      <w:proofErr w:type="spellEnd"/>
      <w:r w:rsidR="004D5968">
        <w:t xml:space="preserve"> Bereich des STK befindet, wo sich nach aktuellem Kenntnisstand das </w:t>
      </w:r>
      <w:proofErr w:type="spellStart"/>
      <w:r w:rsidR="004D5968">
        <w:t>senomotorische</w:t>
      </w:r>
      <w:proofErr w:type="spellEnd"/>
      <w:r w:rsidR="004D5968">
        <w:t xml:space="preserve"> Zentrum befindet.</w:t>
      </w:r>
      <w:r>
        <w:t xml:space="preserve"> </w:t>
      </w:r>
      <w:r w:rsidR="00A51B3E">
        <w:t xml:space="preserve">Um potentielle Nebenwirkungen zu vermeiden, die durch Stimulation von Bereichen ausgelöst werden, die sich um den STK herum befinden, erfordert die Operation jedoch eine enorme Menge an Planung und Vorbereitung. </w:t>
      </w:r>
      <w:r w:rsidR="001C7A6F">
        <w:t xml:space="preserve">Bildgebende Verfahren helfen, die Position des STK und somit die Operationsstelle zu schätzen, allerdings sind die STK teilweise nicht gut oder gar nicht direkt sichtbar, sondern wird durch umliegende Strukturen geschätzt. </w:t>
      </w:r>
      <w:r w:rsidR="00A51B3E">
        <w:t xml:space="preserve">Durch die Erkenntnis, dass sich </w:t>
      </w:r>
      <w:r w:rsidR="00BC6D48">
        <w:t xml:space="preserve">das </w:t>
      </w:r>
      <w:proofErr w:type="spellStart"/>
      <w:r w:rsidR="00BC6D48">
        <w:t>oszillatorische</w:t>
      </w:r>
      <w:proofErr w:type="spellEnd"/>
      <w:r w:rsidR="00BC6D48">
        <w:t xml:space="preserve"> Aktivitätsmuster</w:t>
      </w:r>
      <w:r w:rsidR="00A51B3E">
        <w:t xml:space="preserve"> im Gehirn verändert, je nachdem wo sich die Elektrode befindet, konnten mit Hilfe von rechnerischen Modellen </w:t>
      </w:r>
      <w:r w:rsidR="001C7A6F">
        <w:t>Programme entwick</w:t>
      </w:r>
      <w:r w:rsidR="0091701B">
        <w:t>elt werden, die bei der Bestimmung der</w:t>
      </w:r>
      <w:r w:rsidR="001C7A6F">
        <w:t xml:space="preserve"> Position der Elektrode im Gehirn </w:t>
      </w:r>
      <w:r w:rsidR="0091701B">
        <w:t xml:space="preserve">helfen können. Gut nachgewiesene Zusammenhänge, die für solche Programme bereits verwendet werden, sind die erhöhte Spike-Aktivität und Betapower im STK. </w:t>
      </w:r>
      <w:r w:rsidR="008F1774">
        <w:t>Um eine Weiterentwicklung dieser Therapie zu unterstützen, beschäftigt sich diese Masterarbeit mit der Frage, ob in den Mikroelektroden-Aufzeichnungen der Testelektroden, die während der Operation elektrophysiologische Daten aufgezeichnet haben, über alle Patient*innen Z</w:t>
      </w:r>
      <w:r w:rsidR="000D00F4">
        <w:t>usammenhänge zwischen den oszillatorischen Aktivitätsmuster</w:t>
      </w:r>
      <w:r w:rsidR="008F1774">
        <w:t xml:space="preserve"> und der Position der Elekt</w:t>
      </w:r>
      <w:r w:rsidR="000D00F4">
        <w:t>rode gefunden werden können. Das</w:t>
      </w:r>
      <w:r w:rsidR="008F1774">
        <w:t xml:space="preserve"> quadratische Mittel des</w:t>
      </w:r>
      <w:r w:rsidR="000D00F4">
        <w:t xml:space="preserve"> elektrischen</w:t>
      </w:r>
      <w:r w:rsidR="008F1774">
        <w:t xml:space="preserve"> Signals wird bereits genutzt, um das Ein- und Austreten der Elektrode in Bezug auf den STK zu bestimmen, da die Spike-Aktivität sichtlich größer wird, sobald die Elektrode sich im STK befindet. Die Betapower wird genutzt, </w:t>
      </w:r>
      <w:r w:rsidR="001324D7">
        <w:t xml:space="preserve">um die Nähe zum </w:t>
      </w:r>
      <w:proofErr w:type="spellStart"/>
      <w:r w:rsidR="001324D7">
        <w:t>dorsolateralen</w:t>
      </w:r>
      <w:proofErr w:type="spellEnd"/>
      <w:r w:rsidR="001324D7">
        <w:t xml:space="preserve"> Bereich des STK zu schätzen. </w:t>
      </w:r>
      <w:r w:rsidR="004D5968">
        <w:t>Wenn diese Annahme</w:t>
      </w:r>
      <w:r w:rsidR="000D00F4">
        <w:t>n</w:t>
      </w:r>
      <w:r w:rsidR="004D5968">
        <w:t xml:space="preserve"> mit Hilfe der vorliegenden Daten bestätigt werden können, sollten diejenigen</w:t>
      </w:r>
      <w:r w:rsidR="00A82198">
        <w:t xml:space="preserve"> Datensätze, die in der Nähe der Zielposition</w:t>
      </w:r>
      <w:r w:rsidR="004D5968">
        <w:t xml:space="preserve"> aufgezeichnet wurden, ein größeres quadratisches Mittel und eine größere Betapower aufweisen als die Datensät</w:t>
      </w:r>
      <w:r w:rsidR="00A82198">
        <w:t>ze, die in weiter Entfernung von der Zielposition</w:t>
      </w:r>
      <w:r w:rsidR="004D5968">
        <w:t xml:space="preserve"> und außerhalb des STK aufgezeichnet wurden.</w:t>
      </w:r>
      <w:r w:rsidR="00317441">
        <w:t xml:space="preserve"> </w:t>
      </w:r>
      <w:r w:rsidR="002E1176">
        <w:t>D</w:t>
      </w:r>
      <w:r w:rsidR="009C41D7">
        <w:t>ie Betapower</w:t>
      </w:r>
      <w:r w:rsidR="002E1176">
        <w:t xml:space="preserve"> war</w:t>
      </w:r>
      <w:r w:rsidR="009C41D7">
        <w:t xml:space="preserve"> </w:t>
      </w:r>
      <w:r w:rsidR="007973F5">
        <w:t>in der Nähe der Zielposition</w:t>
      </w:r>
      <w:r w:rsidR="002E1176">
        <w:t xml:space="preserve"> nicht signifikant grö</w:t>
      </w:r>
      <w:r w:rsidR="007973F5">
        <w:t>ßer als in weiter Entfernung von der Zielposition</w:t>
      </w:r>
      <w:r w:rsidR="002E1176">
        <w:t>, das quadratische Mit</w:t>
      </w:r>
      <w:r w:rsidR="007973F5">
        <w:t>tel hingegen war in der Nähe der Zielposition</w:t>
      </w:r>
      <w:r w:rsidR="002E1176">
        <w:t xml:space="preserve"> signifikant größer als in weiter Entfernung. Bei der ersten Hypothese, dass die Power im </w:t>
      </w:r>
      <w:proofErr w:type="spellStart"/>
      <w:r w:rsidR="002E1176">
        <w:t>Betaband</w:t>
      </w:r>
      <w:proofErr w:type="spellEnd"/>
      <w:r w:rsidR="002E1176">
        <w:t xml:space="preserve"> </w:t>
      </w:r>
      <w:r w:rsidR="00A82198">
        <w:t>des LFP und die Spike-Aktivität</w:t>
      </w:r>
      <w:r w:rsidR="002E1176">
        <w:t xml:space="preserve"> des</w:t>
      </w:r>
      <w:r w:rsidR="00A82198">
        <w:t xml:space="preserve"> elektrischen Signals in der Nähe der Zielposition größer sind als in weiter Entfernung von der Zielposition</w:t>
      </w:r>
      <w:r w:rsidR="002E1176">
        <w:t xml:space="preserve">, kann daher nur der zweite Teile angenommen werden. </w:t>
      </w:r>
      <w:r w:rsidR="00317441">
        <w:t xml:space="preserve">Ein neuer Forschungszweig im Bereich der </w:t>
      </w:r>
      <w:r w:rsidR="00A82198">
        <w:t xml:space="preserve">oszillatorischen Aktivitätsmuster </w:t>
      </w:r>
      <w:r w:rsidR="00317441">
        <w:t>des Gehirns ist die aperiodische Komponente, die sich im Hintergrund der periodischen Oszillationen befindet. Dass sie existiert ist lange bekannt, bislang wurde sie jedoch als Hintergrundrauschen ohne Informationsgehalt abgetan und ignoriert. In der aktuellen Forschung wird nun vermutet, dass die aperiodische Komponente ebenfalls einen Zusammenhang mit menschlichem Verhalten und kognitiven Zuständen hat. Dies könnte potentiell ein neuer Faktor sein, der ebenfalls zu der Bestimmung der Position d</w:t>
      </w:r>
      <w:r w:rsidR="009C41D7">
        <w:t xml:space="preserve">er Elektrode im Gehirn beiträgt. </w:t>
      </w:r>
      <w:r w:rsidR="002E1176">
        <w:t>Falls diese Ver</w:t>
      </w:r>
      <w:r w:rsidR="004D0B8A">
        <w:t>mutung zutrifft, sollte sich die aperiodischen Exponenten</w:t>
      </w:r>
      <w:r w:rsidR="002E1176">
        <w:t xml:space="preserve"> von den </w:t>
      </w:r>
      <w:r w:rsidR="004D0B8A">
        <w:t>Datensätzen, die in der Nähe der Zielposition aufgenommen wurden, von den aperiodischen Exponenten</w:t>
      </w:r>
      <w:r w:rsidR="002E1176">
        <w:t xml:space="preserve"> in den Datensätz</w:t>
      </w:r>
      <w:r w:rsidR="004D0B8A">
        <w:t>en, die in weiter Entfernung von der Zielposition</w:t>
      </w:r>
      <w:r w:rsidR="004810E6">
        <w:t xml:space="preserve"> aufgezeichnet wurden, unterscheiden. Außerdem sollte ein li</w:t>
      </w:r>
      <w:r w:rsidR="004D0B8A">
        <w:t>nearer Zusammenhang zwischen dem aperiodischen Exponenten</w:t>
      </w:r>
      <w:r w:rsidR="004810E6">
        <w:t xml:space="preserve"> und der Tiefe der</w:t>
      </w:r>
      <w:r w:rsidR="004D0B8A">
        <w:t xml:space="preserve"> Elektrode aufzufinden sein. Der aperiodische Exponent in der Nähe der Zielposition</w:t>
      </w:r>
      <w:r w:rsidR="004810E6">
        <w:t xml:space="preserve"> unterscheidet sich nicht sign</w:t>
      </w:r>
      <w:r w:rsidR="004D0B8A">
        <w:t>ifikant von dem aperiodischen Exponent in weiter Entfernung von der Zielposition</w:t>
      </w:r>
      <w:r w:rsidR="004810E6">
        <w:t>. Der l</w:t>
      </w:r>
      <w:r w:rsidR="004D0B8A">
        <w:t>ineare Zusammenhang zwischen dem aperiodischen Exponenten</w:t>
      </w:r>
      <w:r w:rsidR="004810E6">
        <w:t xml:space="preserve"> und der Tiefe der Elektrode unterscheidet sich jedoch signifikant von 0. Bei der zweiten Hypothese, dass die aperiodische Komponente des LFP-Signals mit </w:t>
      </w:r>
      <w:r w:rsidR="004D0B8A">
        <w:lastRenderedPageBreak/>
        <w:t>der Entfernung der Elektrode zu der Zielposition</w:t>
      </w:r>
      <w:r w:rsidR="004810E6">
        <w:t xml:space="preserve"> zusammenhängt, kann daher ebenfalls nur der zweite Teil der Hypothese angenommen werden.</w:t>
      </w:r>
      <w:r w:rsidR="00104D5F">
        <w:t xml:space="preserve"> In der Korrelationstabelle mit allen Korrelationen zwischen dem aperiodischen Exponenten, dem quadratischen Mittel, der Theta-, Alpha- und Betapower und der Tiefe zeigte sich, dass der Zusammenhang zwischen Thetapower und Tiefe sowie zwischen Alphapower und Tiefe ähnlich groß ist wie der Zusammenhang zwischen Tiefe und aperiodischem Exponenten. Bei einer multiplen linearen Regression war jedoch nur das quadratische Mittel ein </w:t>
      </w:r>
      <w:proofErr w:type="spellStart"/>
      <w:r w:rsidR="00104D5F">
        <w:t>signifkanter</w:t>
      </w:r>
      <w:proofErr w:type="spellEnd"/>
      <w:r w:rsidR="00104D5F">
        <w:t xml:space="preserve"> Prädiktor für die Tiefe. Die Betapower wurde hierbei gar nicht erst als Prädiktor verwendet, da der Zusammenhang zwischen der Betapower und der Tiefe nahe 0 war. Auch haben sich die Theta- und Alphapower in der Nähe der Zielposition nicht von der Theta- und Alphapower in weiter Entfernung von der Zielposition unterschieden.</w:t>
      </w:r>
      <w:r w:rsidR="00397851">
        <w:t xml:space="preserve"> Die Theorie, dass in den elektrophysiologischen Daten, die während der Operation durch Mikroelektroden-Aufzeichnungen der Testelektroden aufgezeichnet wurden, über alle Patient*innen Zusammen</w:t>
      </w:r>
      <w:r w:rsidR="00030E79">
        <w:t>hä</w:t>
      </w:r>
      <w:r w:rsidR="00397851">
        <w:t>ng</w:t>
      </w:r>
      <w:r w:rsidR="00030E79">
        <w:t xml:space="preserve">e zwischen den </w:t>
      </w:r>
      <w:r w:rsidR="004D0B8A">
        <w:t xml:space="preserve">oszillatorischen Aktivitätsmustern </w:t>
      </w:r>
      <w:r w:rsidR="00030E79">
        <w:t>und</w:t>
      </w:r>
      <w:r w:rsidR="00397851">
        <w:t xml:space="preserve"> der Position</w:t>
      </w:r>
      <w:r w:rsidR="00030E79">
        <w:t xml:space="preserve"> der Elektrode zu finden sind, kann daher nur teilweise angenommen werden. </w:t>
      </w:r>
    </w:p>
    <w:p w:rsidR="003E4BE1" w:rsidRDefault="00397851">
      <w:r>
        <w:t xml:space="preserve"> </w:t>
      </w:r>
      <w:r w:rsidR="002F55DE">
        <w:t xml:space="preserve">Die Tatsache, dass das quadratische Mittel in der Nähe </w:t>
      </w:r>
      <w:r w:rsidR="00080289">
        <w:t>des Zielposition</w:t>
      </w:r>
      <w:r w:rsidR="00430E9B">
        <w:t xml:space="preserve"> signifikant größer </w:t>
      </w:r>
      <w:r w:rsidR="00080289">
        <w:t>ist als in weiter Entfernung von der Zielposition</w:t>
      </w:r>
      <w:r w:rsidR="00430E9B">
        <w:t>, war zu erwarten, da diese Information während der Operation genutzt wird, um zu bestimmen, ob sich die Elektrode im STK befindet. Es konnte zusätzlich ein hoher linearer Zusammenhang von -0.35 zwischen der Tiefe der Elektrode und dem quadratischen Mittel gezeigt werden. Im Streudiagramm ist</w:t>
      </w:r>
      <w:r w:rsidR="00D95EBB">
        <w:t xml:space="preserve"> ein kleiner Sprung in den Daten zu sehen, dass bei Datenpunkten, deren Tiefe kleiner als 4 ist, das quadratische Mittel sichtbar steigt. An dieser Stelle liegt vermutlich der Eintritt der Elektrode in den STK. Dieser Sprung trägt sicherlich zu der hohen gefundenen Korrelation bei, die Daten deuten dennoch auf einen vorhandenen linearen Zusammenhang, auch außerhalb und innerhalb des STK. Da</w:t>
      </w:r>
      <w:r w:rsidR="00FB14CA">
        <w:t>ss die Betapower in der Nähe der Zielposition</w:t>
      </w:r>
      <w:r w:rsidR="00D95EBB">
        <w:t xml:space="preserve"> nicht signifikant größer </w:t>
      </w:r>
      <w:r w:rsidR="00FB14CA">
        <w:t>ist als in weiter Entfernung von</w:t>
      </w:r>
      <w:r w:rsidR="00D95EBB">
        <w:t xml:space="preserve"> </w:t>
      </w:r>
      <w:r w:rsidR="00FB14CA">
        <w:t>der Zielposition</w:t>
      </w:r>
      <w:r w:rsidR="00D95EBB">
        <w:t>, ist unerwartet, da diese Information bereits gut</w:t>
      </w:r>
      <w:r w:rsidR="00FB14CA">
        <w:t xml:space="preserve"> nachgewiesen werden konnte und</w:t>
      </w:r>
      <w:r w:rsidR="009F2C28">
        <w:t xml:space="preserve"> ebenfalls während der Operation genutzt wird, um die Nähe zum </w:t>
      </w:r>
      <w:proofErr w:type="spellStart"/>
      <w:r w:rsidR="009F2C28">
        <w:t>dorsolateralen</w:t>
      </w:r>
      <w:proofErr w:type="spellEnd"/>
      <w:r w:rsidR="009F2C28">
        <w:t xml:space="preserve"> Bereich zu schätzen. Der Zusammenhang zwischen der Betapower und der Tiefe der Elektrode war von allen Korrelationen sogar die deutlich kleinste. </w:t>
      </w:r>
      <w:r w:rsidR="00D33CC9">
        <w:t>Es besteht die Möglichkeit, dass die Methoden zur Untersuchung dieses Zusammenhang</w:t>
      </w:r>
      <w:r w:rsidR="005F71FB">
        <w:t>s nicht passend gewählt wurden. S</w:t>
      </w:r>
      <w:r w:rsidR="00AD619B">
        <w:t>owohl der Vergleich zwisch</w:t>
      </w:r>
      <w:r w:rsidR="00B77D49">
        <w:t>en der Betapower in der Nähe der Zielposition</w:t>
      </w:r>
      <w:r w:rsidR="00AD619B">
        <w:t xml:space="preserve"> und der Be</w:t>
      </w:r>
      <w:r w:rsidR="002218C5">
        <w:t>tapower in weiter Entfernung von der Zielposition</w:t>
      </w:r>
      <w:r w:rsidR="00AD619B">
        <w:t xml:space="preserve"> als auch die lineare Korrelation zwischen der Betapower und der Tiefe der Elektrode</w:t>
      </w:r>
      <w:r w:rsidR="005F71FB">
        <w:t xml:space="preserve"> könnten</w:t>
      </w:r>
      <w:r w:rsidR="00AD619B">
        <w:t xml:space="preserve"> ungeeignet gewesen sein</w:t>
      </w:r>
      <w:r w:rsidR="00CE7D6F">
        <w:t>, um den gesuchten Zusammenhang darzustellen. Falls die Betapower nur innerhalb des STK größer wird, je nähe</w:t>
      </w:r>
      <w:r w:rsidR="00080289">
        <w:t xml:space="preserve">r die Elektrode zu der Zielposition </w:t>
      </w:r>
      <w:r w:rsidR="00CE7D6F">
        <w:t>kommt, dann</w:t>
      </w:r>
      <w:r w:rsidR="005F71FB">
        <w:t xml:space="preserve"> würden beide</w:t>
      </w:r>
      <w:r w:rsidR="00CE7D6F">
        <w:t xml:space="preserve"> Methoden keinen Zusammenhang finden.</w:t>
      </w:r>
      <w:r w:rsidR="005F71FB">
        <w:t xml:space="preserve"> </w:t>
      </w:r>
      <w:r w:rsidR="00AD619B">
        <w:t xml:space="preserve"> </w:t>
      </w:r>
      <w:r w:rsidR="000716BE">
        <w:t xml:space="preserve">Die Korrelation zwischen der Betapower und der Tiefe der Elektrode nach Kendalls-Tau für diejenigen Datensätze, deren Tiefe kleiner als 4 ist, ist mit -0.0079 jedoch nur marginal größer als zuvor und spricht gegen diese Vermutung. Da </w:t>
      </w:r>
      <w:proofErr w:type="spellStart"/>
      <w:r w:rsidR="000716BE">
        <w:t>Telkes</w:t>
      </w:r>
      <w:proofErr w:type="spellEnd"/>
      <w:r w:rsidR="000716BE">
        <w:t xml:space="preserve"> et al. (2020) Unterschiede zwischen der Power im </w:t>
      </w:r>
      <w:proofErr w:type="spellStart"/>
      <w:r w:rsidR="000716BE">
        <w:t>low-betaband</w:t>
      </w:r>
      <w:proofErr w:type="spellEnd"/>
      <w:r w:rsidR="000716BE">
        <w:t xml:space="preserve"> und im high-</w:t>
      </w:r>
      <w:proofErr w:type="spellStart"/>
      <w:r w:rsidR="000716BE">
        <w:t>betaband</w:t>
      </w:r>
      <w:proofErr w:type="spellEnd"/>
      <w:r w:rsidR="000716BE">
        <w:t xml:space="preserve"> gefunden haben, wurde das </w:t>
      </w:r>
      <w:proofErr w:type="spellStart"/>
      <w:r w:rsidR="000716BE">
        <w:t>Betaband</w:t>
      </w:r>
      <w:proofErr w:type="spellEnd"/>
      <w:r w:rsidR="000716BE">
        <w:t xml:space="preserve"> nachträglich in 13 – 20 Hz für </w:t>
      </w:r>
      <w:proofErr w:type="spellStart"/>
      <w:r w:rsidR="000716BE">
        <w:t>low</w:t>
      </w:r>
      <w:proofErr w:type="spellEnd"/>
      <w:r w:rsidR="000716BE">
        <w:t>-beta und 20 – 30 Hz für high-beta eingeteilt. Um zu überprüfen</w:t>
      </w:r>
      <w:r w:rsidR="00465A31">
        <w:t xml:space="preserve">, ob in einem dieser Teilbereiche des Betabands ein Zusammenhang zu der Position der Elektrode besteht, wurden sämtliche statistischen Analysen mit den neuen Kategorien wiederholt. </w:t>
      </w:r>
      <w:r w:rsidR="00C16DA5">
        <w:t xml:space="preserve">Als erstes wurden dafür rechtsseitige </w:t>
      </w:r>
      <w:r w:rsidR="00C16DA5" w:rsidRPr="00C16DA5">
        <w:rPr>
          <w:i/>
        </w:rPr>
        <w:t>t</w:t>
      </w:r>
      <w:r w:rsidR="00C16DA5">
        <w:t xml:space="preserve">-tests für abhängige Stichproben durchgeführt, um zu überprüfen, ob die Power im </w:t>
      </w:r>
      <w:proofErr w:type="spellStart"/>
      <w:r w:rsidR="00C16DA5">
        <w:t>low-betaband</w:t>
      </w:r>
      <w:proofErr w:type="spellEnd"/>
      <w:r w:rsidR="00C16DA5">
        <w:t xml:space="preserve"> oder im high-</w:t>
      </w:r>
      <w:proofErr w:type="spellStart"/>
      <w:r w:rsidR="00C16DA5">
        <w:t>betaband</w:t>
      </w:r>
      <w:proofErr w:type="spellEnd"/>
      <w:r w:rsidR="00C16DA5">
        <w:t xml:space="preserve"> in der Bedingung „nah“ größer ist als in der Bedingung „fern“. Sowohl für die </w:t>
      </w:r>
      <w:proofErr w:type="spellStart"/>
      <w:r w:rsidR="00C16DA5">
        <w:t>low</w:t>
      </w:r>
      <w:proofErr w:type="spellEnd"/>
      <w:r w:rsidR="00C16DA5">
        <w:t>-betapower (</w:t>
      </w:r>
      <w:r w:rsidR="00C16DA5" w:rsidRPr="00C16DA5">
        <w:rPr>
          <w:i/>
        </w:rPr>
        <w:t>t</w:t>
      </w:r>
      <w:r w:rsidR="00C16DA5">
        <w:t xml:space="preserve"> = 0.09; </w:t>
      </w:r>
      <w:r w:rsidR="00C16DA5" w:rsidRPr="00C16DA5">
        <w:rPr>
          <w:i/>
        </w:rPr>
        <w:t>p</w:t>
      </w:r>
      <w:r w:rsidR="00C16DA5">
        <w:t xml:space="preserve"> = 0.47) als auch für die high-betapower (</w:t>
      </w:r>
      <w:r w:rsidR="00C16DA5" w:rsidRPr="00C16DA5">
        <w:rPr>
          <w:i/>
        </w:rPr>
        <w:t>t</w:t>
      </w:r>
      <w:r w:rsidR="00C16DA5">
        <w:t xml:space="preserve"> = -0.43; </w:t>
      </w:r>
      <w:r w:rsidR="00C16DA5" w:rsidRPr="00C16DA5">
        <w:rPr>
          <w:i/>
        </w:rPr>
        <w:t>p</w:t>
      </w:r>
      <w:r w:rsidR="002218C5">
        <w:t xml:space="preserve"> = 0.67) </w:t>
      </w:r>
      <w:r w:rsidR="00C16DA5">
        <w:t>trifft diese Annahme ebenfalls nicht zu.</w:t>
      </w:r>
      <w:r w:rsidR="00D22916">
        <w:t xml:space="preserve"> Die Korrelation nach Kendalls-Tau zwischen der </w:t>
      </w:r>
      <w:proofErr w:type="spellStart"/>
      <w:r w:rsidR="00D22916">
        <w:t>low</w:t>
      </w:r>
      <w:proofErr w:type="spellEnd"/>
      <w:r w:rsidR="00D22916">
        <w:t xml:space="preserve">-betapower und der Tiefe der Elektrode ist mit 0.029 größer als zuvor, aber in die falsche Richtung. Die Korrelation nach Kendalls-Tau zwischen der high-betapower und der Tiefe der Elektrode ist mit -0.013 nur minimal größer als zuvor, zeigt aber in die richtige Richtung. Werden nur die Datensätze genommen mit einer Tiefe, die kleiner als 4 ist, wird die Korrelation nach Kendalls-Tau zwischen </w:t>
      </w:r>
      <w:proofErr w:type="spellStart"/>
      <w:r w:rsidR="00D22916">
        <w:t>low</w:t>
      </w:r>
      <w:proofErr w:type="spellEnd"/>
      <w:r w:rsidR="00D22916">
        <w:t xml:space="preserve">-betapower und Tiefe </w:t>
      </w:r>
      <w:r w:rsidR="00D22916">
        <w:lastRenderedPageBreak/>
        <w:t>der Elektrode negativ (-0.029). Ein Korrelationstest für diesen Zusammenhang ergibt, dass er sich dennoch nicht signifikant von 0 Unterscheidet (</w:t>
      </w:r>
      <w:r w:rsidR="00D22916" w:rsidRPr="00D22916">
        <w:rPr>
          <w:i/>
        </w:rPr>
        <w:t>z</w:t>
      </w:r>
      <w:r w:rsidR="00D22916">
        <w:t xml:space="preserve"> = -1.458; </w:t>
      </w:r>
      <w:r w:rsidR="00D22916" w:rsidRPr="00D22916">
        <w:rPr>
          <w:i/>
        </w:rPr>
        <w:t>p</w:t>
      </w:r>
      <w:r w:rsidR="00D22916">
        <w:t xml:space="preserve"> = 0.07). Die Korrelation nach Kendalls Tau zwischen der high-betapower und der Tiefe der Elektrode für die Datensätze mit einer Tiefe, die kleiner als 4 ist, ist mit 0.0</w:t>
      </w:r>
      <w:r w:rsidR="003E4BE1">
        <w:t>07 ebenfalls genauso niedrig wie</w:t>
      </w:r>
      <w:r w:rsidR="00D22916">
        <w:t xml:space="preserve"> zuvor. </w:t>
      </w:r>
    </w:p>
    <w:p w:rsidR="005F71FB" w:rsidRDefault="003E4BE1">
      <w:r>
        <w:t>Eine anderer möglicher Fehler</w:t>
      </w:r>
      <w:r w:rsidR="002A5B77">
        <w:t xml:space="preserve"> </w:t>
      </w:r>
      <w:r>
        <w:t xml:space="preserve">ist, dass </w:t>
      </w:r>
      <w:r w:rsidR="005F71FB">
        <w:t>der FOOOF-Algorithmus nicht so funktioniert</w:t>
      </w:r>
      <w:r>
        <w:t xml:space="preserve"> hat</w:t>
      </w:r>
      <w:r w:rsidR="00616DBA">
        <w:t>, wie es erwartet war</w:t>
      </w:r>
      <w:r w:rsidR="005F71FB">
        <w:t>, oder es sind relevante Datensätze bei der Datenbereinigung entfernt worden.</w:t>
      </w:r>
      <w:r w:rsidR="00003C21">
        <w:t xml:space="preserve"> </w:t>
      </w:r>
      <w:r w:rsidR="00616DBA">
        <w:t xml:space="preserve">Um zu überprüfen, ob durch den FOOOF-Algorithmus dieses unerwartete Ergebnis entstanden ist, wurde </w:t>
      </w:r>
      <w:r w:rsidR="005E28DA">
        <w:t xml:space="preserve">in einem weiteren selbsterstellten </w:t>
      </w:r>
      <w:proofErr w:type="spellStart"/>
      <w:r w:rsidR="005E28DA">
        <w:t>Matlab</w:t>
      </w:r>
      <w:proofErr w:type="spellEnd"/>
      <w:r w:rsidR="005E28DA">
        <w:t xml:space="preserve">-Skript </w:t>
      </w:r>
      <w:r w:rsidR="00616DBA">
        <w:t xml:space="preserve">ein neuer Datensatz erstellt, bei dem nicht vom originalen Powerspektrum die geschätzte aperiodische Komponente abgezogen wurde. Die Betapower wurde folglich mit dem originalen Powerspektrum nochmal berechnet, um damit die Hypothese 1.1 erneut zu testen. </w:t>
      </w:r>
      <w:r w:rsidR="005E28DA">
        <w:t>Da hierbei keine Daten verwendet werden, die der FOOOF-Algorithmus berechnet hat, mussten auch keine Daten aussortiert werden, die vom FOOOF-Algorithmus schlecht geschätzt waren. Die Kanäle, die eine Tiefe von größer gleich 10 oder kleiner -3 haben, wurden wieder entfer</w:t>
      </w:r>
      <w:r w:rsidR="00AB5A7E">
        <w:t>nt. Dabei sind diesmal</w:t>
      </w:r>
      <w:r w:rsidR="005E28DA">
        <w:t xml:space="preserve"> 466 Kanäle gelöscht worden, sodass noch 2575 Kanäle übrig geblieben sind.</w:t>
      </w:r>
      <w:r w:rsidR="00FF7D0D">
        <w:t xml:space="preserve"> Der Shapiro-Wilk-Test für die Differenzen zwischen der Betapower in der Bedingung „nah“ und der Betapower in der Bedingung „fern“ ist auch für die Werte des originalen Powerspektrums nicht signifikant auf 5% Signifikanzniveau (</w:t>
      </w:r>
      <w:r w:rsidR="00FF7D0D" w:rsidRPr="009F2646">
        <w:rPr>
          <w:i/>
        </w:rPr>
        <w:t>W</w:t>
      </w:r>
      <w:r w:rsidR="00FF7D0D">
        <w:t xml:space="preserve"> = 0.99; </w:t>
      </w:r>
      <w:r w:rsidR="00FF7D0D" w:rsidRPr="009F2646">
        <w:rPr>
          <w:i/>
        </w:rPr>
        <w:t>p</w:t>
      </w:r>
      <w:r w:rsidR="00FF7D0D">
        <w:t xml:space="preserve"> = 0.94). Um den ersten Teil der ersten Hypothese zu überprüfen, dass die Power im </w:t>
      </w:r>
      <w:proofErr w:type="spellStart"/>
      <w:r w:rsidR="00FF7D0D">
        <w:t>Betaband</w:t>
      </w:r>
      <w:proofErr w:type="spellEnd"/>
      <w:r w:rsidR="00FF7D0D">
        <w:t xml:space="preserve"> </w:t>
      </w:r>
      <w:r w:rsidR="00AB5A7E">
        <w:t>des LFP in der Nähe der Zielposition</w:t>
      </w:r>
      <w:r w:rsidR="00FF7D0D">
        <w:t xml:space="preserve"> größer ist als in weiter Entfernu</w:t>
      </w:r>
      <w:r w:rsidR="00AB5A7E">
        <w:t>ng von der Zielposition</w:t>
      </w:r>
      <w:r w:rsidR="00FF7D0D">
        <w:t xml:space="preserve">, wurde daher erneut ein rechtsseitiger </w:t>
      </w:r>
      <w:r w:rsidR="00FF7D0D" w:rsidRPr="00D66911">
        <w:rPr>
          <w:i/>
        </w:rPr>
        <w:t>t</w:t>
      </w:r>
      <w:r w:rsidR="00FF7D0D">
        <w:t xml:space="preserve">-Test für abhängige Stichproben auf 5% Signifikanzniveau gerechnet. Der Mittelwert der Differenzen beträgt in diesem Fall 0.43. Der entsprechende </w:t>
      </w:r>
      <w:r w:rsidR="00FF7D0D" w:rsidRPr="008D4B6A">
        <w:rPr>
          <w:i/>
        </w:rPr>
        <w:t>t</w:t>
      </w:r>
      <w:r w:rsidR="00FF7D0D">
        <w:t>-Test ergab, dass der Mittelwert der Betapower in der Bedingung „nah“ auf 5% Signifikanzniveau signifikant größer ist als der Mittelwert der Betapower in der Bedingung „fern“ (</w:t>
      </w:r>
      <w:r w:rsidR="00FF7D0D" w:rsidRPr="00912E0E">
        <w:rPr>
          <w:i/>
        </w:rPr>
        <w:t>t</w:t>
      </w:r>
      <w:r w:rsidR="00FF7D0D">
        <w:t xml:space="preserve">(29) = 2.04; </w:t>
      </w:r>
      <w:r w:rsidR="00FF7D0D" w:rsidRPr="00912E0E">
        <w:rPr>
          <w:i/>
        </w:rPr>
        <w:t>p</w:t>
      </w:r>
      <w:r w:rsidR="00FF7D0D">
        <w:t xml:space="preserve"> = 0.03). Der bereits gu</w:t>
      </w:r>
      <w:r w:rsidR="00AB5A7E">
        <w:t>t nachgewiesene Befund, dass</w:t>
      </w:r>
      <w:r w:rsidR="00FF7D0D">
        <w:t xml:space="preserve"> die Betapower in der Nähe </w:t>
      </w:r>
      <w:r w:rsidR="00AB5A7E">
        <w:t>der Zielposition</w:t>
      </w:r>
      <w:r w:rsidR="00E00DBC">
        <w:t xml:space="preserve"> größer ist als </w:t>
      </w:r>
      <w:r w:rsidR="00AB5A7E">
        <w:t>in weiter Entfernung von der</w:t>
      </w:r>
      <w:r w:rsidR="00E00DBC">
        <w:t xml:space="preserve"> </w:t>
      </w:r>
      <w:r w:rsidR="00AB5A7E">
        <w:t>Zielposition</w:t>
      </w:r>
      <w:r w:rsidR="00E00DBC">
        <w:t xml:space="preserve">, hätte demnach mit dem originalen Powerspektrum gefunden werden können. Das bedeutet, dass durch einen Prozess bei der Benutzung des FOOOF-Algorithmus, die Daten auf eine Weise verändert wurden, die nicht erwartet war. Entweder die Betapower wurde kleiner gemacht als sie es im originalen Powerspektrum ist oder die Kanäle, die wegen einer schlechten Schätzung des FOOOF-Algorithmus entfernt worden sind, hatten eine besonders große Betapower. </w:t>
      </w:r>
      <w:r w:rsidR="00D45D71">
        <w:t>Letzteres lässt sich überprüfen, indem die 30 Kanäle verglichen werden, die für den Vergleich zwischen der Bedingung „nah“ und der Bedingung „fern“</w:t>
      </w:r>
      <w:r w:rsidR="00F23AD3">
        <w:t xml:space="preserve"> zum einen für das originale Powerspektrum und zum anderen für das Powerspektrum, von dem die geschätzte a</w:t>
      </w:r>
      <w:r w:rsidR="00B716D2">
        <w:t>periodische Komponente</w:t>
      </w:r>
      <w:r w:rsidR="00F23AD3">
        <w:t xml:space="preserve"> abgezogen wurde, gewählt worden sind. </w:t>
      </w:r>
      <w:r w:rsidR="00615268">
        <w:t>Wie in de</w:t>
      </w:r>
      <w:r w:rsidR="008072CF">
        <w:t>r Abbildung 15</w:t>
      </w:r>
      <w:r w:rsidR="00927A54">
        <w:t xml:space="preserve"> sichtbar ist, unterscheiden sich die Kanäle, die im Falle des originalen Powerspektrums für die Bedingungen „nah“ und fern“ ausgewählt wurden, von den Kanälen, die für diese Bedingungen ausgewählt wurden, nachdem der FOOOF</w:t>
      </w:r>
      <w:r w:rsidR="00B716D2">
        <w:t>-Algorithmus</w:t>
      </w:r>
      <w:r w:rsidR="00927A54">
        <w:t xml:space="preserve"> angewendet wurde. Das bedeutet, dass bei der Bereinigung von denjenigen Daten, die vom FOOOF</w:t>
      </w:r>
      <w:r w:rsidR="00B716D2">
        <w:t>-Algorithmus</w:t>
      </w:r>
      <w:r w:rsidR="00927A54">
        <w:t xml:space="preserve"> schlecht geschätzt worden sind, Kanäle d</w:t>
      </w:r>
      <w:r w:rsidR="00080289">
        <w:t>abei waren, die besonders nah an der Zielposition</w:t>
      </w:r>
      <w:r w:rsidR="00927A54">
        <w:t xml:space="preserve"> waren oder besonders weit davon entfernt. Der Mittelwert der Betapower in der Bedingung „nah“ für das originale Powerspektrum ist 0.06, während er für die Betapower in der Bedingung „nah“ nach Anwendung des FOOOF</w:t>
      </w:r>
      <w:r w:rsidR="003C24C5">
        <w:t>-Algorithmus</w:t>
      </w:r>
      <w:r w:rsidR="00927A54">
        <w:t xml:space="preserve"> -0.05 beträgt. Für die Betapower in der Bedingung „fern“ beträgt der Mittelwert für das originale Spektrum -0.37 und für das Powerspektrum nach Anwendung des FOOOF</w:t>
      </w:r>
      <w:r w:rsidR="000F3E58">
        <w:t>-Algorithmus</w:t>
      </w:r>
      <w:r w:rsidR="00927A54">
        <w:t xml:space="preserve"> -0.028. Es wurden demnach ausgerechnet die Kanäle </w:t>
      </w:r>
      <w:r w:rsidR="00E17D48">
        <w:t>aussortiert, die in der Nähe der Zielposition</w:t>
      </w:r>
      <w:r w:rsidR="00927A54">
        <w:t xml:space="preserve"> eine größ</w:t>
      </w:r>
      <w:r w:rsidR="00E17D48">
        <w:t>ere und in weiter Entfernung von der Zielposition</w:t>
      </w:r>
      <w:r w:rsidR="00927A54">
        <w:t xml:space="preserve"> eine kleinere Betapower aufweisen.</w:t>
      </w:r>
      <w:r w:rsidR="008108A7">
        <w:t xml:space="preserve"> Wir führen denselben Test noch ein weiteres Mal durch, nur dass der FOOOF</w:t>
      </w:r>
      <w:r w:rsidR="00E17D48">
        <w:t>-Algorithmus</w:t>
      </w:r>
      <w:r w:rsidR="008108A7">
        <w:t xml:space="preserve"> angewendet wird und die Kanäle, die wir aussorti</w:t>
      </w:r>
      <w:r w:rsidR="00503B13">
        <w:t>ert haben, diesmal drin bleiben. Damit bekommen wir</w:t>
      </w:r>
      <w:r w:rsidR="008108A7">
        <w:t xml:space="preserve"> einen Eindru</w:t>
      </w:r>
      <w:r w:rsidR="00503B13">
        <w:t>ck dafür</w:t>
      </w:r>
      <w:r w:rsidR="008108A7">
        <w:t>, ob der gleiche Effekt auch d</w:t>
      </w:r>
      <w:r w:rsidR="00503B13">
        <w:t>ann noch gefunden werden könnte, wenn dieselben Kanäle genutzt werden wie die, die beim originalen Spektrum genutzt wurden, der FOOOF</w:t>
      </w:r>
      <w:r w:rsidR="00E17D48">
        <w:t>-Algorithmus</w:t>
      </w:r>
      <w:r w:rsidR="00503B13">
        <w:t xml:space="preserve"> aber trotzdem angewendet wird.</w:t>
      </w:r>
      <w:r w:rsidR="0026647E">
        <w:t xml:space="preserve"> Der Shapiro-</w:t>
      </w:r>
      <w:r w:rsidR="0026647E">
        <w:lastRenderedPageBreak/>
        <w:t>Wilk-Test für die Differenzen zwischen der Betapower in der Bedingung „nah“ und der Betapower in der Bedingung „fern“ für die Werte des unbereinigten Powerspektrums ohne aperiodische Komponente wurde nicht signifikant auf 5% Signifikanzniveau (</w:t>
      </w:r>
      <w:r w:rsidR="0026647E" w:rsidRPr="009F2646">
        <w:rPr>
          <w:i/>
        </w:rPr>
        <w:t>W</w:t>
      </w:r>
      <w:r w:rsidR="0026647E">
        <w:t xml:space="preserve"> = 0.98; </w:t>
      </w:r>
      <w:r w:rsidR="0026647E" w:rsidRPr="009F2646">
        <w:rPr>
          <w:i/>
        </w:rPr>
        <w:t>p</w:t>
      </w:r>
      <w:r w:rsidR="0026647E">
        <w:t xml:space="preserve"> = 0.81). Es wurde erneut ein rechtsseitiger </w:t>
      </w:r>
      <w:r w:rsidR="0026647E" w:rsidRPr="00D66911">
        <w:rPr>
          <w:i/>
        </w:rPr>
        <w:t>t</w:t>
      </w:r>
      <w:r w:rsidR="0026647E">
        <w:t xml:space="preserve">-Test für abhängige Stichproben auf 5% Signifikanzniveau gerechnet. Der Mittelwert der Differenzen beträgt in diesem Fall 0.18. Der entsprechende </w:t>
      </w:r>
      <w:r w:rsidR="0026647E" w:rsidRPr="008D4B6A">
        <w:rPr>
          <w:i/>
        </w:rPr>
        <w:t>t</w:t>
      </w:r>
      <w:r w:rsidR="0026647E">
        <w:t>-Test ergab, dass der Mittelwert der Betapower in der Bedingung „nah“ auf 5% Signifikanzniveau nicht signifikant größer ist als der Mittelwert der Betapower in der Bedingung „fern“ (</w:t>
      </w:r>
      <w:r w:rsidR="0026647E" w:rsidRPr="00912E0E">
        <w:rPr>
          <w:i/>
        </w:rPr>
        <w:t>t</w:t>
      </w:r>
      <w:r w:rsidR="0026647E">
        <w:t xml:space="preserve">(29) = 0.76; </w:t>
      </w:r>
      <w:r w:rsidR="0026647E" w:rsidRPr="00912E0E">
        <w:rPr>
          <w:i/>
        </w:rPr>
        <w:t>p</w:t>
      </w:r>
      <w:r w:rsidR="0026647E">
        <w:t xml:space="preserve"> = 0.23). </w:t>
      </w:r>
      <w:r w:rsidR="008072CF">
        <w:t>Wie in der Abbildung 16 zu sehen ist zeigt der Unterschied</w:t>
      </w:r>
      <w:r w:rsidR="0026647E">
        <w:t xml:space="preserve"> zwischen</w:t>
      </w:r>
      <w:r w:rsidR="008072CF">
        <w:t xml:space="preserve"> den </w:t>
      </w:r>
      <w:proofErr w:type="spellStart"/>
      <w:r w:rsidR="008072CF">
        <w:t>Mittwelwerten</w:t>
      </w:r>
      <w:proofErr w:type="spellEnd"/>
      <w:r w:rsidR="0026647E">
        <w:t xml:space="preserve"> der Position der E</w:t>
      </w:r>
      <w:r w:rsidR="008072CF">
        <w:t>lektrode und der Betapower diesmal</w:t>
      </w:r>
      <w:r w:rsidR="0026647E">
        <w:t xml:space="preserve"> in die erwartete Richtung, ist aber deutlich kleiner geworden, nachdem </w:t>
      </w:r>
      <w:r w:rsidR="006E732E">
        <w:t xml:space="preserve">die geschätzte aperiodische Komponente vom originalen Powerspektrum abgezogen wurde. </w:t>
      </w:r>
      <w:r w:rsidR="00124FD4">
        <w:t>Dies spricht dafür, dass der</w:t>
      </w:r>
      <w:r w:rsidR="006E732E">
        <w:t xml:space="preserve"> FOOOF-Algorithmus durch einen systematischen Fehler</w:t>
      </w:r>
      <w:r w:rsidR="004000B0">
        <w:t xml:space="preserve"> die Betapower, die in Abhängigkeit von der Betapower innerhalb der jeweiligen Patient*innen z-standardisiert wurde, in der Bedingung „nah“ kleiner gemacht hat in Relation zu der Bedingung „fern“.</w:t>
      </w:r>
      <w:r w:rsidR="006E072C">
        <w:t xml:space="preserve"> Daher wurde</w:t>
      </w:r>
      <w:r w:rsidR="004000B0">
        <w:t>n zwei</w:t>
      </w:r>
      <w:r w:rsidR="006E072C">
        <w:t xml:space="preserve"> weitere Abbildung</w:t>
      </w:r>
      <w:r w:rsidR="004000B0">
        <w:t>en</w:t>
      </w:r>
      <w:r w:rsidR="00483437">
        <w:t xml:space="preserve"> erstellt, in denen die 30 Datensätze in der Bedingung „nah“ und in der Bedingung „fern“ dargestellt werden.</w:t>
      </w:r>
      <w:r w:rsidR="006E072C">
        <w:t xml:space="preserve"> In </w:t>
      </w:r>
      <w:r w:rsidR="004000B0">
        <w:t xml:space="preserve">den </w:t>
      </w:r>
      <w:r w:rsidR="006E072C">
        <w:t>Abbildung</w:t>
      </w:r>
      <w:r w:rsidR="004000B0">
        <w:t>en</w:t>
      </w:r>
      <w:r w:rsidR="008072CF">
        <w:t xml:space="preserve"> 17</w:t>
      </w:r>
      <w:r w:rsidR="006E072C">
        <w:t xml:space="preserve"> </w:t>
      </w:r>
      <w:r w:rsidR="008072CF">
        <w:t>und 18</w:t>
      </w:r>
      <w:bookmarkStart w:id="0" w:name="_GoBack"/>
      <w:bookmarkEnd w:id="0"/>
      <w:r w:rsidR="004000B0">
        <w:t xml:space="preserve"> </w:t>
      </w:r>
      <w:r w:rsidR="006E072C">
        <w:t>werden dabei das originale Powerspektrum und die geschätzte aperiodische Komponente der</w:t>
      </w:r>
      <w:r w:rsidR="00483437">
        <w:t xml:space="preserve"> </w:t>
      </w:r>
      <w:r w:rsidR="006E072C">
        <w:t xml:space="preserve">Kanäle </w:t>
      </w:r>
      <w:r w:rsidR="00483437">
        <w:t>gezeigt, die</w:t>
      </w:r>
      <w:r w:rsidR="006E072C">
        <w:t xml:space="preserve"> ausgewählt werden, wenn vorher nicht die Kanäle entfernt werden, die eine schlechte Passung haben. Es wird deutlich, dass in diesen spezifischen Kanälen, die für den Vergleich mittels </w:t>
      </w:r>
      <w:r w:rsidR="006E072C" w:rsidRPr="006E072C">
        <w:rPr>
          <w:i/>
        </w:rPr>
        <w:t>t</w:t>
      </w:r>
      <w:r w:rsidR="006E072C">
        <w:t>-test ausgewählt wurden</w:t>
      </w:r>
      <w:r w:rsidR="004000B0">
        <w:t>, insbesondere in der Bedingung „nah“ durch eine schlechte Passung zwischen dem originalen Powerspektrum und der geschätzten aperiodischen Komponente</w:t>
      </w:r>
      <w:r w:rsidR="005643EF">
        <w:t xml:space="preserve"> die aperiodische Komponente die Betapower „abgeschnitten“ hat. Da in der Bedingung „fern“ in der Regel keine größeren Peaks in der Power des Betabands existieren, wurde dort weniger Betapower „abgeschnitten“, sodass der Abstand zwischen der Betapower in der Bedingung „nah“ und der Bedingung „fern“ kleiner wurde. Daraus lässt sich schließen, dass die aperiodische Komponente oft nicht so berechnet wurde, wie es der tatsächlichen aperiodischen Komponente vermutlich entsprechen würde. Die Untersuchungen, die durchgeführt worden sind, um den Zusammenhang zwischen der aperiodischen Komponente und de</w:t>
      </w:r>
      <w:r w:rsidR="00B86607">
        <w:t xml:space="preserve">r Position der Elektrode zu überprüfen, sind daher wenig aussagekräftig. In zukünftiger Forschung sollte dieser Frage erneut nachgegangen werden, nur mit einem besser funktionierenden FOOOF-Algorithmus. </w:t>
      </w:r>
    </w:p>
    <w:p w:rsidR="006E732E" w:rsidRDefault="006E732E"/>
    <w:p w:rsidR="00BD0535" w:rsidRPr="00DF6E10" w:rsidRDefault="00BD0535">
      <w:r w:rsidRPr="00DF6E10">
        <w:br w:type="page"/>
      </w:r>
    </w:p>
    <w:p w:rsidR="00F9011C" w:rsidRPr="001C57BB" w:rsidRDefault="00BD0535" w:rsidP="00F9011C">
      <w:pPr>
        <w:rPr>
          <w:lang w:val="en-US"/>
        </w:rPr>
      </w:pPr>
      <w:r w:rsidRPr="001C57BB">
        <w:rPr>
          <w:lang w:val="en-US"/>
        </w:rPr>
        <w:lastRenderedPageBreak/>
        <w:t xml:space="preserve">5. </w:t>
      </w:r>
      <w:proofErr w:type="spellStart"/>
      <w:r w:rsidRPr="001C57BB">
        <w:rPr>
          <w:lang w:val="en-US"/>
        </w:rPr>
        <w:t>Literatur</w:t>
      </w:r>
      <w:proofErr w:type="spellEnd"/>
      <w:r w:rsidRPr="001C57BB">
        <w:rPr>
          <w:lang w:val="en-US"/>
        </w:rPr>
        <w:t xml:space="preserve"> </w:t>
      </w:r>
    </w:p>
    <w:p w:rsidR="00E704C7" w:rsidRDefault="00E704C7" w:rsidP="00F9011C">
      <w:pPr>
        <w:rPr>
          <w:lang w:val="en-US"/>
        </w:rPr>
      </w:pPr>
      <w:r w:rsidRPr="001C57BB">
        <w:rPr>
          <w:lang w:val="en-US"/>
        </w:rPr>
        <w:t xml:space="preserve">Cohen, M. X. (2021). </w:t>
      </w:r>
      <w:r w:rsidRPr="002C0AF9">
        <w:rPr>
          <w:lang w:val="en-US"/>
        </w:rPr>
        <w:t>A data-driven method to identify frequency boundaries in multichanne</w:t>
      </w:r>
      <w:r w:rsidRPr="00E704C7">
        <w:rPr>
          <w:lang w:val="en-US"/>
        </w:rPr>
        <w:t>l electrophysiology data. </w:t>
      </w:r>
      <w:r w:rsidRPr="002C0AF9">
        <w:rPr>
          <w:i/>
          <w:iCs/>
          <w:lang w:val="en-US"/>
        </w:rPr>
        <w:t>Journal of Neuroscience Methods</w:t>
      </w:r>
      <w:r w:rsidRPr="002C0AF9">
        <w:rPr>
          <w:lang w:val="en-US"/>
        </w:rPr>
        <w:t>, </w:t>
      </w:r>
      <w:r w:rsidRPr="002C0AF9">
        <w:rPr>
          <w:i/>
          <w:iCs/>
          <w:lang w:val="en-US"/>
        </w:rPr>
        <w:t>347</w:t>
      </w:r>
      <w:r w:rsidRPr="002C0AF9">
        <w:rPr>
          <w:lang w:val="en-US"/>
        </w:rPr>
        <w:t>, 108949.</w:t>
      </w:r>
    </w:p>
    <w:p w:rsidR="00A045D7" w:rsidRDefault="00A045D7" w:rsidP="00F9011C">
      <w:pPr>
        <w:rPr>
          <w:lang w:val="en-US"/>
        </w:rPr>
      </w:pPr>
      <w:r w:rsidRPr="00503E2D">
        <w:rPr>
          <w:lang w:val="en-US"/>
        </w:rPr>
        <w:t xml:space="preserve">Cole, S. R., van der </w:t>
      </w:r>
      <w:proofErr w:type="spellStart"/>
      <w:r w:rsidRPr="00503E2D">
        <w:rPr>
          <w:lang w:val="en-US"/>
        </w:rPr>
        <w:t>Meij</w:t>
      </w:r>
      <w:proofErr w:type="spellEnd"/>
      <w:r w:rsidRPr="00503E2D">
        <w:rPr>
          <w:lang w:val="en-US"/>
        </w:rPr>
        <w:t xml:space="preserve">, R., Peterson, E. J., de </w:t>
      </w:r>
      <w:proofErr w:type="spellStart"/>
      <w:r w:rsidRPr="00503E2D">
        <w:rPr>
          <w:lang w:val="en-US"/>
        </w:rPr>
        <w:t>Hemptinne</w:t>
      </w:r>
      <w:proofErr w:type="spellEnd"/>
      <w:r w:rsidRPr="00503E2D">
        <w:rPr>
          <w:lang w:val="en-US"/>
        </w:rPr>
        <w:t xml:space="preserve">, C., Starr, P. A. &amp; </w:t>
      </w:r>
      <w:proofErr w:type="spellStart"/>
      <w:r w:rsidRPr="00503E2D">
        <w:rPr>
          <w:lang w:val="en-US"/>
        </w:rPr>
        <w:t>Voytek</w:t>
      </w:r>
      <w:proofErr w:type="spellEnd"/>
      <w:r w:rsidRPr="00503E2D">
        <w:rPr>
          <w:lang w:val="en-US"/>
        </w:rPr>
        <w:t xml:space="preserve">, B. (2017). </w:t>
      </w:r>
      <w:proofErr w:type="spellStart"/>
      <w:r w:rsidRPr="007B13F9">
        <w:rPr>
          <w:lang w:val="en-US"/>
        </w:rPr>
        <w:t>Nonsin</w:t>
      </w:r>
      <w:r w:rsidRPr="00C62577">
        <w:rPr>
          <w:lang w:val="en-US"/>
        </w:rPr>
        <w:t>usoidal</w:t>
      </w:r>
      <w:proofErr w:type="spellEnd"/>
      <w:r w:rsidRPr="00C62577">
        <w:rPr>
          <w:lang w:val="en-US"/>
        </w:rPr>
        <w:t xml:space="preserve"> </w:t>
      </w:r>
      <w:r w:rsidRPr="00A045D7">
        <w:rPr>
          <w:lang w:val="en-US"/>
        </w:rPr>
        <w:t>beta oscillations reflect cortical pathophysiology in Parkinson's disease. </w:t>
      </w:r>
      <w:r w:rsidRPr="00A045D7">
        <w:rPr>
          <w:i/>
          <w:iCs/>
          <w:lang w:val="en-US"/>
        </w:rPr>
        <w:t>Journal of Neuroscience</w:t>
      </w:r>
      <w:r w:rsidRPr="00A045D7">
        <w:rPr>
          <w:lang w:val="en-US"/>
        </w:rPr>
        <w:t>, </w:t>
      </w:r>
      <w:r w:rsidRPr="00A045D7">
        <w:rPr>
          <w:i/>
          <w:iCs/>
          <w:lang w:val="en-US"/>
        </w:rPr>
        <w:t>37</w:t>
      </w:r>
      <w:r w:rsidRPr="00A045D7">
        <w:rPr>
          <w:lang w:val="en-US"/>
        </w:rPr>
        <w:t>(18), 4830-4840.</w:t>
      </w:r>
    </w:p>
    <w:p w:rsidR="00562463" w:rsidRPr="00A045D7" w:rsidRDefault="00562463" w:rsidP="00F9011C">
      <w:pPr>
        <w:rPr>
          <w:lang w:val="en-US"/>
        </w:rPr>
      </w:pPr>
      <w:r w:rsidRPr="00562463">
        <w:rPr>
          <w:lang w:val="en-US"/>
        </w:rPr>
        <w:t xml:space="preserve">Donoghue, T., Haller, M., Peterson, </w:t>
      </w:r>
      <w:r w:rsidR="00C141B0">
        <w:rPr>
          <w:lang w:val="en-US"/>
        </w:rPr>
        <w:t>E. J., Varma, P., Sebastian, P. &amp;</w:t>
      </w:r>
      <w:r w:rsidRPr="00562463">
        <w:rPr>
          <w:lang w:val="en-US"/>
        </w:rPr>
        <w:t xml:space="preserve"> </w:t>
      </w:r>
      <w:proofErr w:type="gramStart"/>
      <w:r w:rsidRPr="00562463">
        <w:rPr>
          <w:lang w:val="en-US"/>
        </w:rPr>
        <w:t>Gao</w:t>
      </w:r>
      <w:proofErr w:type="gramEnd"/>
      <w:r w:rsidRPr="00562463">
        <w:rPr>
          <w:lang w:val="en-US"/>
        </w:rPr>
        <w:t xml:space="preserve">, R. et al. (2020). Parameterizing neural power spectra into periodic and aperiodic components. </w:t>
      </w:r>
      <w:r w:rsidRPr="00193E0E">
        <w:rPr>
          <w:i/>
          <w:lang w:val="en-US"/>
        </w:rPr>
        <w:t>Nature neuroscience</w:t>
      </w:r>
      <w:r w:rsidRPr="00193E0E">
        <w:rPr>
          <w:lang w:val="en-US"/>
        </w:rPr>
        <w:t xml:space="preserve">, </w:t>
      </w:r>
      <w:r w:rsidRPr="00193E0E">
        <w:rPr>
          <w:i/>
          <w:lang w:val="en-US"/>
        </w:rPr>
        <w:t>23</w:t>
      </w:r>
      <w:r w:rsidRPr="00193E0E">
        <w:rPr>
          <w:lang w:val="en-US"/>
        </w:rPr>
        <w:t>(12), 1655-1665.</w:t>
      </w:r>
    </w:p>
    <w:p w:rsidR="001B472F" w:rsidRPr="001B472F" w:rsidRDefault="001B472F" w:rsidP="00F9011C">
      <w:pPr>
        <w:rPr>
          <w:lang w:val="en-US"/>
        </w:rPr>
      </w:pPr>
      <w:r w:rsidRPr="00A045D7">
        <w:rPr>
          <w:lang w:val="en-US"/>
        </w:rPr>
        <w:t xml:space="preserve">Dorsey, E. R., </w:t>
      </w:r>
      <w:proofErr w:type="spellStart"/>
      <w:r w:rsidRPr="00A045D7">
        <w:rPr>
          <w:lang w:val="en-US"/>
        </w:rPr>
        <w:t>Elbaz</w:t>
      </w:r>
      <w:proofErr w:type="spellEnd"/>
      <w:r w:rsidRPr="00A045D7">
        <w:rPr>
          <w:lang w:val="en-US"/>
        </w:rPr>
        <w:t xml:space="preserve">, A., Nichols, E., </w:t>
      </w:r>
      <w:proofErr w:type="spellStart"/>
      <w:r w:rsidRPr="00A045D7">
        <w:rPr>
          <w:lang w:val="en-US"/>
        </w:rPr>
        <w:t>Abbasi</w:t>
      </w:r>
      <w:proofErr w:type="spellEnd"/>
      <w:r w:rsidRPr="00A045D7">
        <w:rPr>
          <w:lang w:val="en-US"/>
        </w:rPr>
        <w:t xml:space="preserve">, N., </w:t>
      </w:r>
      <w:proofErr w:type="spellStart"/>
      <w:r w:rsidRPr="00A045D7">
        <w:rPr>
          <w:lang w:val="en-US"/>
        </w:rPr>
        <w:t>Abd</w:t>
      </w:r>
      <w:proofErr w:type="spellEnd"/>
      <w:r w:rsidRPr="00A045D7">
        <w:rPr>
          <w:lang w:val="en-US"/>
        </w:rPr>
        <w:t xml:space="preserve">-Allah, F., </w:t>
      </w:r>
      <w:proofErr w:type="spellStart"/>
      <w:r w:rsidRPr="00A045D7">
        <w:rPr>
          <w:lang w:val="en-US"/>
        </w:rPr>
        <w:t>Abdelalim</w:t>
      </w:r>
      <w:proofErr w:type="spellEnd"/>
      <w:r w:rsidRPr="00A045D7">
        <w:rPr>
          <w:lang w:val="en-US"/>
        </w:rPr>
        <w:t xml:space="preserve">, A. et al. </w:t>
      </w:r>
      <w:r w:rsidRPr="00FE115F">
        <w:rPr>
          <w:lang w:val="en-US"/>
        </w:rPr>
        <w:t>(2018). Globa</w:t>
      </w:r>
      <w:r w:rsidRPr="00183EF5">
        <w:rPr>
          <w:lang w:val="en-US"/>
        </w:rPr>
        <w:t xml:space="preserve">l, regional, </w:t>
      </w:r>
      <w:r w:rsidRPr="001B472F">
        <w:rPr>
          <w:lang w:val="en-US"/>
        </w:rPr>
        <w:t>and national burden of Parkinson's disease, 1990–2016: a systematic analysis for the Global Burden of Disease Study 2016. </w:t>
      </w:r>
      <w:r w:rsidRPr="001B472F">
        <w:rPr>
          <w:i/>
          <w:iCs/>
          <w:lang w:val="en-US"/>
        </w:rPr>
        <w:t>The Lancet Neurology</w:t>
      </w:r>
      <w:r w:rsidRPr="001B472F">
        <w:rPr>
          <w:lang w:val="en-US"/>
        </w:rPr>
        <w:t>, </w:t>
      </w:r>
      <w:r w:rsidRPr="001B472F">
        <w:rPr>
          <w:i/>
          <w:iCs/>
          <w:lang w:val="en-US"/>
        </w:rPr>
        <w:t>17</w:t>
      </w:r>
      <w:r w:rsidRPr="001B472F">
        <w:rPr>
          <w:lang w:val="en-US"/>
        </w:rPr>
        <w:t>(11), 939-953.</w:t>
      </w:r>
    </w:p>
    <w:p w:rsidR="003C71DA" w:rsidRDefault="003C71DA" w:rsidP="00F9011C">
      <w:pPr>
        <w:rPr>
          <w:lang w:val="en-US"/>
        </w:rPr>
      </w:pPr>
      <w:proofErr w:type="spellStart"/>
      <w:r w:rsidRPr="001B472F">
        <w:rPr>
          <w:lang w:val="en-US"/>
        </w:rPr>
        <w:t>Feigin</w:t>
      </w:r>
      <w:proofErr w:type="spellEnd"/>
      <w:r w:rsidRPr="001B472F">
        <w:rPr>
          <w:lang w:val="en-US"/>
        </w:rPr>
        <w:t xml:space="preserve">, V. L., </w:t>
      </w:r>
      <w:proofErr w:type="spellStart"/>
      <w:r w:rsidRPr="001B472F">
        <w:rPr>
          <w:lang w:val="en-US"/>
        </w:rPr>
        <w:t>Abajobir</w:t>
      </w:r>
      <w:proofErr w:type="spellEnd"/>
      <w:r w:rsidRPr="001B472F">
        <w:rPr>
          <w:lang w:val="en-US"/>
        </w:rPr>
        <w:t xml:space="preserve">, A. A., Abate, K. H., </w:t>
      </w:r>
      <w:proofErr w:type="spellStart"/>
      <w:r w:rsidRPr="001B472F">
        <w:rPr>
          <w:lang w:val="en-US"/>
        </w:rPr>
        <w:t>Abd</w:t>
      </w:r>
      <w:proofErr w:type="spellEnd"/>
      <w:r w:rsidRPr="001B472F">
        <w:rPr>
          <w:lang w:val="en-US"/>
        </w:rPr>
        <w:t xml:space="preserve">-Allah, F., </w:t>
      </w:r>
      <w:proofErr w:type="spellStart"/>
      <w:r w:rsidRPr="001B472F">
        <w:rPr>
          <w:lang w:val="en-US"/>
        </w:rPr>
        <w:t>Abdulle</w:t>
      </w:r>
      <w:proofErr w:type="spellEnd"/>
      <w:r w:rsidRPr="001B472F">
        <w:rPr>
          <w:lang w:val="en-US"/>
        </w:rPr>
        <w:t>, A. M.</w:t>
      </w:r>
      <w:r w:rsidR="00415C65" w:rsidRPr="001B472F">
        <w:rPr>
          <w:lang w:val="en-US"/>
        </w:rPr>
        <w:t xml:space="preserve">, </w:t>
      </w:r>
      <w:proofErr w:type="spellStart"/>
      <w:r w:rsidR="00415C65" w:rsidRPr="001B472F">
        <w:rPr>
          <w:lang w:val="en-US"/>
        </w:rPr>
        <w:t>Abera</w:t>
      </w:r>
      <w:proofErr w:type="spellEnd"/>
      <w:r w:rsidR="00415C65" w:rsidRPr="001B472F">
        <w:rPr>
          <w:lang w:val="en-US"/>
        </w:rPr>
        <w:t>, S. F. et al.</w:t>
      </w:r>
      <w:r w:rsidRPr="001B472F">
        <w:rPr>
          <w:lang w:val="en-US"/>
        </w:rPr>
        <w:t xml:space="preserve"> </w:t>
      </w:r>
      <w:r w:rsidRPr="00475349">
        <w:rPr>
          <w:lang w:val="en-US"/>
        </w:rPr>
        <w:t xml:space="preserve">(2017). </w:t>
      </w:r>
      <w:r w:rsidRPr="003C71DA">
        <w:rPr>
          <w:lang w:val="en-US"/>
        </w:rPr>
        <w:t>Global, regional, and national burden of neurological disorders during 1990–2015: a systematic analysis for the Global Burden of Disease Study 2015. </w:t>
      </w:r>
      <w:r w:rsidRPr="003C71DA">
        <w:rPr>
          <w:i/>
          <w:iCs/>
          <w:lang w:val="en-US"/>
        </w:rPr>
        <w:t>The Lancet Neurology</w:t>
      </w:r>
      <w:r w:rsidRPr="003C71DA">
        <w:rPr>
          <w:lang w:val="en-US"/>
        </w:rPr>
        <w:t>, </w:t>
      </w:r>
      <w:r w:rsidRPr="003C71DA">
        <w:rPr>
          <w:i/>
          <w:iCs/>
          <w:lang w:val="en-US"/>
        </w:rPr>
        <w:t>16</w:t>
      </w:r>
      <w:r w:rsidRPr="003C71DA">
        <w:rPr>
          <w:lang w:val="en-US"/>
        </w:rPr>
        <w:t>(11), 877-897.</w:t>
      </w:r>
    </w:p>
    <w:p w:rsidR="00B77A63" w:rsidRDefault="00B77A63" w:rsidP="00F9011C">
      <w:pPr>
        <w:rPr>
          <w:lang w:val="en-US"/>
        </w:rPr>
      </w:pPr>
      <w:r w:rsidRPr="00B77A63">
        <w:rPr>
          <w:lang w:val="en-US"/>
        </w:rPr>
        <w:t xml:space="preserve">Gomez-Esteban, J. C., </w:t>
      </w:r>
      <w:proofErr w:type="spellStart"/>
      <w:r w:rsidRPr="00B77A63">
        <w:rPr>
          <w:lang w:val="en-US"/>
        </w:rPr>
        <w:t>Zarranz</w:t>
      </w:r>
      <w:proofErr w:type="spellEnd"/>
      <w:r w:rsidRPr="00B77A63">
        <w:rPr>
          <w:lang w:val="en-US"/>
        </w:rPr>
        <w:t xml:space="preserve">, J. J., </w:t>
      </w:r>
      <w:proofErr w:type="spellStart"/>
      <w:r w:rsidRPr="00B77A63">
        <w:rPr>
          <w:lang w:val="en-US"/>
        </w:rPr>
        <w:t>Lezcano</w:t>
      </w:r>
      <w:proofErr w:type="spellEnd"/>
      <w:r w:rsidRPr="00B77A63">
        <w:rPr>
          <w:lang w:val="en-US"/>
        </w:rPr>
        <w:t xml:space="preserve">, E., </w:t>
      </w:r>
      <w:proofErr w:type="spellStart"/>
      <w:r w:rsidRPr="00B77A63">
        <w:rPr>
          <w:lang w:val="en-US"/>
        </w:rPr>
        <w:t>Tij</w:t>
      </w:r>
      <w:r>
        <w:rPr>
          <w:lang w:val="en-US"/>
        </w:rPr>
        <w:t>ero</w:t>
      </w:r>
      <w:proofErr w:type="spellEnd"/>
      <w:r>
        <w:rPr>
          <w:lang w:val="en-US"/>
        </w:rPr>
        <w:t>, B., Luna, A. &amp; Velasco, F.</w:t>
      </w:r>
      <w:r w:rsidR="001A4C03">
        <w:rPr>
          <w:lang w:val="en-US"/>
        </w:rPr>
        <w:t xml:space="preserve"> et al.</w:t>
      </w:r>
      <w:r>
        <w:rPr>
          <w:lang w:val="en-US"/>
        </w:rPr>
        <w:t xml:space="preserve"> </w:t>
      </w:r>
      <w:r w:rsidRPr="00B77A63">
        <w:rPr>
          <w:lang w:val="en-US"/>
        </w:rPr>
        <w:t>(2007). Influence of motor symptoms upon the quality of life of patients with Parkinson’s disease. </w:t>
      </w:r>
      <w:r w:rsidRPr="00C704AE">
        <w:rPr>
          <w:i/>
          <w:iCs/>
          <w:lang w:val="en-US"/>
        </w:rPr>
        <w:t>European Neurology</w:t>
      </w:r>
      <w:r w:rsidRPr="00C704AE">
        <w:rPr>
          <w:lang w:val="en-US"/>
        </w:rPr>
        <w:t>, </w:t>
      </w:r>
      <w:r w:rsidRPr="00C704AE">
        <w:rPr>
          <w:i/>
          <w:iCs/>
          <w:lang w:val="en-US"/>
        </w:rPr>
        <w:t>57</w:t>
      </w:r>
      <w:r w:rsidRPr="00C704AE">
        <w:rPr>
          <w:lang w:val="en-US"/>
        </w:rPr>
        <w:t>(3), 161-165.</w:t>
      </w:r>
    </w:p>
    <w:p w:rsidR="007054DD" w:rsidRDefault="007054DD" w:rsidP="00F9011C">
      <w:pPr>
        <w:rPr>
          <w:lang w:val="en-US"/>
        </w:rPr>
      </w:pPr>
      <w:proofErr w:type="spellStart"/>
      <w:r w:rsidRPr="007054DD">
        <w:rPr>
          <w:lang w:val="en-US"/>
        </w:rPr>
        <w:t>Jankovic</w:t>
      </w:r>
      <w:proofErr w:type="spellEnd"/>
      <w:r w:rsidRPr="007054DD">
        <w:rPr>
          <w:lang w:val="en-US"/>
        </w:rPr>
        <w:t>, J. (2008). Parkinson’s disease: clinical features and diagnosis. </w:t>
      </w:r>
      <w:r w:rsidRPr="007054DD">
        <w:rPr>
          <w:i/>
          <w:iCs/>
          <w:lang w:val="en-US"/>
        </w:rPr>
        <w:t>Journal of neurology, neurosurgery &amp; psychiatry</w:t>
      </w:r>
      <w:r w:rsidRPr="007054DD">
        <w:rPr>
          <w:lang w:val="en-US"/>
        </w:rPr>
        <w:t>, </w:t>
      </w:r>
      <w:r w:rsidRPr="007054DD">
        <w:rPr>
          <w:i/>
          <w:iCs/>
          <w:lang w:val="en-US"/>
        </w:rPr>
        <w:t>79</w:t>
      </w:r>
      <w:r w:rsidRPr="007054DD">
        <w:rPr>
          <w:lang w:val="en-US"/>
        </w:rPr>
        <w:t>(4), 368-376.</w:t>
      </w:r>
    </w:p>
    <w:p w:rsidR="00545DE5" w:rsidRDefault="00545DE5" w:rsidP="00F9011C">
      <w:pPr>
        <w:rPr>
          <w:lang w:val="en-US"/>
        </w:rPr>
      </w:pPr>
      <w:proofErr w:type="spellStart"/>
      <w:r w:rsidRPr="00545DE5">
        <w:t>Koirala</w:t>
      </w:r>
      <w:proofErr w:type="spellEnd"/>
      <w:r w:rsidRPr="00545DE5">
        <w:t xml:space="preserve">, </w:t>
      </w:r>
      <w:proofErr w:type="gramStart"/>
      <w:r w:rsidRPr="00545DE5">
        <w:t>N.,</w:t>
      </w:r>
      <w:proofErr w:type="gramEnd"/>
      <w:r w:rsidRPr="00545DE5">
        <w:t xml:space="preserve"> Serrano, L., Paschen, S., Falk, D.</w:t>
      </w:r>
      <w:r>
        <w:t xml:space="preserve">, </w:t>
      </w:r>
      <w:proofErr w:type="spellStart"/>
      <w:r>
        <w:t>Anwar</w:t>
      </w:r>
      <w:proofErr w:type="spellEnd"/>
      <w:r>
        <w:t xml:space="preserve">, A. R. &amp; </w:t>
      </w:r>
      <w:proofErr w:type="spellStart"/>
      <w:r>
        <w:t>Kuravi</w:t>
      </w:r>
      <w:proofErr w:type="spellEnd"/>
      <w:r>
        <w:t>, P.</w:t>
      </w:r>
      <w:r w:rsidR="00F07B62">
        <w:t xml:space="preserve"> et al.</w:t>
      </w:r>
      <w:r w:rsidRPr="00545DE5">
        <w:t xml:space="preserve"> </w:t>
      </w:r>
      <w:r w:rsidRPr="000C5BA2">
        <w:rPr>
          <w:lang w:val="en-US"/>
        </w:rPr>
        <w:t xml:space="preserve">(2020). </w:t>
      </w:r>
      <w:r w:rsidRPr="00545DE5">
        <w:rPr>
          <w:lang w:val="en-US"/>
        </w:rPr>
        <w:t xml:space="preserve">Mapping of </w:t>
      </w:r>
      <w:proofErr w:type="spellStart"/>
      <w:r w:rsidRPr="00545DE5">
        <w:rPr>
          <w:lang w:val="en-US"/>
        </w:rPr>
        <w:t>subthalamic</w:t>
      </w:r>
      <w:proofErr w:type="spellEnd"/>
      <w:r w:rsidRPr="00545DE5">
        <w:rPr>
          <w:lang w:val="en-US"/>
        </w:rPr>
        <w:t xml:space="preserve"> nucleus using microelectrode recordings during deep brain stimulation. </w:t>
      </w:r>
      <w:r w:rsidRPr="00545DE5">
        <w:rPr>
          <w:i/>
          <w:iCs/>
          <w:lang w:val="en-US"/>
        </w:rPr>
        <w:t>Scientific reports</w:t>
      </w:r>
      <w:r w:rsidRPr="00545DE5">
        <w:rPr>
          <w:lang w:val="en-US"/>
        </w:rPr>
        <w:t>, </w:t>
      </w:r>
      <w:r w:rsidRPr="00545DE5">
        <w:rPr>
          <w:i/>
          <w:iCs/>
          <w:lang w:val="en-US"/>
        </w:rPr>
        <w:t>10</w:t>
      </w:r>
      <w:r w:rsidRPr="00545DE5">
        <w:rPr>
          <w:lang w:val="en-US"/>
        </w:rPr>
        <w:t>(1), 1-12.</w:t>
      </w:r>
    </w:p>
    <w:p w:rsidR="00503E2D" w:rsidRPr="00503E2D" w:rsidRDefault="00503E2D" w:rsidP="00F9011C">
      <w:proofErr w:type="spellStart"/>
      <w:r>
        <w:rPr>
          <w:lang w:val="en-US"/>
        </w:rPr>
        <w:t>Oostenveld</w:t>
      </w:r>
      <w:proofErr w:type="spellEnd"/>
      <w:r>
        <w:rPr>
          <w:lang w:val="en-US"/>
        </w:rPr>
        <w:t xml:space="preserve">, R. (2018). </w:t>
      </w:r>
      <w:r w:rsidRPr="00503E2D">
        <w:rPr>
          <w:i/>
          <w:lang w:val="en-US"/>
        </w:rPr>
        <w:t xml:space="preserve">Time-frequency analysis using </w:t>
      </w:r>
      <w:proofErr w:type="spellStart"/>
      <w:r w:rsidRPr="00503E2D">
        <w:rPr>
          <w:i/>
          <w:lang w:val="en-US"/>
        </w:rPr>
        <w:t>Hanning</w:t>
      </w:r>
      <w:proofErr w:type="spellEnd"/>
      <w:r w:rsidRPr="00503E2D">
        <w:rPr>
          <w:i/>
          <w:lang w:val="en-US"/>
        </w:rPr>
        <w:t xml:space="preserve"> window, </w:t>
      </w:r>
      <w:proofErr w:type="spellStart"/>
      <w:r w:rsidRPr="00503E2D">
        <w:rPr>
          <w:i/>
          <w:lang w:val="en-US"/>
        </w:rPr>
        <w:t>multitapers</w:t>
      </w:r>
      <w:proofErr w:type="spellEnd"/>
      <w:r w:rsidRPr="00503E2D">
        <w:rPr>
          <w:i/>
          <w:lang w:val="en-US"/>
        </w:rPr>
        <w:t xml:space="preserve"> and wavelets</w:t>
      </w:r>
      <w:r>
        <w:rPr>
          <w:i/>
          <w:lang w:val="en-US"/>
        </w:rPr>
        <w:t xml:space="preserve">. </w:t>
      </w:r>
      <w:r w:rsidRPr="00503E2D">
        <w:t>Verfügbar unter: https://www.fieldtriptoolbox.org/tutorial/timefrequencyanalysis/</w:t>
      </w:r>
    </w:p>
    <w:p w:rsidR="00B43223" w:rsidRDefault="00B43223" w:rsidP="00F9011C">
      <w:pPr>
        <w:rPr>
          <w:lang w:val="en-US"/>
        </w:rPr>
      </w:pPr>
      <w:proofErr w:type="spellStart"/>
      <w:r w:rsidRPr="00503E2D">
        <w:t>Oostenveld</w:t>
      </w:r>
      <w:proofErr w:type="spellEnd"/>
      <w:r w:rsidRPr="00503E2D">
        <w:t xml:space="preserve">, R., Fries, P., Maris, E., &amp; </w:t>
      </w:r>
      <w:proofErr w:type="spellStart"/>
      <w:r w:rsidRPr="00503E2D">
        <w:t>Schoffelen</w:t>
      </w:r>
      <w:proofErr w:type="spellEnd"/>
      <w:r w:rsidRPr="00503E2D">
        <w:t xml:space="preserve">, J. M. (2011). </w:t>
      </w:r>
      <w:proofErr w:type="spellStart"/>
      <w:r w:rsidRPr="00B43223">
        <w:rPr>
          <w:lang w:val="en-US"/>
        </w:rPr>
        <w:t>FieldTrip</w:t>
      </w:r>
      <w:proofErr w:type="spellEnd"/>
      <w:r w:rsidRPr="00B43223">
        <w:rPr>
          <w:lang w:val="en-US"/>
        </w:rPr>
        <w:t>: open source software for advanced analysis of MEG, EEG, and invasive electrophysiological data. Computational intelligence and neuroscience, 2011.</w:t>
      </w:r>
    </w:p>
    <w:p w:rsidR="000A59CC" w:rsidRPr="000A59CC" w:rsidRDefault="000A59CC" w:rsidP="00F9011C">
      <w:pPr>
        <w:rPr>
          <w:lang w:val="en-US"/>
        </w:rPr>
      </w:pPr>
      <w:proofErr w:type="spellStart"/>
      <w:r w:rsidRPr="000A59CC">
        <w:rPr>
          <w:lang w:val="en-US"/>
        </w:rPr>
        <w:t>Opri</w:t>
      </w:r>
      <w:proofErr w:type="spellEnd"/>
      <w:r w:rsidRPr="000A59CC">
        <w:rPr>
          <w:lang w:val="en-US"/>
        </w:rPr>
        <w:t xml:space="preserve">, E., </w:t>
      </w:r>
      <w:proofErr w:type="spellStart"/>
      <w:r w:rsidRPr="000A59CC">
        <w:rPr>
          <w:lang w:val="en-US"/>
        </w:rPr>
        <w:t>Cernera</w:t>
      </w:r>
      <w:proofErr w:type="spellEnd"/>
      <w:r w:rsidRPr="000A59CC">
        <w:rPr>
          <w:lang w:val="en-US"/>
        </w:rPr>
        <w:t>, S., Molina, R.</w:t>
      </w:r>
      <w:r>
        <w:rPr>
          <w:lang w:val="en-US"/>
        </w:rPr>
        <w:t xml:space="preserve">, </w:t>
      </w:r>
      <w:proofErr w:type="spellStart"/>
      <w:r>
        <w:rPr>
          <w:lang w:val="en-US"/>
        </w:rPr>
        <w:t>Eisinger</w:t>
      </w:r>
      <w:proofErr w:type="spellEnd"/>
      <w:r>
        <w:rPr>
          <w:lang w:val="en-US"/>
        </w:rPr>
        <w:t>, R. S., Cagle, J. N. &amp; Almeida, L.</w:t>
      </w:r>
      <w:r w:rsidRPr="000A59CC">
        <w:rPr>
          <w:lang w:val="en-US"/>
        </w:rPr>
        <w:t xml:space="preserve"> </w:t>
      </w:r>
      <w:r>
        <w:rPr>
          <w:lang w:val="en-US"/>
        </w:rPr>
        <w:t>et al.</w:t>
      </w:r>
      <w:r w:rsidRPr="000A59CC">
        <w:rPr>
          <w:lang w:val="en-US"/>
        </w:rPr>
        <w:t xml:space="preserve"> (2020). Chronic embedded </w:t>
      </w:r>
      <w:proofErr w:type="spellStart"/>
      <w:r w:rsidRPr="000A59CC">
        <w:rPr>
          <w:lang w:val="en-US"/>
        </w:rPr>
        <w:t>cortico</w:t>
      </w:r>
      <w:proofErr w:type="spellEnd"/>
      <w:r w:rsidRPr="000A59CC">
        <w:rPr>
          <w:lang w:val="en-US"/>
        </w:rPr>
        <w:t>-thalamic closed-loop deep brain stimulation for the treatment of essential tremor. </w:t>
      </w:r>
      <w:r w:rsidRPr="000A59CC">
        <w:rPr>
          <w:i/>
          <w:iCs/>
          <w:lang w:val="en-US"/>
        </w:rPr>
        <w:t>Science translational medicine</w:t>
      </w:r>
      <w:r w:rsidRPr="000A59CC">
        <w:rPr>
          <w:lang w:val="en-US"/>
        </w:rPr>
        <w:t>, </w:t>
      </w:r>
      <w:r w:rsidRPr="000A59CC">
        <w:rPr>
          <w:i/>
          <w:iCs/>
          <w:lang w:val="en-US"/>
        </w:rPr>
        <w:t>12</w:t>
      </w:r>
      <w:r>
        <w:rPr>
          <w:lang w:val="en-US"/>
        </w:rPr>
        <w:t xml:space="preserve">(572), </w:t>
      </w:r>
      <w:r w:rsidRPr="000A59CC">
        <w:rPr>
          <w:lang w:val="en-US"/>
        </w:rPr>
        <w:t>7680.</w:t>
      </w:r>
    </w:p>
    <w:p w:rsidR="00BD0535" w:rsidRDefault="00BD0535" w:rsidP="00F9011C">
      <w:pPr>
        <w:rPr>
          <w:lang w:val="en-US"/>
        </w:rPr>
      </w:pPr>
      <w:proofErr w:type="spellStart"/>
      <w:r w:rsidRPr="00415C65">
        <w:rPr>
          <w:lang w:val="en-US"/>
        </w:rPr>
        <w:t>Poewe</w:t>
      </w:r>
      <w:proofErr w:type="spellEnd"/>
      <w:r w:rsidRPr="00415C65">
        <w:rPr>
          <w:lang w:val="en-US"/>
        </w:rPr>
        <w:t xml:space="preserve">, W., </w:t>
      </w:r>
      <w:proofErr w:type="spellStart"/>
      <w:r w:rsidRPr="00415C65">
        <w:rPr>
          <w:lang w:val="en-US"/>
        </w:rPr>
        <w:t>Seppi</w:t>
      </w:r>
      <w:proofErr w:type="spellEnd"/>
      <w:r w:rsidRPr="00415C65">
        <w:rPr>
          <w:lang w:val="en-US"/>
        </w:rPr>
        <w:t xml:space="preserve">, K., Tanner, C. M., Halliday, G. M., </w:t>
      </w:r>
      <w:proofErr w:type="spellStart"/>
      <w:r w:rsidRPr="00415C65">
        <w:rPr>
          <w:lang w:val="en-US"/>
        </w:rPr>
        <w:t>Brundin</w:t>
      </w:r>
      <w:proofErr w:type="spellEnd"/>
      <w:r w:rsidRPr="00415C65">
        <w:rPr>
          <w:lang w:val="en-US"/>
        </w:rPr>
        <w:t>, P., Volkma</w:t>
      </w:r>
      <w:r w:rsidR="00415C65" w:rsidRPr="00415C65">
        <w:rPr>
          <w:lang w:val="en-US"/>
        </w:rPr>
        <w:t>nn, J. et al.</w:t>
      </w:r>
      <w:r w:rsidRPr="00415C65">
        <w:rPr>
          <w:lang w:val="en-US"/>
        </w:rPr>
        <w:t xml:space="preserve"> (2017). Parkinson disease. </w:t>
      </w:r>
      <w:r w:rsidRPr="00415C65">
        <w:rPr>
          <w:i/>
          <w:iCs/>
          <w:lang w:val="en-US"/>
        </w:rPr>
        <w:t>Nature reviews Disease primers</w:t>
      </w:r>
      <w:r w:rsidRPr="00415C65">
        <w:rPr>
          <w:lang w:val="en-US"/>
        </w:rPr>
        <w:t>, </w:t>
      </w:r>
      <w:r w:rsidRPr="00415C65">
        <w:rPr>
          <w:i/>
          <w:iCs/>
          <w:lang w:val="en-US"/>
        </w:rPr>
        <w:t>3</w:t>
      </w:r>
      <w:r w:rsidRPr="00415C65">
        <w:rPr>
          <w:lang w:val="en-US"/>
        </w:rPr>
        <w:t>(1), 1-21.</w:t>
      </w:r>
    </w:p>
    <w:p w:rsidR="00447304" w:rsidRPr="00447304" w:rsidRDefault="00447304" w:rsidP="00F9011C">
      <w:pPr>
        <w:rPr>
          <w:lang w:val="en-US"/>
        </w:rPr>
      </w:pPr>
      <w:r w:rsidRPr="00C704AE">
        <w:rPr>
          <w:lang w:val="en-US"/>
        </w:rPr>
        <w:t xml:space="preserve">Rahman, S., Griffin, H. J., Quinn, N. P. &amp; </w:t>
      </w:r>
      <w:proofErr w:type="spellStart"/>
      <w:r w:rsidRPr="00C704AE">
        <w:rPr>
          <w:lang w:val="en-US"/>
        </w:rPr>
        <w:t>Jahanshahi</w:t>
      </w:r>
      <w:proofErr w:type="spellEnd"/>
      <w:r w:rsidRPr="00C704AE">
        <w:rPr>
          <w:lang w:val="en-US"/>
        </w:rPr>
        <w:t xml:space="preserve">, M. (2008). </w:t>
      </w:r>
      <w:r w:rsidRPr="00447304">
        <w:rPr>
          <w:lang w:val="en-US"/>
        </w:rPr>
        <w:t>Quality of life in Parkinson's disease: the relative importance of the symptoms. </w:t>
      </w:r>
      <w:r w:rsidRPr="00447304">
        <w:rPr>
          <w:i/>
          <w:iCs/>
          <w:lang w:val="en-US"/>
        </w:rPr>
        <w:t>Movement disorders: official journal of the Movement Disorder Society</w:t>
      </w:r>
      <w:r w:rsidRPr="00447304">
        <w:rPr>
          <w:lang w:val="en-US"/>
        </w:rPr>
        <w:t>, </w:t>
      </w:r>
      <w:r w:rsidRPr="00447304">
        <w:rPr>
          <w:i/>
          <w:iCs/>
          <w:lang w:val="en-US"/>
        </w:rPr>
        <w:t>23</w:t>
      </w:r>
      <w:r w:rsidRPr="00447304">
        <w:rPr>
          <w:lang w:val="en-US"/>
        </w:rPr>
        <w:t>(10), 1428-1434.</w:t>
      </w:r>
    </w:p>
    <w:p w:rsidR="001B472F" w:rsidRDefault="001B472F" w:rsidP="00F9011C">
      <w:pPr>
        <w:rPr>
          <w:lang w:val="en-US"/>
        </w:rPr>
      </w:pPr>
      <w:r>
        <w:rPr>
          <w:lang w:val="en-US"/>
        </w:rPr>
        <w:t>Simon, D. K., Tanner, C. M.</w:t>
      </w:r>
      <w:r w:rsidRPr="001B472F">
        <w:rPr>
          <w:lang w:val="en-US"/>
        </w:rPr>
        <w:t xml:space="preserve"> &amp; </w:t>
      </w:r>
      <w:proofErr w:type="spellStart"/>
      <w:r w:rsidRPr="001B472F">
        <w:rPr>
          <w:lang w:val="en-US"/>
        </w:rPr>
        <w:t>Brundin</w:t>
      </w:r>
      <w:proofErr w:type="spellEnd"/>
      <w:r w:rsidRPr="001B472F">
        <w:rPr>
          <w:lang w:val="en-US"/>
        </w:rPr>
        <w:t>, P. (2020). Parkinson disease epidemiology, pathology, genetics, and pathophysiology. </w:t>
      </w:r>
      <w:r w:rsidRPr="00FE115F">
        <w:rPr>
          <w:i/>
          <w:iCs/>
          <w:lang w:val="en-US"/>
        </w:rPr>
        <w:t>Clinics in geriatric medicine</w:t>
      </w:r>
      <w:r w:rsidRPr="00FE115F">
        <w:rPr>
          <w:lang w:val="en-US"/>
        </w:rPr>
        <w:t>, </w:t>
      </w:r>
      <w:r w:rsidRPr="00FE115F">
        <w:rPr>
          <w:i/>
          <w:iCs/>
          <w:lang w:val="en-US"/>
        </w:rPr>
        <w:t>36</w:t>
      </w:r>
      <w:r w:rsidRPr="00FE115F">
        <w:rPr>
          <w:lang w:val="en-US"/>
        </w:rPr>
        <w:t>(1), 1-12.</w:t>
      </w:r>
    </w:p>
    <w:p w:rsidR="00C648A4" w:rsidRPr="00FE115F" w:rsidRDefault="00C648A4" w:rsidP="00F9011C">
      <w:pPr>
        <w:rPr>
          <w:lang w:val="en-US"/>
        </w:rPr>
      </w:pPr>
      <w:proofErr w:type="spellStart"/>
      <w:r w:rsidRPr="00C648A4">
        <w:rPr>
          <w:lang w:val="en-US"/>
        </w:rPr>
        <w:t>Telkes</w:t>
      </w:r>
      <w:proofErr w:type="spellEnd"/>
      <w:r w:rsidRPr="00C648A4">
        <w:rPr>
          <w:lang w:val="en-US"/>
        </w:rPr>
        <w:t xml:space="preserve">, I., </w:t>
      </w:r>
      <w:proofErr w:type="spellStart"/>
      <w:r w:rsidRPr="00C648A4">
        <w:rPr>
          <w:lang w:val="en-US"/>
        </w:rPr>
        <w:t>Sabourin</w:t>
      </w:r>
      <w:proofErr w:type="spellEnd"/>
      <w:r w:rsidRPr="00C648A4">
        <w:rPr>
          <w:lang w:val="en-US"/>
        </w:rPr>
        <w:t xml:space="preserve">, S., </w:t>
      </w:r>
      <w:proofErr w:type="spellStart"/>
      <w:r>
        <w:rPr>
          <w:lang w:val="en-US"/>
        </w:rPr>
        <w:t>Durphy</w:t>
      </w:r>
      <w:proofErr w:type="spellEnd"/>
      <w:r>
        <w:rPr>
          <w:lang w:val="en-US"/>
        </w:rPr>
        <w:t xml:space="preserve">, J., Adam, O., </w:t>
      </w:r>
      <w:proofErr w:type="spellStart"/>
      <w:r>
        <w:rPr>
          <w:lang w:val="en-US"/>
        </w:rPr>
        <w:t>Sukul</w:t>
      </w:r>
      <w:proofErr w:type="spellEnd"/>
      <w:r>
        <w:rPr>
          <w:lang w:val="en-US"/>
        </w:rPr>
        <w:t>, V. &amp;</w:t>
      </w:r>
      <w:r w:rsidRPr="00C648A4">
        <w:rPr>
          <w:lang w:val="en-US"/>
        </w:rPr>
        <w:t xml:space="preserve"> </w:t>
      </w:r>
      <w:proofErr w:type="spellStart"/>
      <w:r w:rsidRPr="00C648A4">
        <w:rPr>
          <w:lang w:val="en-US"/>
        </w:rPr>
        <w:t>Raviv</w:t>
      </w:r>
      <w:proofErr w:type="spellEnd"/>
      <w:r w:rsidRPr="00C648A4">
        <w:rPr>
          <w:lang w:val="en-US"/>
        </w:rPr>
        <w:t xml:space="preserve">, N. et al. (2020). Functional use of directional local field potentials in the </w:t>
      </w:r>
      <w:proofErr w:type="spellStart"/>
      <w:r w:rsidRPr="00C648A4">
        <w:rPr>
          <w:lang w:val="en-US"/>
        </w:rPr>
        <w:t>subthalamic</w:t>
      </w:r>
      <w:proofErr w:type="spellEnd"/>
      <w:r w:rsidRPr="00C648A4">
        <w:rPr>
          <w:lang w:val="en-US"/>
        </w:rPr>
        <w:t xml:space="preserve"> nucleus deep brain stimulation. </w:t>
      </w:r>
      <w:r w:rsidRPr="000C5BA2">
        <w:rPr>
          <w:i/>
          <w:lang w:val="en-US"/>
        </w:rPr>
        <w:t>Frontiers in human neuroscience</w:t>
      </w:r>
      <w:r w:rsidRPr="000C5BA2">
        <w:rPr>
          <w:lang w:val="en-US"/>
        </w:rPr>
        <w:t xml:space="preserve">, </w:t>
      </w:r>
      <w:r w:rsidRPr="000C5BA2">
        <w:rPr>
          <w:i/>
          <w:lang w:val="en-US"/>
        </w:rPr>
        <w:t>14</w:t>
      </w:r>
      <w:r w:rsidRPr="000C5BA2">
        <w:rPr>
          <w:lang w:val="en-US"/>
        </w:rPr>
        <w:t>, 145.</w:t>
      </w:r>
    </w:p>
    <w:p w:rsidR="001A759A" w:rsidRPr="00415C65" w:rsidRDefault="001A759A" w:rsidP="00F9011C">
      <w:pPr>
        <w:rPr>
          <w:lang w:val="en-US"/>
        </w:rPr>
      </w:pPr>
      <w:r w:rsidRPr="000C5BA2">
        <w:rPr>
          <w:lang w:val="en-US"/>
        </w:rPr>
        <w:lastRenderedPageBreak/>
        <w:t xml:space="preserve">Thompson, J. A., </w:t>
      </w:r>
      <w:proofErr w:type="spellStart"/>
      <w:r w:rsidRPr="000C5BA2">
        <w:rPr>
          <w:lang w:val="en-US"/>
        </w:rPr>
        <w:t>Oukal</w:t>
      </w:r>
      <w:proofErr w:type="spellEnd"/>
      <w:r w:rsidRPr="000C5BA2">
        <w:rPr>
          <w:lang w:val="en-US"/>
        </w:rPr>
        <w:t xml:space="preserve">, S., Bergman, H., </w:t>
      </w:r>
      <w:proofErr w:type="spellStart"/>
      <w:r w:rsidRPr="000C5BA2">
        <w:rPr>
          <w:lang w:val="en-US"/>
        </w:rPr>
        <w:t>Ojemann</w:t>
      </w:r>
      <w:proofErr w:type="spellEnd"/>
      <w:r w:rsidRPr="000C5BA2">
        <w:rPr>
          <w:lang w:val="en-US"/>
        </w:rPr>
        <w:t xml:space="preserve">, S., Hebb, A. O., Hanrahan, S. et al. </w:t>
      </w:r>
      <w:r w:rsidRPr="001A759A">
        <w:rPr>
          <w:lang w:val="en-US"/>
        </w:rPr>
        <w:t xml:space="preserve">(2018). Semi-automated application for estimating </w:t>
      </w:r>
      <w:proofErr w:type="spellStart"/>
      <w:r w:rsidRPr="001A759A">
        <w:rPr>
          <w:lang w:val="en-US"/>
        </w:rPr>
        <w:t>subthalamic</w:t>
      </w:r>
      <w:proofErr w:type="spellEnd"/>
      <w:r w:rsidRPr="001A759A">
        <w:rPr>
          <w:lang w:val="en-US"/>
        </w:rPr>
        <w:t xml:space="preserve"> nucleus boundaries and optimal target selection for deep brain stimulation implantation surgery. </w:t>
      </w:r>
      <w:r w:rsidRPr="001A759A">
        <w:rPr>
          <w:i/>
        </w:rPr>
        <w:t xml:space="preserve">Journal </w:t>
      </w:r>
      <w:proofErr w:type="spellStart"/>
      <w:r w:rsidRPr="001A759A">
        <w:rPr>
          <w:i/>
        </w:rPr>
        <w:t>of</w:t>
      </w:r>
      <w:proofErr w:type="spellEnd"/>
      <w:r w:rsidRPr="001A759A">
        <w:rPr>
          <w:i/>
        </w:rPr>
        <w:t xml:space="preserve"> </w:t>
      </w:r>
      <w:proofErr w:type="spellStart"/>
      <w:r w:rsidRPr="001A759A">
        <w:rPr>
          <w:i/>
        </w:rPr>
        <w:t>neurosurgery</w:t>
      </w:r>
      <w:proofErr w:type="spellEnd"/>
      <w:r w:rsidRPr="001A759A">
        <w:t xml:space="preserve">, </w:t>
      </w:r>
      <w:r w:rsidRPr="001A759A">
        <w:rPr>
          <w:i/>
        </w:rPr>
        <w:t>1</w:t>
      </w:r>
      <w:r w:rsidRPr="001A759A">
        <w:t>, 1-10</w:t>
      </w:r>
      <w:r>
        <w:t>.</w:t>
      </w:r>
    </w:p>
    <w:sectPr w:rsidR="001A759A" w:rsidRPr="00415C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03C21"/>
    <w:rsid w:val="0000655A"/>
    <w:rsid w:val="00030E79"/>
    <w:rsid w:val="00031E37"/>
    <w:rsid w:val="000502CA"/>
    <w:rsid w:val="0006445C"/>
    <w:rsid w:val="0006494A"/>
    <w:rsid w:val="00064BC6"/>
    <w:rsid w:val="000716BE"/>
    <w:rsid w:val="00080289"/>
    <w:rsid w:val="00084A45"/>
    <w:rsid w:val="00087CA9"/>
    <w:rsid w:val="000A59CC"/>
    <w:rsid w:val="000A7E18"/>
    <w:rsid w:val="000B55FD"/>
    <w:rsid w:val="000C366C"/>
    <w:rsid w:val="000C5BA2"/>
    <w:rsid w:val="000D00F4"/>
    <w:rsid w:val="000D188D"/>
    <w:rsid w:val="000D6596"/>
    <w:rsid w:val="000E1DA9"/>
    <w:rsid w:val="000E3A63"/>
    <w:rsid w:val="000E7629"/>
    <w:rsid w:val="000F0842"/>
    <w:rsid w:val="000F3E58"/>
    <w:rsid w:val="00103A37"/>
    <w:rsid w:val="00104D5F"/>
    <w:rsid w:val="00105260"/>
    <w:rsid w:val="001166D2"/>
    <w:rsid w:val="0011688D"/>
    <w:rsid w:val="00117895"/>
    <w:rsid w:val="001225A7"/>
    <w:rsid w:val="00124FD4"/>
    <w:rsid w:val="001324D7"/>
    <w:rsid w:val="00151D50"/>
    <w:rsid w:val="001579F1"/>
    <w:rsid w:val="00183EF5"/>
    <w:rsid w:val="00190BF4"/>
    <w:rsid w:val="00193E0E"/>
    <w:rsid w:val="00193E65"/>
    <w:rsid w:val="00196173"/>
    <w:rsid w:val="001A4C03"/>
    <w:rsid w:val="001A759A"/>
    <w:rsid w:val="001B2C1C"/>
    <w:rsid w:val="001B40C0"/>
    <w:rsid w:val="001B472F"/>
    <w:rsid w:val="001C57BB"/>
    <w:rsid w:val="001C7A6F"/>
    <w:rsid w:val="001D7CCD"/>
    <w:rsid w:val="001F213D"/>
    <w:rsid w:val="001F68C6"/>
    <w:rsid w:val="0020690E"/>
    <w:rsid w:val="002218C5"/>
    <w:rsid w:val="00232E75"/>
    <w:rsid w:val="0023392E"/>
    <w:rsid w:val="00250996"/>
    <w:rsid w:val="00253D57"/>
    <w:rsid w:val="00255E11"/>
    <w:rsid w:val="0026647E"/>
    <w:rsid w:val="002810FD"/>
    <w:rsid w:val="0028116E"/>
    <w:rsid w:val="002A3CF9"/>
    <w:rsid w:val="002A5B77"/>
    <w:rsid w:val="002B033C"/>
    <w:rsid w:val="002B3B68"/>
    <w:rsid w:val="002C0AF9"/>
    <w:rsid w:val="002E1176"/>
    <w:rsid w:val="002F2462"/>
    <w:rsid w:val="002F55DE"/>
    <w:rsid w:val="002F7E01"/>
    <w:rsid w:val="00304D59"/>
    <w:rsid w:val="00307BA4"/>
    <w:rsid w:val="00317441"/>
    <w:rsid w:val="0032010C"/>
    <w:rsid w:val="00321F42"/>
    <w:rsid w:val="003235F2"/>
    <w:rsid w:val="00325C5E"/>
    <w:rsid w:val="003349A0"/>
    <w:rsid w:val="00335D4C"/>
    <w:rsid w:val="0033728A"/>
    <w:rsid w:val="00337D8D"/>
    <w:rsid w:val="00341376"/>
    <w:rsid w:val="00354E21"/>
    <w:rsid w:val="0035508D"/>
    <w:rsid w:val="00361555"/>
    <w:rsid w:val="00377AFD"/>
    <w:rsid w:val="00392EE0"/>
    <w:rsid w:val="00394DE3"/>
    <w:rsid w:val="00396391"/>
    <w:rsid w:val="00396A46"/>
    <w:rsid w:val="00397851"/>
    <w:rsid w:val="003A538C"/>
    <w:rsid w:val="003B4970"/>
    <w:rsid w:val="003C24C5"/>
    <w:rsid w:val="003C71DA"/>
    <w:rsid w:val="003C78F7"/>
    <w:rsid w:val="003D06CC"/>
    <w:rsid w:val="003E1B09"/>
    <w:rsid w:val="003E434A"/>
    <w:rsid w:val="003E4BE1"/>
    <w:rsid w:val="003F70B6"/>
    <w:rsid w:val="004000B0"/>
    <w:rsid w:val="00400442"/>
    <w:rsid w:val="00403EFA"/>
    <w:rsid w:val="00415C65"/>
    <w:rsid w:val="00415F05"/>
    <w:rsid w:val="00430E9B"/>
    <w:rsid w:val="00441A07"/>
    <w:rsid w:val="00446D46"/>
    <w:rsid w:val="00447304"/>
    <w:rsid w:val="0045240F"/>
    <w:rsid w:val="00454B1E"/>
    <w:rsid w:val="004550A5"/>
    <w:rsid w:val="00460855"/>
    <w:rsid w:val="004622A3"/>
    <w:rsid w:val="00465A31"/>
    <w:rsid w:val="00465D1F"/>
    <w:rsid w:val="00475349"/>
    <w:rsid w:val="004778B5"/>
    <w:rsid w:val="004810E6"/>
    <w:rsid w:val="00483437"/>
    <w:rsid w:val="0049460C"/>
    <w:rsid w:val="004A551C"/>
    <w:rsid w:val="004B1A26"/>
    <w:rsid w:val="004C51EE"/>
    <w:rsid w:val="004C62A2"/>
    <w:rsid w:val="004C7615"/>
    <w:rsid w:val="004D0B8A"/>
    <w:rsid w:val="004D1546"/>
    <w:rsid w:val="004D5968"/>
    <w:rsid w:val="004D5C32"/>
    <w:rsid w:val="004D6C77"/>
    <w:rsid w:val="004D7765"/>
    <w:rsid w:val="004E28B4"/>
    <w:rsid w:val="00503B13"/>
    <w:rsid w:val="00503E2D"/>
    <w:rsid w:val="00527BD2"/>
    <w:rsid w:val="0054334D"/>
    <w:rsid w:val="00545DE5"/>
    <w:rsid w:val="0055306F"/>
    <w:rsid w:val="00557FEB"/>
    <w:rsid w:val="00562463"/>
    <w:rsid w:val="005643EF"/>
    <w:rsid w:val="005914D3"/>
    <w:rsid w:val="0059460D"/>
    <w:rsid w:val="005A139C"/>
    <w:rsid w:val="005A17E7"/>
    <w:rsid w:val="005B233D"/>
    <w:rsid w:val="005B2AEA"/>
    <w:rsid w:val="005C0164"/>
    <w:rsid w:val="005C311D"/>
    <w:rsid w:val="005C413E"/>
    <w:rsid w:val="005D189F"/>
    <w:rsid w:val="005D6C98"/>
    <w:rsid w:val="005E28DA"/>
    <w:rsid w:val="005F0D0D"/>
    <w:rsid w:val="005F4D0E"/>
    <w:rsid w:val="005F6D74"/>
    <w:rsid w:val="005F71FB"/>
    <w:rsid w:val="006045B8"/>
    <w:rsid w:val="00606DE4"/>
    <w:rsid w:val="00607622"/>
    <w:rsid w:val="00610D3E"/>
    <w:rsid w:val="00612B79"/>
    <w:rsid w:val="0061355F"/>
    <w:rsid w:val="00615268"/>
    <w:rsid w:val="00616DBA"/>
    <w:rsid w:val="00623A73"/>
    <w:rsid w:val="006257D1"/>
    <w:rsid w:val="00626AE7"/>
    <w:rsid w:val="006279A1"/>
    <w:rsid w:val="0064535B"/>
    <w:rsid w:val="00655BEC"/>
    <w:rsid w:val="0066637E"/>
    <w:rsid w:val="0067427F"/>
    <w:rsid w:val="006804F1"/>
    <w:rsid w:val="00680AAF"/>
    <w:rsid w:val="00681A68"/>
    <w:rsid w:val="006868EC"/>
    <w:rsid w:val="00694CDE"/>
    <w:rsid w:val="006A1123"/>
    <w:rsid w:val="006A443F"/>
    <w:rsid w:val="006A7676"/>
    <w:rsid w:val="006B18AD"/>
    <w:rsid w:val="006C0BC0"/>
    <w:rsid w:val="006C5A40"/>
    <w:rsid w:val="006D64CD"/>
    <w:rsid w:val="006E072C"/>
    <w:rsid w:val="006E4456"/>
    <w:rsid w:val="006E732E"/>
    <w:rsid w:val="007054DD"/>
    <w:rsid w:val="00714095"/>
    <w:rsid w:val="0071419B"/>
    <w:rsid w:val="00720C7A"/>
    <w:rsid w:val="00722001"/>
    <w:rsid w:val="00732F2D"/>
    <w:rsid w:val="00746F1F"/>
    <w:rsid w:val="00753235"/>
    <w:rsid w:val="00754537"/>
    <w:rsid w:val="007717F4"/>
    <w:rsid w:val="0078306A"/>
    <w:rsid w:val="00795CA5"/>
    <w:rsid w:val="0079625F"/>
    <w:rsid w:val="007973F5"/>
    <w:rsid w:val="007B13F9"/>
    <w:rsid w:val="007B2BE2"/>
    <w:rsid w:val="007C132B"/>
    <w:rsid w:val="007C4638"/>
    <w:rsid w:val="007E24C7"/>
    <w:rsid w:val="007E4E37"/>
    <w:rsid w:val="007F07C3"/>
    <w:rsid w:val="007F47B2"/>
    <w:rsid w:val="007F6159"/>
    <w:rsid w:val="008044D6"/>
    <w:rsid w:val="008072CF"/>
    <w:rsid w:val="008108A7"/>
    <w:rsid w:val="00821B87"/>
    <w:rsid w:val="00823ED0"/>
    <w:rsid w:val="00823F52"/>
    <w:rsid w:val="00825F2E"/>
    <w:rsid w:val="008423B7"/>
    <w:rsid w:val="00842AF4"/>
    <w:rsid w:val="00843FF4"/>
    <w:rsid w:val="00852527"/>
    <w:rsid w:val="0085728D"/>
    <w:rsid w:val="008637AB"/>
    <w:rsid w:val="00863B8E"/>
    <w:rsid w:val="00866225"/>
    <w:rsid w:val="00867786"/>
    <w:rsid w:val="008724AD"/>
    <w:rsid w:val="00872575"/>
    <w:rsid w:val="008813BD"/>
    <w:rsid w:val="00897722"/>
    <w:rsid w:val="0089781C"/>
    <w:rsid w:val="008B546F"/>
    <w:rsid w:val="008B6691"/>
    <w:rsid w:val="008C59A1"/>
    <w:rsid w:val="008D15C4"/>
    <w:rsid w:val="008D4B6A"/>
    <w:rsid w:val="008E1846"/>
    <w:rsid w:val="008E66E5"/>
    <w:rsid w:val="008E707B"/>
    <w:rsid w:val="008F1774"/>
    <w:rsid w:val="00912E0E"/>
    <w:rsid w:val="00912FB2"/>
    <w:rsid w:val="0091701B"/>
    <w:rsid w:val="0092094A"/>
    <w:rsid w:val="009229BA"/>
    <w:rsid w:val="00927A54"/>
    <w:rsid w:val="0093676D"/>
    <w:rsid w:val="00942303"/>
    <w:rsid w:val="00942FA8"/>
    <w:rsid w:val="00943331"/>
    <w:rsid w:val="009563DC"/>
    <w:rsid w:val="00956D07"/>
    <w:rsid w:val="00966214"/>
    <w:rsid w:val="009829BB"/>
    <w:rsid w:val="00997325"/>
    <w:rsid w:val="00997D2F"/>
    <w:rsid w:val="009A4A90"/>
    <w:rsid w:val="009C41D7"/>
    <w:rsid w:val="009C7A7B"/>
    <w:rsid w:val="009D21C5"/>
    <w:rsid w:val="009E164B"/>
    <w:rsid w:val="009F2646"/>
    <w:rsid w:val="009F2C28"/>
    <w:rsid w:val="00A045D7"/>
    <w:rsid w:val="00A06DE3"/>
    <w:rsid w:val="00A11FF6"/>
    <w:rsid w:val="00A125A2"/>
    <w:rsid w:val="00A130E3"/>
    <w:rsid w:val="00A236E8"/>
    <w:rsid w:val="00A33422"/>
    <w:rsid w:val="00A43161"/>
    <w:rsid w:val="00A43F20"/>
    <w:rsid w:val="00A458C8"/>
    <w:rsid w:val="00A47FB2"/>
    <w:rsid w:val="00A51B3E"/>
    <w:rsid w:val="00A6045F"/>
    <w:rsid w:val="00A81F12"/>
    <w:rsid w:val="00A82198"/>
    <w:rsid w:val="00A82E5D"/>
    <w:rsid w:val="00A87B9E"/>
    <w:rsid w:val="00A90AB8"/>
    <w:rsid w:val="00A92E93"/>
    <w:rsid w:val="00A93D10"/>
    <w:rsid w:val="00AA14DD"/>
    <w:rsid w:val="00AA520A"/>
    <w:rsid w:val="00AB5A7E"/>
    <w:rsid w:val="00AB6FCF"/>
    <w:rsid w:val="00AD4E9E"/>
    <w:rsid w:val="00AD619B"/>
    <w:rsid w:val="00AF1A6E"/>
    <w:rsid w:val="00B00B23"/>
    <w:rsid w:val="00B13614"/>
    <w:rsid w:val="00B17ACC"/>
    <w:rsid w:val="00B20E7A"/>
    <w:rsid w:val="00B21298"/>
    <w:rsid w:val="00B43223"/>
    <w:rsid w:val="00B43C14"/>
    <w:rsid w:val="00B47553"/>
    <w:rsid w:val="00B55603"/>
    <w:rsid w:val="00B679D1"/>
    <w:rsid w:val="00B716D2"/>
    <w:rsid w:val="00B77A63"/>
    <w:rsid w:val="00B77D49"/>
    <w:rsid w:val="00B861AE"/>
    <w:rsid w:val="00B86607"/>
    <w:rsid w:val="00B94287"/>
    <w:rsid w:val="00B958E0"/>
    <w:rsid w:val="00BA3F56"/>
    <w:rsid w:val="00BA6F4A"/>
    <w:rsid w:val="00BB72C8"/>
    <w:rsid w:val="00BC0E72"/>
    <w:rsid w:val="00BC250B"/>
    <w:rsid w:val="00BC6D48"/>
    <w:rsid w:val="00BD0535"/>
    <w:rsid w:val="00BE14B3"/>
    <w:rsid w:val="00BE20E5"/>
    <w:rsid w:val="00C041A8"/>
    <w:rsid w:val="00C073B8"/>
    <w:rsid w:val="00C141B0"/>
    <w:rsid w:val="00C16DA5"/>
    <w:rsid w:val="00C354B8"/>
    <w:rsid w:val="00C54190"/>
    <w:rsid w:val="00C56B62"/>
    <w:rsid w:val="00C62577"/>
    <w:rsid w:val="00C62D1C"/>
    <w:rsid w:val="00C648A4"/>
    <w:rsid w:val="00C704AE"/>
    <w:rsid w:val="00C76B2F"/>
    <w:rsid w:val="00C81150"/>
    <w:rsid w:val="00C87F2F"/>
    <w:rsid w:val="00C91C5C"/>
    <w:rsid w:val="00C94F55"/>
    <w:rsid w:val="00CA7EC0"/>
    <w:rsid w:val="00CB3974"/>
    <w:rsid w:val="00CB3F02"/>
    <w:rsid w:val="00CB49E6"/>
    <w:rsid w:val="00CB4C93"/>
    <w:rsid w:val="00CC5EAA"/>
    <w:rsid w:val="00CD47DF"/>
    <w:rsid w:val="00CD7FA9"/>
    <w:rsid w:val="00CE04C8"/>
    <w:rsid w:val="00CE47C9"/>
    <w:rsid w:val="00CE7D6F"/>
    <w:rsid w:val="00D13501"/>
    <w:rsid w:val="00D14511"/>
    <w:rsid w:val="00D22916"/>
    <w:rsid w:val="00D26B4D"/>
    <w:rsid w:val="00D33CC9"/>
    <w:rsid w:val="00D4260A"/>
    <w:rsid w:val="00D45D71"/>
    <w:rsid w:val="00D5555C"/>
    <w:rsid w:val="00D60E01"/>
    <w:rsid w:val="00D659D2"/>
    <w:rsid w:val="00D65F3D"/>
    <w:rsid w:val="00D66911"/>
    <w:rsid w:val="00D67C89"/>
    <w:rsid w:val="00D7004D"/>
    <w:rsid w:val="00D82083"/>
    <w:rsid w:val="00D95EBB"/>
    <w:rsid w:val="00DA1F01"/>
    <w:rsid w:val="00DB03FE"/>
    <w:rsid w:val="00DB3D34"/>
    <w:rsid w:val="00DB5039"/>
    <w:rsid w:val="00DB648D"/>
    <w:rsid w:val="00DB7C45"/>
    <w:rsid w:val="00DD186D"/>
    <w:rsid w:val="00DD1A90"/>
    <w:rsid w:val="00DE1CDC"/>
    <w:rsid w:val="00DE435A"/>
    <w:rsid w:val="00DF6E10"/>
    <w:rsid w:val="00E00DBC"/>
    <w:rsid w:val="00E01DC6"/>
    <w:rsid w:val="00E060EA"/>
    <w:rsid w:val="00E1148E"/>
    <w:rsid w:val="00E14194"/>
    <w:rsid w:val="00E17474"/>
    <w:rsid w:val="00E17525"/>
    <w:rsid w:val="00E17D48"/>
    <w:rsid w:val="00E26200"/>
    <w:rsid w:val="00E26E9F"/>
    <w:rsid w:val="00E3180C"/>
    <w:rsid w:val="00E36320"/>
    <w:rsid w:val="00E5355F"/>
    <w:rsid w:val="00E635F2"/>
    <w:rsid w:val="00E704C7"/>
    <w:rsid w:val="00E9447D"/>
    <w:rsid w:val="00EA3C7A"/>
    <w:rsid w:val="00EB624F"/>
    <w:rsid w:val="00EC3B09"/>
    <w:rsid w:val="00ED2315"/>
    <w:rsid w:val="00EE0F79"/>
    <w:rsid w:val="00EE1234"/>
    <w:rsid w:val="00EF5196"/>
    <w:rsid w:val="00EF6A05"/>
    <w:rsid w:val="00F07B62"/>
    <w:rsid w:val="00F209E7"/>
    <w:rsid w:val="00F23AD3"/>
    <w:rsid w:val="00F26140"/>
    <w:rsid w:val="00F30356"/>
    <w:rsid w:val="00F45874"/>
    <w:rsid w:val="00F53E1D"/>
    <w:rsid w:val="00F576AF"/>
    <w:rsid w:val="00F577BF"/>
    <w:rsid w:val="00F6126C"/>
    <w:rsid w:val="00F63A22"/>
    <w:rsid w:val="00F65A91"/>
    <w:rsid w:val="00F70B1B"/>
    <w:rsid w:val="00F7580F"/>
    <w:rsid w:val="00F77EC2"/>
    <w:rsid w:val="00F858AF"/>
    <w:rsid w:val="00F9011C"/>
    <w:rsid w:val="00F96CB9"/>
    <w:rsid w:val="00F97B00"/>
    <w:rsid w:val="00FA0E4A"/>
    <w:rsid w:val="00FA6E57"/>
    <w:rsid w:val="00FB14CA"/>
    <w:rsid w:val="00FB2138"/>
    <w:rsid w:val="00FC5862"/>
    <w:rsid w:val="00FD3B36"/>
    <w:rsid w:val="00FD57B9"/>
    <w:rsid w:val="00FE115F"/>
    <w:rsid w:val="00FE684F"/>
    <w:rsid w:val="00FF4E18"/>
    <w:rsid w:val="00FF60D9"/>
    <w:rsid w:val="00FF7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78AE5-EE52-45B8-8C61-4328F70E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3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 w:type="character" w:customStyle="1" w:styleId="berschrift1Zchn">
    <w:name w:val="Überschrift 1 Zchn"/>
    <w:basedOn w:val="Absatz-Standardschriftart"/>
    <w:link w:val="berschrift1"/>
    <w:uiPriority w:val="9"/>
    <w:rsid w:val="00503E2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7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4D04E-8A23-4DCD-9FAB-6C19D3A5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9564</Words>
  <Characters>60254</Characters>
  <Application>Microsoft Office Word</Application>
  <DocSecurity>0</DocSecurity>
  <Lines>502</Lines>
  <Paragraphs>139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132</cp:revision>
  <dcterms:created xsi:type="dcterms:W3CDTF">2022-01-10T16:42:00Z</dcterms:created>
  <dcterms:modified xsi:type="dcterms:W3CDTF">2022-03-09T18:55:00Z</dcterms:modified>
</cp:coreProperties>
</file>