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 xml:space="preserve">e Wandel spielt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w:t>
      </w:r>
      <w:r w:rsidR="00A045D7">
        <w:t>notwendig macht (Simon, Tanner &amp;</w:t>
      </w:r>
      <w:r w:rsidR="000502CA">
        <w:t xml:space="preserve">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(Jankovic, 2008)</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 </w:t>
      </w:r>
    </w:p>
    <w:p w:rsidR="00FA6E57" w:rsidRDefault="007054DD" w:rsidP="00F9011C">
      <w:r>
        <w:t>Der Rigor steht für eine erhöhte Bewegungsresistenz, die am besten durch das „Zahnradphänomen“ dargestellt werden kann</w:t>
      </w:r>
      <w:r w:rsidR="00321F42">
        <w:t xml:space="preserve"> (Jankovic, 2008)</w:t>
      </w:r>
      <w:r>
        <w:t xml:space="preserve">. </w:t>
      </w:r>
      <w:r w:rsidR="006B18AD">
        <w:t>Dieses wird häufig überprüft, indem die Hände von Patient*innen mit Rigor festgehalten und im Kreis gedreht werden. Statt einer flüssigen kreisförmigen Bewegung ist ein Widerstand fühlbar.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(Jankovic, 2008)</w:t>
      </w:r>
      <w:r>
        <w:t xml:space="preserve">. Diese wird getestet, indem Patient*innen an ihren Schultern schnell vor und </w:t>
      </w:r>
      <w:proofErr w:type="gramStart"/>
      <w:r>
        <w:t>zurück gezogen</w:t>
      </w:r>
      <w:proofErr w:type="gramEnd"/>
      <w:r>
        <w:t xml:space="preserve"> werden. Wenn sie mehr als zwei Schritte zurückgehen oder gar keine Reaktion in ihrer Haltung zeigen, deutet das </w:t>
      </w:r>
      <w:r w:rsidR="00C91C5C">
        <w:t xml:space="preserve">auf eine Einschränkung. Dieses Symptom gehört zu den Hauptursachen von Stürzen und ist daher äußerst gefährlich.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w:t>
      </w:r>
      <w:r w:rsidR="003C78F7">
        <w:lastRenderedPageBreak/>
        <w:t>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den motorischen Symptomen nicht so offensichtlich erkennbar sind</w:t>
      </w:r>
      <w:r w:rsidR="00D7004D">
        <w:t xml:space="preserve"> (Jankovic,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w:t>
      </w:r>
      <w:r>
        <w:t xml:space="preserve"> die oft nicht berücksichtigt wu</w:t>
      </w:r>
      <w:r w:rsidR="00394DE3">
        <w:t>rd</w:t>
      </w:r>
      <w:r>
        <w:t>e</w:t>
      </w:r>
      <w:r w:rsidR="00394DE3">
        <w:t xml:space="preserve">.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 xml:space="preserve">bedingt sind. </w:t>
      </w:r>
    </w:p>
    <w:p w:rsidR="000D188D" w:rsidRDefault="006804F1">
      <w:r>
        <w:t>Da s</w:t>
      </w:r>
      <w:r w:rsidR="00FD57B9">
        <w:t xml:space="preserve">ie lange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FD57B9">
        <w:t xml:space="preserve"> </w:t>
      </w:r>
      <w:r w:rsidR="007E4E37">
        <w:t>Eine lange Zeit wurden mit ihr nur motorische Aspekte von Morbus Parkinson erfasst, um klinische Veränderungen der Symptomatik messbar und vergleichbar zu machen (Gomez-Esteban et al., 2007).</w:t>
      </w:r>
      <w:r w:rsidR="00823F52">
        <w:t xml:space="preserve"> Obwohl inzwischen nicht-motorische Aspekte deutlich mehr berücksichtigt werden,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823F52">
        <w:t xml:space="preserve"> </w:t>
      </w:r>
      <w:r w:rsidR="00C704AE">
        <w:t xml:space="preserve">Die Verringerung der motorischen Symptome ist daher weiterhin ein wichtiger Bestandteil der Behandlung von Morbus Parkinson und sollte in der klinischen Forschung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(Jankovic, 2008)</w:t>
      </w:r>
      <w:r>
        <w:t xml:space="preserve">. 1957 wurde erkannt, dass der Neurotransmitter Dopamin dabei eine entscheidende Rolle spielt.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er 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D7004D">
        <w:t xml:space="preserve"> </w:t>
      </w:r>
    </w:p>
    <w:p w:rsidR="000D188D" w:rsidRDefault="000D188D" w:rsidP="000D188D">
      <w:r>
        <w:lastRenderedPageBreak/>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compacta</w:t>
      </w:r>
      <w:proofErr w:type="spellEnd"/>
      <w:r w:rsidR="00AB6FCF">
        <w:t xml:space="preserve"> sorgt auch dafür, dass der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A3C7A">
        <w:t>funden, die die Relevanz des STK</w:t>
      </w:r>
      <w:r w:rsidR="00335D4C">
        <w:t xml:space="preserve"> innerhalb dieser Verschaltung verstärkt 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erhalten werden können (</w:t>
      </w:r>
      <w:proofErr w:type="spellStart"/>
      <w:r>
        <w:t>Poewe</w:t>
      </w:r>
      <w:proofErr w:type="spellEnd"/>
      <w:r>
        <w:t xml:space="preserve"> et al., 2017).</w:t>
      </w:r>
      <w:r w:rsidR="00C87F2F">
        <w:t xml:space="preserve"> D</w:t>
      </w:r>
      <w:r w:rsidR="007B2BE2">
        <w:t>er Ursprung der motorischen Symptome</w:t>
      </w:r>
      <w:r w:rsidR="00C87F2F">
        <w:t xml:space="preserve"> liegt</w:t>
      </w:r>
      <w:r w:rsidR="007B2BE2">
        <w:t xml:space="preserve"> in dem Verlust der </w:t>
      </w:r>
      <w:proofErr w:type="spellStart"/>
      <w:r w:rsidR="007B2BE2">
        <w:t>dopaminergen</w:t>
      </w:r>
      <w:proofErr w:type="spellEnd"/>
      <w:r w:rsidR="007B2BE2">
        <w:t xml:space="preserve"> Neuronen in der </w:t>
      </w:r>
      <w:proofErr w:type="spellStart"/>
      <w:r w:rsidR="007B2BE2">
        <w:t>Substantia</w:t>
      </w:r>
      <w:proofErr w:type="spellEnd"/>
      <w:r w:rsidR="007B2BE2">
        <w:t xml:space="preserve"> </w:t>
      </w:r>
      <w:proofErr w:type="spellStart"/>
      <w:r w:rsidR="007B2BE2">
        <w:t>Nigra</w:t>
      </w:r>
      <w:proofErr w:type="spellEnd"/>
      <w:r w:rsidR="007B2BE2">
        <w:t xml:space="preserve"> pars </w:t>
      </w:r>
      <w:proofErr w:type="spellStart"/>
      <w:r w:rsidR="007B2BE2">
        <w:t>compacta</w:t>
      </w:r>
      <w:proofErr w:type="spellEnd"/>
      <w:r w:rsidR="007B2BE2">
        <w:t xml:space="preserve"> und der daraus resultierenden Verminderung von Dopamin im </w:t>
      </w:r>
      <w:proofErr w:type="spellStart"/>
      <w:r w:rsidR="007B2BE2">
        <w:t>Striatum</w:t>
      </w:r>
      <w:proofErr w:type="spellEnd"/>
      <w:r w:rsidR="00C87F2F">
        <w:t xml:space="preserve">. Diese Verminderung wird durch die medikamentöse </w:t>
      </w:r>
      <w:r w:rsidR="00F77EC2">
        <w:t xml:space="preserve">Zugabe von </w:t>
      </w:r>
      <w:proofErr w:type="spellStart"/>
      <w:r w:rsidR="00F77EC2">
        <w:t>Levodopa</w:t>
      </w:r>
      <w:proofErr w:type="spellEnd"/>
      <w:r w:rsidR="00F77EC2">
        <w:t>, der Vorstufe von Dopamin, ausgeglichen und kontrolliert. Diese Behandlungsform, die vor über 50 Jahren bahnbrechend war, ist immer noch Teil des Goldstandards zur Behandlung von Morbus Parkinson, sodass nahezu jede erkrankte Person im Laufe der Zeit damit behandelt wird (</w:t>
      </w:r>
      <w:proofErr w:type="spellStart"/>
      <w:r w:rsidR="00F77EC2">
        <w:t>Poewe</w:t>
      </w:r>
      <w:proofErr w:type="spellEnd"/>
      <w:r w:rsidR="00F77EC2">
        <w:t xml:space="preserve"> et al., zitiert nach). </w:t>
      </w:r>
      <w:r w:rsidR="00C87F2F">
        <w:t xml:space="preserve">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97325" w:rsidRDefault="004C7615" w:rsidP="000D188D">
      <w:r>
        <w:t xml:space="preserve">Im Jahr 1993 kam die Tiefe Hirnstimulation (THS) als alternative Behandlungsmöglichkeit zum Vorschein, nachdem der </w:t>
      </w:r>
      <w:proofErr w:type="spellStart"/>
      <w:r>
        <w:t>subthalamische</w:t>
      </w:r>
      <w:proofErr w:type="spellEnd"/>
      <w:r>
        <w:t xml:space="preserve"> Kern (STK) als sinnvolles Ziel der THS festgestellt wurde (</w:t>
      </w:r>
      <w:proofErr w:type="spellStart"/>
      <w:r>
        <w:t>Poewe</w:t>
      </w:r>
      <w:proofErr w:type="spellEnd"/>
      <w:r>
        <w:t xml:space="preserve"> et al., 2017 zitiert nach).</w:t>
      </w:r>
      <w:r w:rsidR="001B40C0">
        <w:t xml:space="preserve"> Die THS basiert auf dem Befund, dass hochfrequente elektrische Stimulation von 100 bis 200 Hertz auf bestimmte Bereiche des Gehirns den gleichen Effekt hat wie eine Läsion (</w:t>
      </w:r>
      <w:proofErr w:type="spellStart"/>
      <w:r w:rsidR="001B40C0">
        <w:t>Poewe</w:t>
      </w:r>
      <w:proofErr w:type="spellEnd"/>
      <w:r w:rsidR="001B40C0">
        <w:t xml:space="preserve"> et al., 2017). Der Vorteil daran ist, dass dieser Bereich des Gehirns dadurch nicht zerstört wird </w:t>
      </w:r>
      <w:r w:rsidR="00C54190">
        <w:t xml:space="preserve">und der Vorgang somit reversibel ist. Die Behandlung mit THS ist seitdem ausführlich klinisch getestet und untersucht worden. Aufgrund der sehr hohen </w:t>
      </w:r>
      <w:r w:rsidR="00EA3C7A">
        <w:t>Wirksamkeit, ist die THS des STK</w:t>
      </w:r>
      <w:r w:rsidR="00C54190">
        <w:t xml:space="preserve"> schon seit einiger Zeit eine etablierte und evidenzbasierte Option zur Behandlung von motorischen Symptomen bei fortgeschrittener Erkrankung an Morbus Parkinson (</w:t>
      </w:r>
      <w:proofErr w:type="spellStart"/>
      <w:r w:rsidR="00C54190">
        <w:t>Poewe</w:t>
      </w:r>
      <w:proofErr w:type="spellEnd"/>
      <w:r w:rsidR="00C54190">
        <w:t xml:space="preserve"> et al., 2017 zitiert nach).</w:t>
      </w:r>
      <w:r w:rsidR="00FC5862">
        <w:t xml:space="preserve"> Da die Verringerung der Symptomatik bei der Behandlung mit THS und der Behandlung mit </w:t>
      </w:r>
      <w:proofErr w:type="spellStart"/>
      <w:r w:rsidR="00FC5862">
        <w:t>Levodopa</w:t>
      </w:r>
      <w:proofErr w:type="spellEnd"/>
      <w:r w:rsidR="00FC5862">
        <w:t xml:space="preserve"> auf demselben Mechanismus basiert, sprechen Patient*innen meistens nicht auf die THS an, wenn  </w:t>
      </w:r>
      <w:r w:rsidR="00FC5862">
        <w:lastRenderedPageBreak/>
        <w:t xml:space="preserve">die 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proofErr w:type="spellStart"/>
      <w:r w:rsidR="00B94287">
        <w:t>Poewe</w:t>
      </w:r>
      <w:proofErr w:type="spellEnd"/>
      <w:r w:rsidR="00B94287">
        <w:t xml:space="preserve"> et al., 2017 zitiert nach). </w:t>
      </w:r>
      <w:r w:rsidR="00FC5862">
        <w:t xml:space="preserve"> </w:t>
      </w:r>
      <w:r w:rsidR="006C5A40">
        <w:t>Es konnte gezeigt werden,</w:t>
      </w:r>
      <w:r w:rsidR="00EA3C7A">
        <w:t xml:space="preserve"> dass die bilaterale THS des STK</w:t>
      </w:r>
      <w:r w:rsidR="006C5A40">
        <w:t xml:space="preserve"> die Aktivitäten im Alltag, die motorischen Symptome und die Lebensqualität erheblich verbessert</w:t>
      </w:r>
      <w:r w:rsidR="00997325">
        <w:t>, selbst im Vergleich zur bestmöglichen medikamentösen Behandlung</w:t>
      </w:r>
      <w:r w:rsidR="006C5A40">
        <w:t xml:space="preserve"> (</w:t>
      </w:r>
      <w:proofErr w:type="spellStart"/>
      <w:r w:rsidR="006C5A40">
        <w:t>Poewe</w:t>
      </w:r>
      <w:proofErr w:type="spellEnd"/>
      <w:r w:rsidR="006C5A40">
        <w:t xml:space="preserve"> et al., 2017 zitiert nach).</w:t>
      </w:r>
      <w:r w:rsidR="00997325">
        <w:t xml:space="preserve"> 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Medikation (</w:t>
      </w:r>
      <w:proofErr w:type="spellStart"/>
      <w:r w:rsidR="00997325">
        <w:t>Poewe</w:t>
      </w:r>
      <w:proofErr w:type="spellEnd"/>
      <w:r w:rsidR="00997325">
        <w:t xml:space="preserve"> et al., zitiert nach).</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öße des motorischen Bereichs im</w:t>
      </w:r>
      <w:r w:rsidR="00A92E93">
        <w:t xml:space="preserve"> STK, muss die Elektrode sehr präzise positioniert werden, da die Spannung sich sonst auf umliegende Bereiche ausbreiten könnte (Thompson et al., 2018). </w:t>
      </w:r>
      <w:r w:rsidR="00A458C8">
        <w:t xml:space="preserve">Dabei kann es zu Nebeneffekten kommen wie Sprachstörungen, Kontraktionen, Parästhesien, Störungen der Augenbewegung und psychiatrische Symptome (Thompson et al., 2018 zitiert nach 6 Quellen). </w:t>
      </w:r>
      <w:r w:rsidR="00FF4E18">
        <w:t xml:space="preserve">Deshalb sind Neurochirurgen auf bildgebende Verfahren, Elektrophysiologie, kinästhetische Reaktionen und dem Testen der Stimulation angewiesen (Thompson et al., 2018 zitiert nach 3 Quellen). Der Goldstandard für die optimale </w:t>
      </w:r>
      <w:r w:rsidR="00EA3C7A">
        <w:t>Bestimmung d</w:t>
      </w:r>
      <w:r w:rsidR="006A7676">
        <w:t>es sensomotorischen Bereichs im</w:t>
      </w:r>
      <w:r w:rsidR="00EA3C7A">
        <w:t xml:space="preserve"> STK basiert auf Mikroelektroden-Aufzeichnungen (MEA) der neuronalen Aktivität, die in den geplanten Trajekten der Operation zu finden sind (Thompson et al., 2018 zitiert nach 3 Quellen). Durch diese Aufzeichnungen können hochauflösende Kartierungen der Grenzen des STK vorgenommen we</w:t>
      </w:r>
      <w:r w:rsidR="00B43C14">
        <w:t xml:space="preserve">rden und </w:t>
      </w:r>
      <w:proofErr w:type="spellStart"/>
      <w:r w:rsidR="00B43C14">
        <w:t>oszillatorische</w:t>
      </w:r>
      <w:proofErr w:type="spellEnd"/>
      <w:r w:rsidR="00EA3C7A">
        <w:t xml:space="preserve"> Aktivitätsmuster</w:t>
      </w:r>
      <w:r w:rsidR="00B43C14">
        <w:t xml:space="preserve"> identifiziert werden,</w:t>
      </w:r>
      <w:r w:rsidR="00EA3C7A">
        <w:t xml:space="preserve"> die</w:t>
      </w:r>
      <w:r w:rsidR="00B43C14">
        <w:t xml:space="preserve"> mit</w:t>
      </w:r>
      <w:r w:rsidR="00EA3C7A">
        <w:t xml:space="preserve"> </w:t>
      </w:r>
      <w:r w:rsidR="00B43C14">
        <w:t xml:space="preserve">sensomotorischen somatotopen rezeptiven Felder übereinstimmen Thompson et al., 2018 zitiert nach 5 Quellen). </w:t>
      </w:r>
      <w:r w:rsidR="00441A07">
        <w:t xml:space="preserve">Die THS ist daher eine komplexe Behandlungsmethode, die ein großes Maß an </w:t>
      </w:r>
      <w:proofErr w:type="spellStart"/>
      <w:r w:rsidR="00441A07">
        <w:t>interdisziplinärischer</w:t>
      </w:r>
      <w:proofErr w:type="spellEnd"/>
      <w:r w:rsidR="00441A07">
        <w:t xml:space="preserve"> Expertise verlangt, um die Elektrode sinnvoll zu positionieren, die Stimulation anschließend zu programmieren und die Medikation anzupassen (</w:t>
      </w:r>
      <w:proofErr w:type="spellStart"/>
      <w:r w:rsidR="00441A07">
        <w:t>Poewe</w:t>
      </w:r>
      <w:proofErr w:type="spellEnd"/>
      <w:r w:rsidR="00441A07">
        <w:t xml:space="preserve"> et al., 2017 zitiert nach). Um die Elektrode sinnvoll zu positionieren, ist die Interpretation dieser elektrophysiologischen Aktivitätsmuster abhängig von erfahrenen Neuropsychologen weshalb dieses Vorgehen teilweise auch subjektiven Entscheidungen unterliegt (Thompson et al., 2018 zitiert nach 2 Quellen).</w:t>
      </w:r>
      <w:r w:rsidR="00B43C14">
        <w:t xml:space="preserve"> </w:t>
      </w:r>
      <w:r w:rsidR="00EA3C7A">
        <w:t xml:space="preserve">   </w:t>
      </w:r>
      <w:r w:rsidR="00FF4E18">
        <w:t xml:space="preserve"> </w:t>
      </w:r>
    </w:p>
    <w:p w:rsidR="00DA1F01" w:rsidRDefault="00DA1F01" w:rsidP="004B1A26">
      <w:r>
        <w:t xml:space="preserve">Um diesem Umstand entgegenzuwirken und die Durchführung der THS einfacher und effizienter zu machen, gibt es einige rechnerische Modelle, die die beste Position für die Elektrode vorhersagen sollen (Thompson et al., 2018 zitiert nach 5 Quellen). Dabei werden meist </w:t>
      </w:r>
      <w:proofErr w:type="spellStart"/>
      <w:r>
        <w:t>oszillatorische</w:t>
      </w:r>
      <w:proofErr w:type="spellEnd"/>
      <w:r>
        <w:t xml:space="preserve"> Muster in bestimmten Frequenzbändern der Lokalen Feldpotentiale (LFPs) genutzt, die während der Operation aufgezeichnet werden (Thompson et al., 2018 zitiert nach 4 Quellen). </w:t>
      </w:r>
      <w:r w:rsidR="001B2C1C">
        <w:t xml:space="preserve">Es hat sich gezeigt, dass die Positionierung der Elektrode in Bereichen innerhalb des STK, die in der Beta-Frequenz von 13 bis 30 Hertz eine erhöhte spektrale Power aufweisen, mit einem verbessertem Ergebnis zusammenhängen (Thompson et al., 2018 zitiert nach). Die halbautomatische </w:t>
      </w:r>
      <w:r w:rsidR="00EE1234">
        <w:t xml:space="preserve">Software </w:t>
      </w:r>
      <w:proofErr w:type="spellStart"/>
      <w:r w:rsidR="00EE1234">
        <w:t>HaGuide</w:t>
      </w:r>
      <w:proofErr w:type="spellEnd"/>
      <w:r w:rsidR="00EE1234">
        <w:t xml:space="preserve"> Tool wird bei der Operation genutzt, um die Grenzen des STK und die Position zu bestimmen (Thompson et al., 2018). Für die Bestimmung der Grenzen des STK wird das quadratische Mittel des Signals aus der MEA verwendet, da das quadratische Mittel sensibel ist für Veränderungen in der Signaldichte. Sobald die Elektrode sich innerhalb des STK befindet, sind in der Aufzeichnung mehr Spikes zu sehen, deshalb wird das quadratische Mittel deutlich größer, sobald die erste Grenze erreicht ist. Es ist bekannt, dass sich der sensomotorische Bereich des STK im </w:t>
      </w:r>
      <w:proofErr w:type="spellStart"/>
      <w:r w:rsidR="00EE1234">
        <w:t>dorsolateralen</w:t>
      </w:r>
      <w:proofErr w:type="spellEnd"/>
      <w:r w:rsidR="00EE1234">
        <w:t xml:space="preserve"> Bereich b</w:t>
      </w:r>
      <w:r w:rsidR="005A139C">
        <w:t xml:space="preserve">efindet und dort ein erhöhtes Powerspektrum im </w:t>
      </w:r>
      <w:proofErr w:type="spellStart"/>
      <w:r w:rsidR="005A139C">
        <w:t>Betaband</w:t>
      </w:r>
      <w:proofErr w:type="spellEnd"/>
      <w:r w:rsidR="005A139C">
        <w:t xml:space="preserve"> bei 13 bis 30 Hertz und im Thetaband bei 5 bis 7 Hertz</w:t>
      </w:r>
      <w:r w:rsidR="00EE1234">
        <w:t xml:space="preserve"> </w:t>
      </w:r>
      <w:r w:rsidR="005A139C">
        <w:t>typisch ist (Thompson et al., 2018 zitiert nach 2 Quellen).</w:t>
      </w:r>
      <w:r w:rsidR="00EE1234">
        <w:t xml:space="preserve"> </w:t>
      </w:r>
      <w:r w:rsidR="004B1A26">
        <w:t xml:space="preserve">Die Software war </w:t>
      </w:r>
      <w:r w:rsidR="00087CA9">
        <w:t xml:space="preserve">mit Hilfe dieser Informationen </w:t>
      </w:r>
      <w:r w:rsidR="004B1A26">
        <w:t>dazu in der Lage eine vertrauenswürdige Schätzung für das Eintreten und Austreten der Elektrode in den STK und die optimale Position der Elektrode zu bestimmen mit starkem Zusammenhang zu den Beobachtungen eines erfahrenen Neurochirurgen/Neurophysiologen (Thompson et al., 2018).</w:t>
      </w:r>
    </w:p>
    <w:p w:rsidR="00087CA9" w:rsidRDefault="00545DE5" w:rsidP="004B1A26">
      <w:r>
        <w:lastRenderedPageBreak/>
        <w:t>1.4 Versuchsidee</w:t>
      </w:r>
    </w:p>
    <w:p w:rsidR="00545DE5" w:rsidRDefault="00545DE5" w:rsidP="004B1A26">
      <w:r>
        <w:t>Der Nutzen der Spike-Aktivität wurde bereits in vielerlei Hinsicht erforscht und nach</w:t>
      </w:r>
      <w:r w:rsidR="00C648A4">
        <w:t>gewiesen (</w:t>
      </w:r>
      <w:proofErr w:type="spellStart"/>
      <w:r w:rsidR="00C648A4">
        <w:t>Koirala</w:t>
      </w:r>
      <w:proofErr w:type="spellEnd"/>
      <w:r w:rsidR="00C648A4">
        <w:t xml:space="preserve"> et al., 2020; Thompson et al., 2018</w:t>
      </w:r>
      <w:r w:rsidR="00F07B62">
        <w:t>).</w:t>
      </w:r>
      <w:r>
        <w:t xml:space="preserve"> Der funktionale Nutzen von LFPs in direktionaler THS ist </w:t>
      </w:r>
      <w:r w:rsidR="00F07B62">
        <w:t xml:space="preserve">jedoch noch nicht gut erforscht. Auch wenn die Relevanz des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 dass im Frequenzband von 13 bis 30 Hertz für Beta die Power größer wird, wenn die Elektrode sich der Position nähert, die die beste Verringerung der Symptome zur Folge hat (</w:t>
      </w:r>
      <w:r w:rsidR="00A045D7">
        <w:t xml:space="preserve">Cole et al., 2017; </w:t>
      </w:r>
      <w:proofErr w:type="spellStart"/>
      <w:r w:rsidR="00A045D7">
        <w:t>Koirala</w:t>
      </w:r>
      <w:proofErr w:type="spellEnd"/>
      <w:r w:rsidR="00A045D7">
        <w:t xml:space="preserve"> et al., 2020; </w:t>
      </w:r>
      <w:proofErr w:type="spellStart"/>
      <w:r w:rsidR="00A045D7">
        <w:t>Telkes</w:t>
      </w:r>
      <w:proofErr w:type="spellEnd"/>
      <w:r w:rsidR="00A045D7">
        <w:t xml:space="preserve"> et al., 2020).</w:t>
      </w:r>
    </w:p>
    <w:p w:rsidR="000C5BA2" w:rsidRDefault="000C5BA2" w:rsidP="004B1A26">
      <w:r>
        <w:t xml:space="preserve">Das UKSH in Kiel ist ein Vorreiter in der Forschung und Behandlung von Parkinson. Wir haben die Möglichkeit für diese Masterarbeit einige Datensätze von Patient*innen zu bekommen, die an Morbus Parkinson erkrankt sind und mit der THS behandelt wurden. </w:t>
      </w:r>
      <w:r w:rsidR="004E28B4">
        <w:t>Das Ziel dieser Masterarbeit ist es, die Frage zu beantworten, ob anhand dieser Daten, die während der Operation aufgezeichn</w:t>
      </w:r>
      <w:r w:rsidR="00D13501">
        <w:t>et worden sind, ein stabiler Effekt für die</w:t>
      </w:r>
      <w:r w:rsidR="004E28B4">
        <w:t xml:space="preserve"> bisher gefunden Zusammenhänge zwischen der Position der Elektrode un</w:t>
      </w:r>
      <w:r w:rsidR="00117895">
        <w:t>d den elektrophysiologischen Maßen aufgezeigt werden können</w:t>
      </w:r>
      <w:r w:rsidR="00D13501">
        <w:t>,</w:t>
      </w:r>
      <w:r w:rsidR="00117895">
        <w:t xml:space="preserve"> und ob noch weitere Zusammenhänge zu finden sind. Besonders interessant sind zum einen die Power im Beta- und im Thetaband, da diese durch den </w:t>
      </w:r>
      <w:proofErr w:type="spellStart"/>
      <w:r w:rsidR="00117895">
        <w:t>HaGuide</w:t>
      </w:r>
      <w:proofErr w:type="spellEnd"/>
      <w:r w:rsidR="00117895">
        <w:t xml:space="preserve"> bei der Durchführung der Operation bereits zur Positionierung der Elektrode genutzt werden (Thompson et al., 2018).  </w:t>
      </w:r>
      <w:r w:rsidR="00D13501">
        <w:t xml:space="preserve">Aufgrund der bisherigen Literatur ergeben sich folgende Annahmen: </w:t>
      </w:r>
    </w:p>
    <w:p w:rsidR="00D13501" w:rsidRDefault="00D13501" w:rsidP="004B1A26">
      <w:r>
        <w:t xml:space="preserve">Hypothese 1: Die Power im </w:t>
      </w:r>
      <w:proofErr w:type="spellStart"/>
      <w:r>
        <w:t>Betaband</w:t>
      </w:r>
      <w:proofErr w:type="spellEnd"/>
      <w:r>
        <w:t xml:space="preserve"> ist in der Nähe des Zielbereichs größer, als in weiterer Entfernung vom Zielbereich.</w:t>
      </w:r>
    </w:p>
    <w:p w:rsidR="00C354B8" w:rsidRDefault="00D13501" w:rsidP="004B1A26">
      <w:r>
        <w:t>Ebenfalls von besonderem Interesse ist die aperiodische Komponente des elektrophysiologischen Signals. Das elektrophysiologische Signal enthält periodische und aperiodische Eigenschaften. In der Forschung wurden bisher in den meisten Bereichen ausschließlich die periodischen Anteile berücksichtigt, während der aperiodische Anteil, der einer 1/f-Verteilun</w:t>
      </w:r>
      <w:r w:rsidR="00562463">
        <w:t>g ähnelt, nur als Hintergrundrauschen entfernt und ignoriert wurde (</w:t>
      </w:r>
      <w:proofErr w:type="spellStart"/>
      <w:r w:rsidR="00C141B0">
        <w:t>Donoghue</w:t>
      </w:r>
      <w:proofErr w:type="spellEnd"/>
      <w:r w:rsidR="00C141B0">
        <w:t xml:space="preserve"> et al., 2020).</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darstellt, statt eines zufälligen Hintergrundrauschens. Durch einen neuen Algorithmus </w:t>
      </w:r>
      <w:r w:rsidR="00CB3F02">
        <w:t xml:space="preserve">(FOOOF) </w:t>
      </w:r>
      <w:r w:rsidR="00A43F20">
        <w:t xml:space="preserve">von </w:t>
      </w:r>
      <w:proofErr w:type="spellStart"/>
      <w:r w:rsidR="00A43F20">
        <w:t>Donoghue</w:t>
      </w:r>
      <w:proofErr w:type="spellEnd"/>
      <w:r w:rsidR="00A43F20">
        <w:t xml:space="preserve"> et al. (2020) kann der aperiodische Anteil des Signals von den periodischen Anteilen getrennt werden</w:t>
      </w:r>
      <w:r w:rsidR="00C354B8">
        <w:t>. Dadurch können w</w:t>
      </w:r>
      <w:r w:rsidR="00CB3F02">
        <w:t>ir die reine Power der periodischen Oszillationen in den einzelnen</w:t>
      </w:r>
      <w:r w:rsidR="00C354B8">
        <w:t xml:space="preserve"> Frequenzbänder</w:t>
      </w:r>
      <w:r w:rsidR="00CB3F02">
        <w:t>n</w:t>
      </w:r>
      <w:r w:rsidR="00C354B8">
        <w:t xml:space="preserve"> errechnen, aber auch die aperiodische Komponente selbst als Faktor untersuchen. Dabei gehen wir davon aus, dass es einen Zusammenhang zwischen der aperiodischen Komponente und der Elektrodenposition gibt.</w:t>
      </w:r>
    </w:p>
    <w:p w:rsidR="00D13501" w:rsidRDefault="008637AB" w:rsidP="004B1A26">
      <w:r>
        <w:t>Hypothese 2</w:t>
      </w:r>
      <w:r w:rsidR="00C354B8">
        <w:t>: Die aperiodische Komponente des LFP-Signals hängt zusammen mit der Position der Elektrode.</w:t>
      </w:r>
      <w:r w:rsidR="00A43F20">
        <w:t xml:space="preserve"> </w:t>
      </w:r>
    </w:p>
    <w:p w:rsidR="008637AB" w:rsidRDefault="008637AB" w:rsidP="004B1A26">
      <w:r>
        <w:t>Es soll explorativ überprüft werden, ob die bisherigen Befunde aus der Forschung in dem vorhandenen Datensatz zu finden sind und ob noch weitere Aspekte eine Rolle spielen könnten, die bisher nicht berücksichtigt worden sind. Die Power im Thetaband und im Alphaband wurde beispielsweise mit Tremor in Verbindung gebracht, aber nicht mit der Positionierung der Elektrode im sensomotorischen Bereich des STK (</w:t>
      </w:r>
      <w:proofErr w:type="spellStart"/>
      <w:r>
        <w:t>Koirala</w:t>
      </w:r>
      <w:proofErr w:type="spellEnd"/>
      <w:r>
        <w:t xml:space="preserve"> et al., 2020).</w:t>
      </w:r>
    </w:p>
    <w:p w:rsidR="000C5BA2" w:rsidRDefault="000C5BA2" w:rsidP="004B1A26">
      <w:r>
        <w:t>Ein weiteres Ziel ist, am Ende der Masterarbeit ein Skript entwickelt zu haben, das zukünftige Forschung erleichtert und ein automatisiertes Programm zu Verfügung stellt, mit dem andere Datensätze und Fragestellungen verarbeitet und untersucht werden können.</w:t>
      </w:r>
    </w:p>
    <w:p w:rsidR="00465D1F" w:rsidRDefault="00966214" w:rsidP="000D188D">
      <w:r>
        <w:lastRenderedPageBreak/>
        <w:t xml:space="preserve">2. Methoden </w:t>
      </w:r>
    </w:p>
    <w:p w:rsidR="00966214" w:rsidRDefault="00966214" w:rsidP="000D188D">
      <w:r>
        <w:t>2.1 Stichprobe/ Daten</w:t>
      </w:r>
    </w:p>
    <w:p w:rsidR="000E3A63" w:rsidRDefault="00966214" w:rsidP="000D188D">
      <w:r>
        <w:t xml:space="preserve">Es liegen Daten von 30 Patient*innen vor, die an Morbus Parkinson erkrankt sind und eine Behandlung durch THS erhalten haben. Pro Patient*in befinden sich 38 bis 153 Dateien in dem jeweiligen Ordner, wobei jede Datei eine Momentaufnahme von einer bestimmten Elektrodenposition beinhaltet. </w:t>
      </w:r>
      <w:r w:rsidR="00AD4E9E">
        <w:t xml:space="preserve">Der Dateiname enthält dabei alle Informationen über die Position der Elektrode zu diesem Messzeitpunkt. </w:t>
      </w:r>
      <w:r w:rsidR="00F577BF">
        <w:t>Das erste Zeichen des Dateinamens ist entweder ein L oder ein R und zeigt an, ob sich die Elektrode in der rechten oder linken Hemisphäre befindet.</w:t>
      </w:r>
      <w:r w:rsidR="0035508D">
        <w:t xml:space="preserve"> Dahinter steht en</w:t>
      </w:r>
      <w:r w:rsidR="00E635F2">
        <w:t>tweder T1, T2, T3, T4 oder T5. Dadurch wird angeben, in welchem Trajekt sich die Elektrode befindet. Zur Implantation der Elektrode wird sie in eine</w:t>
      </w:r>
      <w:r w:rsidR="008B6691">
        <w:t xml:space="preserve"> winkelstabile</w:t>
      </w:r>
      <w:r w:rsidR="00E635F2">
        <w:t xml:space="preserve"> Vorrichtung eingeführt, die aus 5 Öffnungen besteht. Je nachdem in welche Öffnung die Elektrode eingeführt wird, befindet sich die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CA7EC0">
        <w:t>Als nächstes folgt nach dem Buchstaben D eine Zahl, die für die Tiefe der Elektrode in Relation zu einem Zielpunkt steht. Die Zielposition für die Elektrode wurde zuvor mittels MRT bestimmt und wird im Dateinamen als 0 kodiert. Die Messung des Signals beginnt bei der Operation in der Regel bei einer Tiefe von 10.000, also 10 mm vor der Zielposition.</w:t>
      </w:r>
      <w:r w:rsidR="0092094A">
        <w:t xml:space="preserve"> Wird die Elektrode über die Zielposition hinaus bewegt, bekommt die Tiefe ein negatives Vorzeichen</w:t>
      </w:r>
      <w:r w:rsidR="008B6691">
        <w:t xml:space="preserve">. Innerhalb von der Datei selbst befindet sich die Aufzeichnung des elektrischen Signals. Neben den Rohdaten befinden sich in den Datensätzen noch einige weitere Versionen, bei denen das Signal auf unterschiedliche Weise bereits vorverarbeitet oder gefiltert wurde. </w:t>
      </w:r>
    </w:p>
    <w:p w:rsidR="0023392E" w:rsidRDefault="0023392E" w:rsidP="000D188D">
      <w:r>
        <w:t>2.2 Durchführung</w:t>
      </w:r>
    </w:p>
    <w:p w:rsidR="004A551C" w:rsidRDefault="000E3A63" w:rsidP="000D188D">
      <w:r>
        <w:t>Z</w:t>
      </w:r>
      <w:r w:rsidR="003F70B6">
        <w:t>ur Durchführung der Operation wu</w:t>
      </w:r>
      <w:r>
        <w:t>rd</w:t>
      </w:r>
      <w:r w:rsidR="003F70B6">
        <w:t>e</w:t>
      </w:r>
      <w:r>
        <w:t xml:space="preserve"> an einer vorher bestimmten Stelle durch eine Bohrung di</w:t>
      </w:r>
      <w:r w:rsidR="003F70B6">
        <w:t>e Schädeldecke geöffnet. Dort wu</w:t>
      </w:r>
      <w:r>
        <w:t>rd</w:t>
      </w:r>
      <w:r w:rsidR="003F70B6">
        <w:t>e</w:t>
      </w:r>
      <w:r>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häufig bereits ausreichend genau ist, wurde die Elektrode meistens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7F6159">
        <w:t xml:space="preserve"> Sobald die Position mit dem besten Ergebnis ausgewählt wurde,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Die Daten, die für diese Masterarbeit vorliegen, sind die, die von den Testelektroden aufgezeichnet wurden. </w:t>
      </w:r>
    </w:p>
    <w:p w:rsidR="0023392E" w:rsidRDefault="00C62D1C" w:rsidP="000D188D">
      <w:r>
        <w:t xml:space="preserve">2.3 </w:t>
      </w:r>
      <w:proofErr w:type="gramStart"/>
      <w:r>
        <w:t>Vorverarbeitung</w:t>
      </w:r>
      <w:proofErr w:type="gramEnd"/>
      <w:r w:rsidR="0023392E">
        <w:t xml:space="preserve"> der EEG-Daten</w:t>
      </w:r>
    </w:p>
    <w:p w:rsidR="0023392E" w:rsidRDefault="00610D3E" w:rsidP="000D188D">
      <w:r>
        <w:t>Die Datensätze wu</w:t>
      </w:r>
      <w:r w:rsidR="0023392E">
        <w:t>rde</w:t>
      </w:r>
      <w:r>
        <w:t>n</w:t>
      </w:r>
      <w:r w:rsidR="0023392E">
        <w:t xml:space="preserve"> mit Hilfe von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Die Dateien wurden dafür mit einem Converter von dem Dateiformat des </w:t>
      </w:r>
      <w:proofErr w:type="spellStart"/>
      <w:r>
        <w:t>Neuro</w:t>
      </w:r>
      <w:proofErr w:type="spellEnd"/>
      <w:r>
        <w:t xml:space="preserve"> Omega Players (.</w:t>
      </w:r>
      <w:proofErr w:type="spellStart"/>
      <w:r>
        <w:t>mpx</w:t>
      </w:r>
      <w:proofErr w:type="spellEnd"/>
      <w:r>
        <w:t xml:space="preserve">) in </w:t>
      </w:r>
      <w:proofErr w:type="spellStart"/>
      <w:r>
        <w:t>Matlab</w:t>
      </w:r>
      <w:proofErr w:type="spellEnd"/>
      <w:r>
        <w:t>-Dateien gewandelt (.</w:t>
      </w:r>
      <w:proofErr w:type="spellStart"/>
      <w:r>
        <w:t>mat</w:t>
      </w:r>
      <w:proofErr w:type="spellEnd"/>
      <w:r>
        <w:t xml:space="preserve">). </w:t>
      </w:r>
      <w:r w:rsidR="00B43223">
        <w:t xml:space="preserve">Um die Daten einzulesen und zu verarbeiten wurde die </w:t>
      </w:r>
      <w:proofErr w:type="spellStart"/>
      <w:r w:rsidR="00B43223">
        <w:t>Matlab</w:t>
      </w:r>
      <w:proofErr w:type="spellEnd"/>
      <w:r w:rsidR="00B43223">
        <w:t>-Toolbox Fieldtrip verwendet (</w:t>
      </w:r>
      <w:proofErr w:type="spellStart"/>
      <w:r w:rsidR="00B43223">
        <w:t>Oostenveld</w:t>
      </w:r>
      <w:proofErr w:type="spellEnd"/>
      <w:r w:rsidR="00B43223">
        <w:t xml:space="preserve">, Fries, Maris &amp; </w:t>
      </w:r>
      <w:proofErr w:type="spellStart"/>
      <w:r w:rsidR="00B43223">
        <w:t>Schoffelen</w:t>
      </w:r>
      <w:proofErr w:type="spellEnd"/>
      <w:r w:rsidR="00B43223">
        <w:t xml:space="preserve">, 2011). </w:t>
      </w:r>
      <w:r w:rsidR="00C62D1C">
        <w:t xml:space="preserve">In einem ersten selbsterstellten </w:t>
      </w:r>
      <w:proofErr w:type="gramStart"/>
      <w:r w:rsidR="00C62D1C">
        <w:t>Skript</w:t>
      </w:r>
      <w:proofErr w:type="gramEnd"/>
      <w:r w:rsidR="00C62D1C">
        <w:t xml:space="preserve"> wurden durch einen Loop sämtliche Patient*innen-Ordner geöffnet und durch einen weiteren Loop alle einzelnen Dateien innerhalb eines Patient*innen-Ordners eingelesen und verarbeitet.</w:t>
      </w:r>
      <w:r w:rsidR="00821B87">
        <w:t xml:space="preserve"> Zu Beginn wu</w:t>
      </w:r>
      <w:r w:rsidR="008813BD">
        <w:t xml:space="preserve">rden die jeweiligen Informationen über die Position der Elektrode aus dem Dateinamen für alle Dateien eines Patient*innen-Ordners </w:t>
      </w:r>
      <w:r w:rsidR="008813BD">
        <w:lastRenderedPageBreak/>
        <w:t xml:space="preserve">abgespeichert (Tiefe, Seite, Trajekt). </w:t>
      </w:r>
      <w:r w:rsidR="00821B87">
        <w:t xml:space="preserve">Dann wurde das rohe elektrische Signal eingelesen. Davon wurde der </w:t>
      </w:r>
      <w:proofErr w:type="spellStart"/>
      <w:r w:rsidR="00821B87">
        <w:t>root</w:t>
      </w:r>
      <w:proofErr w:type="spellEnd"/>
      <w:r w:rsidR="00821B87">
        <w:t xml:space="preserve"> </w:t>
      </w:r>
      <w:proofErr w:type="spellStart"/>
      <w:r w:rsidR="00821B87">
        <w:t>mean</w:t>
      </w:r>
      <w:proofErr w:type="spellEnd"/>
      <w:r w:rsidR="00821B87">
        <w:t xml:space="preserve"> </w:t>
      </w:r>
      <w:proofErr w:type="spellStart"/>
      <w:r w:rsidR="00821B87">
        <w:t>square</w:t>
      </w:r>
      <w:proofErr w:type="spellEnd"/>
      <w:r w:rsidR="00821B87">
        <w:t xml:space="preserve"> berechnet und abgespeichert. Als nächstes wurden die LFP-Daten eingele</w:t>
      </w:r>
      <w:r w:rsidR="0049460C">
        <w:t xml:space="preserve">sen und die </w:t>
      </w:r>
      <w:proofErr w:type="spellStart"/>
      <w:r w:rsidR="0049460C">
        <w:t>samplegröße</w:t>
      </w:r>
      <w:proofErr w:type="spellEnd"/>
      <w:r w:rsidR="0049460C">
        <w:t xml:space="preserve"> von 44000 </w:t>
      </w:r>
      <w:r w:rsidR="00821B87">
        <w:t xml:space="preserve">Hz auf 512 Hz </w:t>
      </w:r>
      <w:r w:rsidR="00F65A91">
        <w:t xml:space="preserve">verringert. Dadurch verkürzt sich die Dauer der Datenverarbeitung von mehreren Tagen auf wenige Stunden. Im nächsten Schritt werden die Daten bereinigt. </w:t>
      </w:r>
      <w:r w:rsidR="005C311D">
        <w:t xml:space="preserve">Um die Vergleichbarkeit der Daten zu ermöglichen, wurden sie normalisiert. Anschließend wurden die </w:t>
      </w:r>
      <w:r w:rsidR="00943331">
        <w:t xml:space="preserve">LFPs der </w:t>
      </w:r>
      <w:r w:rsidR="005C311D">
        <w:t>Kanäle sämtlicher Positionen</w:t>
      </w:r>
      <w:r w:rsidR="00943331">
        <w:t xml:space="preserve"> für alle Patient*innen grafisch dargestellt. Durch visuelle Inspektion und ausprobieren wurde entschieden, dass alle LFPs in 4 Teile geschnitten </w:t>
      </w:r>
      <w:r w:rsidR="00E26E9F">
        <w:t xml:space="preserve">werden und dass alle Kanäle, die in einem dieser 4 Abschnitte </w:t>
      </w:r>
      <w:r w:rsidR="007B13F9">
        <w:t>eine Varianz unter 0.003</w:t>
      </w:r>
      <w:r w:rsidR="0006445C">
        <w:t xml:space="preserve"> oder über 0.055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nicht auf die Qualität der Daten oder die Vermeidung von Störsignalen geachtet. </w:t>
      </w:r>
      <w:r w:rsidR="00E26E9F">
        <w:t>Außerdem wurden alle Kanäle gelöscht, die weniger als 1280 Samplepunkte beinhalten und somit weniger als 2.5 Sekunde</w:t>
      </w:r>
      <w:r w:rsidR="008E707B">
        <w:t>n lang Daten aufgezeichnet wurden</w:t>
      </w:r>
      <w:r w:rsidR="00E26E9F">
        <w:t>.</w:t>
      </w:r>
    </w:p>
    <w:p w:rsidR="003E434A" w:rsidRDefault="003E434A" w:rsidP="000D188D">
      <w:r>
        <w:t>Im nächsten Schritt wurden die 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Daten von den Daten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keine Frequenzbereiche betrachtet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 Frequenzen über 45 Hz entfern. </w:t>
      </w:r>
      <w:r w:rsidR="008D15C4">
        <w:t xml:space="preserve">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proofErr w:type="spellEnd"/>
      <w:r>
        <w:t xml:space="preserve"> („</w:t>
      </w:r>
      <w:proofErr w:type="spellStart"/>
      <w:r>
        <w:t>mtmconvol</w:t>
      </w:r>
      <w:proofErr w:type="spellEnd"/>
      <w:r>
        <w:t>“</w:t>
      </w:r>
      <w:r w:rsidR="00F7580F">
        <w:t>) gewählt. A</w:t>
      </w:r>
      <w:r>
        <w:t>ls Output wurde die Power eingestellt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 Zeitfenster gewählt. Durch adaptive Glättung passt sich die Länge des Zeitfensters der Frequenz an (Quelle Website).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Einstellungen ausprobiert. In Abbildung X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Zyklen. Die TFR mit </w:t>
      </w:r>
      <w:proofErr w:type="spellStart"/>
      <w:r w:rsidR="00361555">
        <w:t>Hanning</w:t>
      </w:r>
      <w:proofErr w:type="spellEnd"/>
      <w:r w:rsidR="00361555">
        <w:t>-Tapern wurde mit einer TFR mit Wavelets verglichen, wobei dort keine adaptive Glättung der Zeitfenster möglich war. In Abbildung X ist zu sehen, dass die TFR mit Wavelets bei 3 bis 7 Zyklen grundsätzlich eine schlechtere Auflösung in der Frequenzdimension aufweisen.</w:t>
      </w:r>
      <w:bookmarkStart w:id="0" w:name="_GoBack"/>
      <w:bookmarkEnd w:id="0"/>
      <w:r w:rsidR="00361555">
        <w:t xml:space="preserve"> </w:t>
      </w:r>
      <w:r w:rsidR="000D6596">
        <w:t xml:space="preserve"> </w:t>
      </w:r>
    </w:p>
    <w:p w:rsidR="00CB3F02" w:rsidRDefault="00DB03FE" w:rsidP="000D188D">
      <w:r>
        <w:t>Der letzte größere Schritt des ersten Skripts bestand darin, die Powerspektren, die durch die TFR errechnet wurden als Input für den FOOOF-Algorithmus zu nutzen</w:t>
      </w:r>
      <w:r w:rsidR="00B17ACC">
        <w:t xml:space="preserve"> (</w:t>
      </w:r>
      <w:proofErr w:type="spellStart"/>
      <w:r w:rsidR="00B17ACC">
        <w:t>Donoghue</w:t>
      </w:r>
      <w:proofErr w:type="spellEnd"/>
      <w:r w:rsidR="00B17ACC">
        <w:t xml:space="preserve"> et al., 2020)</w:t>
      </w:r>
      <w:r>
        <w:t>.</w:t>
      </w:r>
      <w:r w:rsidR="00CB3F02">
        <w:t xml:space="preserve"> Dieser wurde genutzt, um die periodische Komponente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 xml:space="preserve">auch die Peaks der jeweiligen </w:t>
      </w:r>
      <w:r w:rsidR="003235F2">
        <w:lastRenderedPageBreak/>
        <w:t>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wurde, war auf 4 bis 35 Hz festgelegt.</w:t>
      </w:r>
    </w:p>
    <w:p w:rsidR="00966214" w:rsidRDefault="00C62577" w:rsidP="000D188D">
      <w:r>
        <w:t xml:space="preserve"> </w:t>
      </w:r>
    </w:p>
    <w:p w:rsidR="006045B8" w:rsidRDefault="006045B8" w:rsidP="000D188D"/>
    <w:p w:rsidR="00BD0535" w:rsidRPr="00AF1A6E" w:rsidRDefault="00084A45">
      <w:r w:rsidRPr="00AF1A6E">
        <w:t xml:space="preserve"> </w:t>
      </w:r>
      <w:r w:rsidR="00BD0535" w:rsidRPr="00AF1A6E">
        <w:br w:type="page"/>
      </w:r>
    </w:p>
    <w:p w:rsidR="00F9011C" w:rsidRPr="005F4D0E" w:rsidRDefault="00BD0535" w:rsidP="00F9011C">
      <w:r w:rsidRPr="005F4D0E">
        <w:lastRenderedPageBreak/>
        <w:t xml:space="preserve">5. Literatur </w:t>
      </w:r>
    </w:p>
    <w:p w:rsidR="00A045D7" w:rsidRDefault="00A045D7" w:rsidP="00F9011C">
      <w:pPr>
        <w:rPr>
          <w:lang w:val="en-US"/>
        </w:rPr>
      </w:pPr>
      <w:r w:rsidRPr="005F4D0E">
        <w:t xml:space="preserve">Cole, S. R., van der </w:t>
      </w:r>
      <w:proofErr w:type="spellStart"/>
      <w:r w:rsidRPr="005F4D0E">
        <w:t>Meij</w:t>
      </w:r>
      <w:proofErr w:type="spellEnd"/>
      <w:r w:rsidRPr="005F4D0E">
        <w:t xml:space="preserve">, R., Peterson, E. </w:t>
      </w:r>
      <w:proofErr w:type="gramStart"/>
      <w:r w:rsidRPr="005F4D0E">
        <w:t>J.,</w:t>
      </w:r>
      <w:proofErr w:type="gramEnd"/>
      <w:r w:rsidRPr="005F4D0E">
        <w:t xml:space="preserve"> de </w:t>
      </w:r>
      <w:proofErr w:type="spellStart"/>
      <w:r w:rsidRPr="005F4D0E">
        <w:t>Hemptinne</w:t>
      </w:r>
      <w:proofErr w:type="spellEnd"/>
      <w:r w:rsidRPr="005F4D0E">
        <w:t xml:space="preserve">, C., Starr, P. A. &amp; </w:t>
      </w:r>
      <w:proofErr w:type="spellStart"/>
      <w:r w:rsidRPr="005F4D0E">
        <w:t>Voytek</w:t>
      </w:r>
      <w:proofErr w:type="spellEnd"/>
      <w:r w:rsidRPr="005F4D0E">
        <w:t xml:space="preserve">, B. (2017). </w:t>
      </w:r>
      <w:proofErr w:type="spellStart"/>
      <w:r w:rsidRPr="007B13F9">
        <w:rPr>
          <w:lang w:val="en-US"/>
        </w:rPr>
        <w:t>Nonsin</w:t>
      </w:r>
      <w:r w:rsidRPr="00C62577">
        <w:rPr>
          <w:lang w:val="en-US"/>
        </w:rPr>
        <w:t>usoidal</w:t>
      </w:r>
      <w:proofErr w:type="spellEnd"/>
      <w:r w:rsidRPr="00C62577">
        <w:rPr>
          <w:lang w:val="en-US"/>
        </w:rPr>
        <w:t xml:space="preserve"> </w:t>
      </w:r>
      <w:r w:rsidRPr="00A045D7">
        <w:rPr>
          <w:lang w:val="en-US"/>
        </w:rPr>
        <w:t>beta oscillations reflect cortical pathophysiology in Parkinson's disease. </w:t>
      </w:r>
      <w:r w:rsidRPr="00A045D7">
        <w:rPr>
          <w:i/>
          <w:iCs/>
          <w:lang w:val="en-US"/>
        </w:rPr>
        <w:t>Journal of Neuroscience</w:t>
      </w:r>
      <w:r w:rsidRPr="00A045D7">
        <w:rPr>
          <w:lang w:val="en-US"/>
        </w:rPr>
        <w:t>, </w:t>
      </w:r>
      <w:r w:rsidRPr="00A045D7">
        <w:rPr>
          <w:i/>
          <w:iCs/>
          <w:lang w:val="en-US"/>
        </w:rPr>
        <w:t>37</w:t>
      </w:r>
      <w:r w:rsidRPr="00A045D7">
        <w:rPr>
          <w:lang w:val="en-US"/>
        </w:rPr>
        <w:t>(18), 4830-4840.</w:t>
      </w:r>
    </w:p>
    <w:p w:rsidR="00562463" w:rsidRPr="00A045D7" w:rsidRDefault="00562463" w:rsidP="00F9011C">
      <w:pPr>
        <w:rPr>
          <w:lang w:val="en-US"/>
        </w:rPr>
      </w:pPr>
      <w:r w:rsidRPr="00562463">
        <w:rPr>
          <w:lang w:val="en-US"/>
        </w:rPr>
        <w:t xml:space="preserve">Donoghue, T., Haller, M., Peterson, </w:t>
      </w:r>
      <w:r w:rsidR="00C141B0">
        <w:rPr>
          <w:lang w:val="en-US"/>
        </w:rPr>
        <w:t>E. J., Varma, P., Sebastian, P. &amp;</w:t>
      </w:r>
      <w:r w:rsidRPr="00562463">
        <w:rPr>
          <w:lang w:val="en-US"/>
        </w:rPr>
        <w:t xml:space="preserve"> </w:t>
      </w:r>
      <w:proofErr w:type="gramStart"/>
      <w:r w:rsidRPr="00562463">
        <w:rPr>
          <w:lang w:val="en-US"/>
        </w:rPr>
        <w:t>Gao</w:t>
      </w:r>
      <w:proofErr w:type="gramEnd"/>
      <w:r w:rsidRPr="00562463">
        <w:rPr>
          <w:lang w:val="en-US"/>
        </w:rPr>
        <w:t xml:space="preserve">, R. et al. (2020). Parameterizing neural power spectra into periodic and aperiodic components. </w:t>
      </w:r>
      <w:r w:rsidRPr="00193E0E">
        <w:rPr>
          <w:i/>
          <w:lang w:val="en-US"/>
        </w:rPr>
        <w:t>Nature neuroscience</w:t>
      </w:r>
      <w:r w:rsidRPr="00193E0E">
        <w:rPr>
          <w:lang w:val="en-US"/>
        </w:rPr>
        <w:t xml:space="preserve">, </w:t>
      </w:r>
      <w:r w:rsidRPr="00193E0E">
        <w:rPr>
          <w:i/>
          <w:lang w:val="en-US"/>
        </w:rPr>
        <w:t>23</w:t>
      </w:r>
      <w:r w:rsidRPr="00193E0E">
        <w:rPr>
          <w:lang w:val="en-US"/>
        </w:rPr>
        <w:t>(12), 1655-1665.</w:t>
      </w:r>
    </w:p>
    <w:p w:rsidR="001B472F" w:rsidRPr="001B472F" w:rsidRDefault="001B472F" w:rsidP="00F9011C">
      <w:pPr>
        <w:rPr>
          <w:lang w:val="en-US"/>
        </w:rPr>
      </w:pPr>
      <w:r w:rsidRPr="00A045D7">
        <w:rPr>
          <w:lang w:val="en-US"/>
        </w:rPr>
        <w:t xml:space="preserve">Dorsey, E. R., </w:t>
      </w:r>
      <w:proofErr w:type="spellStart"/>
      <w:r w:rsidRPr="00A045D7">
        <w:rPr>
          <w:lang w:val="en-US"/>
        </w:rPr>
        <w:t>Elbaz</w:t>
      </w:r>
      <w:proofErr w:type="spellEnd"/>
      <w:r w:rsidRPr="00A045D7">
        <w:rPr>
          <w:lang w:val="en-US"/>
        </w:rPr>
        <w:t xml:space="preserve">, A., Nichols, E., </w:t>
      </w:r>
      <w:proofErr w:type="spellStart"/>
      <w:r w:rsidRPr="00A045D7">
        <w:rPr>
          <w:lang w:val="en-US"/>
        </w:rPr>
        <w:t>Abbasi</w:t>
      </w:r>
      <w:proofErr w:type="spellEnd"/>
      <w:r w:rsidRPr="00A045D7">
        <w:rPr>
          <w:lang w:val="en-US"/>
        </w:rPr>
        <w:t xml:space="preserve">, N., </w:t>
      </w:r>
      <w:proofErr w:type="spellStart"/>
      <w:r w:rsidRPr="00A045D7">
        <w:rPr>
          <w:lang w:val="en-US"/>
        </w:rPr>
        <w:t>Abd</w:t>
      </w:r>
      <w:proofErr w:type="spellEnd"/>
      <w:r w:rsidRPr="00A045D7">
        <w:rPr>
          <w:lang w:val="en-US"/>
        </w:rPr>
        <w:t xml:space="preserve">-Allah, F., </w:t>
      </w:r>
      <w:proofErr w:type="spellStart"/>
      <w:r w:rsidRPr="00A045D7">
        <w:rPr>
          <w:lang w:val="en-US"/>
        </w:rPr>
        <w:t>Abdelalim</w:t>
      </w:r>
      <w:proofErr w:type="spellEnd"/>
      <w:r w:rsidRPr="00A045D7">
        <w:rPr>
          <w:lang w:val="en-US"/>
        </w:rPr>
        <w:t xml:space="preserve">, A. et al. </w:t>
      </w:r>
      <w:r w:rsidRPr="00FE115F">
        <w:rPr>
          <w:lang w:val="en-US"/>
        </w:rPr>
        <w:t>(2018). Globa</w:t>
      </w:r>
      <w:r w:rsidRPr="00183EF5">
        <w:rPr>
          <w:lang w:val="en-US"/>
        </w:rPr>
        <w:t xml:space="preserve">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545DE5" w:rsidRDefault="00545DE5" w:rsidP="00F9011C">
      <w:pPr>
        <w:rPr>
          <w:lang w:val="en-US"/>
        </w:rPr>
      </w:pPr>
      <w:proofErr w:type="spellStart"/>
      <w:r w:rsidRPr="00545DE5">
        <w:t>Koirala</w:t>
      </w:r>
      <w:proofErr w:type="spellEnd"/>
      <w:r w:rsidRPr="00545DE5">
        <w:t xml:space="preserve">, </w:t>
      </w:r>
      <w:proofErr w:type="gramStart"/>
      <w:r w:rsidRPr="00545DE5">
        <w:t>N.,</w:t>
      </w:r>
      <w:proofErr w:type="gramEnd"/>
      <w:r w:rsidRPr="00545DE5">
        <w:t xml:space="preserve"> Serrano, L., Paschen, S., Falk, D.</w:t>
      </w:r>
      <w:r>
        <w:t xml:space="preserve">, </w:t>
      </w:r>
      <w:proofErr w:type="spellStart"/>
      <w:r>
        <w:t>Anwar</w:t>
      </w:r>
      <w:proofErr w:type="spellEnd"/>
      <w:r>
        <w:t xml:space="preserve">, A. R. &amp; </w:t>
      </w:r>
      <w:proofErr w:type="spellStart"/>
      <w:r>
        <w:t>Kuravi</w:t>
      </w:r>
      <w:proofErr w:type="spellEnd"/>
      <w:r>
        <w:t>, P.</w:t>
      </w:r>
      <w:r w:rsidR="00F07B62">
        <w:t xml:space="preserve"> et al.</w:t>
      </w:r>
      <w:r w:rsidRPr="00545DE5">
        <w:t xml:space="preserve"> </w:t>
      </w:r>
      <w:r w:rsidRPr="000C5BA2">
        <w:rPr>
          <w:lang w:val="en-US"/>
        </w:rPr>
        <w:t xml:space="preserve">(2020). </w:t>
      </w:r>
      <w:r w:rsidRPr="00545DE5">
        <w:rPr>
          <w:lang w:val="en-US"/>
        </w:rPr>
        <w:t xml:space="preserve">Mapping of </w:t>
      </w:r>
      <w:proofErr w:type="spellStart"/>
      <w:r w:rsidRPr="00545DE5">
        <w:rPr>
          <w:lang w:val="en-US"/>
        </w:rPr>
        <w:t>subthalamic</w:t>
      </w:r>
      <w:proofErr w:type="spellEnd"/>
      <w:r w:rsidRPr="00545DE5">
        <w:rPr>
          <w:lang w:val="en-US"/>
        </w:rPr>
        <w:t xml:space="preserve"> nucleus using microelectrode recordings during deep brain stimulation. </w:t>
      </w:r>
      <w:r w:rsidRPr="00545DE5">
        <w:rPr>
          <w:i/>
          <w:iCs/>
          <w:lang w:val="en-US"/>
        </w:rPr>
        <w:t>Scientific reports</w:t>
      </w:r>
      <w:r w:rsidRPr="00545DE5">
        <w:rPr>
          <w:lang w:val="en-US"/>
        </w:rPr>
        <w:t>, </w:t>
      </w:r>
      <w:r w:rsidRPr="00545DE5">
        <w:rPr>
          <w:i/>
          <w:iCs/>
          <w:lang w:val="en-US"/>
        </w:rPr>
        <w:t>10</w:t>
      </w:r>
      <w:r w:rsidRPr="00545DE5">
        <w:rPr>
          <w:lang w:val="en-US"/>
        </w:rPr>
        <w:t>(1), 1-12.</w:t>
      </w:r>
    </w:p>
    <w:p w:rsidR="00B43223" w:rsidRPr="00B43223" w:rsidRDefault="00B43223" w:rsidP="00F9011C">
      <w:pPr>
        <w:rPr>
          <w:lang w:val="en-US"/>
        </w:rPr>
      </w:pPr>
      <w:proofErr w:type="spellStart"/>
      <w:r w:rsidRPr="00B43223">
        <w:rPr>
          <w:lang w:val="en-US"/>
        </w:rPr>
        <w:t>Oostenveld</w:t>
      </w:r>
      <w:proofErr w:type="spellEnd"/>
      <w:r w:rsidRPr="00B43223">
        <w:rPr>
          <w:lang w:val="en-US"/>
        </w:rPr>
        <w:t xml:space="preserve">, R., Fries, P., Maris, E., &amp; </w:t>
      </w:r>
      <w:proofErr w:type="spellStart"/>
      <w:r w:rsidRPr="00B43223">
        <w:rPr>
          <w:lang w:val="en-US"/>
        </w:rPr>
        <w:t>Schoffelen</w:t>
      </w:r>
      <w:proofErr w:type="spellEnd"/>
      <w:r w:rsidRPr="00B43223">
        <w:rPr>
          <w:lang w:val="en-US"/>
        </w:rPr>
        <w:t xml:space="preserve">, J. M. (2011). </w:t>
      </w:r>
      <w:proofErr w:type="spellStart"/>
      <w:r w:rsidRPr="00B43223">
        <w:rPr>
          <w:lang w:val="en-US"/>
        </w:rPr>
        <w:t>FieldTrip</w:t>
      </w:r>
      <w:proofErr w:type="spellEnd"/>
      <w:r w:rsidRPr="00B43223">
        <w:rPr>
          <w:lang w:val="en-US"/>
        </w:rPr>
        <w:t>: open source software for advanced analysis of MEG, EEG, and invasive electrophysiological data. Computational intelligence and neuroscience, 2011.</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r w:rsidRPr="00FE115F">
        <w:rPr>
          <w:i/>
          <w:iCs/>
          <w:lang w:val="en-US"/>
        </w:rPr>
        <w:t>Clinics in geriatric medicine</w:t>
      </w:r>
      <w:r w:rsidRPr="00FE115F">
        <w:rPr>
          <w:lang w:val="en-US"/>
        </w:rPr>
        <w:t>, </w:t>
      </w:r>
      <w:r w:rsidRPr="00FE115F">
        <w:rPr>
          <w:i/>
          <w:iCs/>
          <w:lang w:val="en-US"/>
        </w:rPr>
        <w:t>36</w:t>
      </w:r>
      <w:r w:rsidRPr="00FE115F">
        <w:rPr>
          <w:lang w:val="en-US"/>
        </w:rPr>
        <w:t>(1), 1-12.</w:t>
      </w:r>
    </w:p>
    <w:p w:rsidR="00C648A4" w:rsidRPr="00FE115F" w:rsidRDefault="00C648A4" w:rsidP="00F9011C">
      <w:pPr>
        <w:rPr>
          <w:lang w:val="en-US"/>
        </w:rPr>
      </w:pPr>
      <w:proofErr w:type="spellStart"/>
      <w:r w:rsidRPr="00C648A4">
        <w:rPr>
          <w:lang w:val="en-US"/>
        </w:rPr>
        <w:t>Telkes</w:t>
      </w:r>
      <w:proofErr w:type="spellEnd"/>
      <w:r w:rsidRPr="00C648A4">
        <w:rPr>
          <w:lang w:val="en-US"/>
        </w:rPr>
        <w:t xml:space="preserve">, I., </w:t>
      </w:r>
      <w:proofErr w:type="spellStart"/>
      <w:r w:rsidRPr="00C648A4">
        <w:rPr>
          <w:lang w:val="en-US"/>
        </w:rPr>
        <w:t>Sabourin</w:t>
      </w:r>
      <w:proofErr w:type="spellEnd"/>
      <w:r w:rsidRPr="00C648A4">
        <w:rPr>
          <w:lang w:val="en-US"/>
        </w:rPr>
        <w:t xml:space="preserve">, S., </w:t>
      </w:r>
      <w:proofErr w:type="spellStart"/>
      <w:r>
        <w:rPr>
          <w:lang w:val="en-US"/>
        </w:rPr>
        <w:t>Durphy</w:t>
      </w:r>
      <w:proofErr w:type="spellEnd"/>
      <w:r>
        <w:rPr>
          <w:lang w:val="en-US"/>
        </w:rPr>
        <w:t xml:space="preserve">, J., Adam, O., </w:t>
      </w:r>
      <w:proofErr w:type="spellStart"/>
      <w:r>
        <w:rPr>
          <w:lang w:val="en-US"/>
        </w:rPr>
        <w:t>Sukul</w:t>
      </w:r>
      <w:proofErr w:type="spellEnd"/>
      <w:r>
        <w:rPr>
          <w:lang w:val="en-US"/>
        </w:rPr>
        <w:t>, V. &amp;</w:t>
      </w:r>
      <w:r w:rsidRPr="00C648A4">
        <w:rPr>
          <w:lang w:val="en-US"/>
        </w:rPr>
        <w:t xml:space="preserve"> </w:t>
      </w:r>
      <w:proofErr w:type="spellStart"/>
      <w:r w:rsidRPr="00C648A4">
        <w:rPr>
          <w:lang w:val="en-US"/>
        </w:rPr>
        <w:t>Raviv</w:t>
      </w:r>
      <w:proofErr w:type="spellEnd"/>
      <w:r w:rsidRPr="00C648A4">
        <w:rPr>
          <w:lang w:val="en-US"/>
        </w:rPr>
        <w:t xml:space="preserve">, N. et al. (2020). Functional use of directional local field potentials in the </w:t>
      </w:r>
      <w:proofErr w:type="spellStart"/>
      <w:r w:rsidRPr="00C648A4">
        <w:rPr>
          <w:lang w:val="en-US"/>
        </w:rPr>
        <w:t>subthalamic</w:t>
      </w:r>
      <w:proofErr w:type="spellEnd"/>
      <w:r w:rsidRPr="00C648A4">
        <w:rPr>
          <w:lang w:val="en-US"/>
        </w:rPr>
        <w:t xml:space="preserve"> nucleus deep brain stimulation. </w:t>
      </w:r>
      <w:r w:rsidRPr="000C5BA2">
        <w:rPr>
          <w:i/>
          <w:lang w:val="en-US"/>
        </w:rPr>
        <w:t>Frontiers in human neuroscience</w:t>
      </w:r>
      <w:r w:rsidRPr="000C5BA2">
        <w:rPr>
          <w:lang w:val="en-US"/>
        </w:rPr>
        <w:t xml:space="preserve">, </w:t>
      </w:r>
      <w:r w:rsidRPr="000C5BA2">
        <w:rPr>
          <w:i/>
          <w:lang w:val="en-US"/>
        </w:rPr>
        <w:t>14</w:t>
      </w:r>
      <w:r w:rsidRPr="000C5BA2">
        <w:rPr>
          <w:lang w:val="en-US"/>
        </w:rPr>
        <w:t>, 145.</w:t>
      </w:r>
    </w:p>
    <w:p w:rsidR="001A759A" w:rsidRPr="00415C65" w:rsidRDefault="001A759A" w:rsidP="00F9011C">
      <w:pPr>
        <w:rPr>
          <w:lang w:val="en-US"/>
        </w:rPr>
      </w:pPr>
      <w:r w:rsidRPr="000C5BA2">
        <w:rPr>
          <w:lang w:val="en-US"/>
        </w:rPr>
        <w:t xml:space="preserve">Thompson, J. A., </w:t>
      </w:r>
      <w:proofErr w:type="spellStart"/>
      <w:r w:rsidRPr="000C5BA2">
        <w:rPr>
          <w:lang w:val="en-US"/>
        </w:rPr>
        <w:t>Oukal</w:t>
      </w:r>
      <w:proofErr w:type="spellEnd"/>
      <w:r w:rsidRPr="000C5BA2">
        <w:rPr>
          <w:lang w:val="en-US"/>
        </w:rPr>
        <w:t xml:space="preserve">, S., Bergman, H., </w:t>
      </w:r>
      <w:proofErr w:type="spellStart"/>
      <w:r w:rsidRPr="000C5BA2">
        <w:rPr>
          <w:lang w:val="en-US"/>
        </w:rPr>
        <w:t>Ojemann</w:t>
      </w:r>
      <w:proofErr w:type="spellEnd"/>
      <w:r w:rsidRPr="000C5BA2">
        <w:rPr>
          <w:lang w:val="en-US"/>
        </w:rPr>
        <w:t xml:space="preserve">, S., Hebb, A. O., Hanrahan, S. et al. </w:t>
      </w:r>
      <w:r w:rsidRPr="001A759A">
        <w:rPr>
          <w:lang w:val="en-US"/>
        </w:rPr>
        <w:t xml:space="preserve">(2018). Semi-automated application for estimating </w:t>
      </w:r>
      <w:proofErr w:type="spellStart"/>
      <w:r w:rsidRPr="001A759A">
        <w:rPr>
          <w:lang w:val="en-US"/>
        </w:rPr>
        <w:t>subthalamic</w:t>
      </w:r>
      <w:proofErr w:type="spellEnd"/>
      <w:r w:rsidRPr="001A759A">
        <w:rPr>
          <w:lang w:val="en-US"/>
        </w:rPr>
        <w:t xml:space="preserve"> nucleus boundaries and optimal target selection for deep brain stimulation implantation surgery. </w:t>
      </w:r>
      <w:r w:rsidRPr="001A759A">
        <w:rPr>
          <w:i/>
        </w:rPr>
        <w:t xml:space="preserve">Journal </w:t>
      </w:r>
      <w:proofErr w:type="spellStart"/>
      <w:r w:rsidRPr="001A759A">
        <w:rPr>
          <w:i/>
        </w:rPr>
        <w:t>of</w:t>
      </w:r>
      <w:proofErr w:type="spellEnd"/>
      <w:r w:rsidRPr="001A759A">
        <w:rPr>
          <w:i/>
        </w:rPr>
        <w:t xml:space="preserve"> </w:t>
      </w:r>
      <w:proofErr w:type="spellStart"/>
      <w:r w:rsidRPr="001A759A">
        <w:rPr>
          <w:i/>
        </w:rPr>
        <w:t>neurosurgery</w:t>
      </w:r>
      <w:proofErr w:type="spellEnd"/>
      <w:r w:rsidRPr="001A759A">
        <w:t xml:space="preserve">, </w:t>
      </w:r>
      <w:r w:rsidRPr="001A759A">
        <w:rPr>
          <w:i/>
        </w:rPr>
        <w:t>1</w:t>
      </w:r>
      <w:r w:rsidRPr="001A759A">
        <w:t>, 1-10</w:t>
      </w:r>
      <w:r>
        <w:t>.</w:t>
      </w:r>
    </w:p>
    <w:sectPr w:rsidR="001A759A"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655A"/>
    <w:rsid w:val="000502CA"/>
    <w:rsid w:val="0006445C"/>
    <w:rsid w:val="00084A45"/>
    <w:rsid w:val="00087CA9"/>
    <w:rsid w:val="000C366C"/>
    <w:rsid w:val="000C5BA2"/>
    <w:rsid w:val="000D188D"/>
    <w:rsid w:val="000D6596"/>
    <w:rsid w:val="000E1DA9"/>
    <w:rsid w:val="000E3A63"/>
    <w:rsid w:val="001166D2"/>
    <w:rsid w:val="00117895"/>
    <w:rsid w:val="00151D50"/>
    <w:rsid w:val="00183EF5"/>
    <w:rsid w:val="00190BF4"/>
    <w:rsid w:val="00193E0E"/>
    <w:rsid w:val="001A4C03"/>
    <w:rsid w:val="001A759A"/>
    <w:rsid w:val="001B2C1C"/>
    <w:rsid w:val="001B40C0"/>
    <w:rsid w:val="001B472F"/>
    <w:rsid w:val="001D7CCD"/>
    <w:rsid w:val="001F213D"/>
    <w:rsid w:val="001F68C6"/>
    <w:rsid w:val="0023392E"/>
    <w:rsid w:val="00250996"/>
    <w:rsid w:val="00253D57"/>
    <w:rsid w:val="002810FD"/>
    <w:rsid w:val="0028116E"/>
    <w:rsid w:val="002F7E01"/>
    <w:rsid w:val="00304D59"/>
    <w:rsid w:val="0032010C"/>
    <w:rsid w:val="00321F42"/>
    <w:rsid w:val="003235F2"/>
    <w:rsid w:val="00335D4C"/>
    <w:rsid w:val="0035508D"/>
    <w:rsid w:val="00361555"/>
    <w:rsid w:val="00377AFD"/>
    <w:rsid w:val="00392EE0"/>
    <w:rsid w:val="00394DE3"/>
    <w:rsid w:val="003A538C"/>
    <w:rsid w:val="003C71DA"/>
    <w:rsid w:val="003C78F7"/>
    <w:rsid w:val="003E434A"/>
    <w:rsid w:val="003F70B6"/>
    <w:rsid w:val="00403EFA"/>
    <w:rsid w:val="00415C65"/>
    <w:rsid w:val="00441A07"/>
    <w:rsid w:val="00447304"/>
    <w:rsid w:val="004622A3"/>
    <w:rsid w:val="00465D1F"/>
    <w:rsid w:val="00475349"/>
    <w:rsid w:val="004778B5"/>
    <w:rsid w:val="0049460C"/>
    <w:rsid w:val="004A551C"/>
    <w:rsid w:val="004B1A26"/>
    <w:rsid w:val="004C7615"/>
    <w:rsid w:val="004D1546"/>
    <w:rsid w:val="004D6C77"/>
    <w:rsid w:val="004E28B4"/>
    <w:rsid w:val="00545DE5"/>
    <w:rsid w:val="00562463"/>
    <w:rsid w:val="0059460D"/>
    <w:rsid w:val="005A139C"/>
    <w:rsid w:val="005A17E7"/>
    <w:rsid w:val="005B233D"/>
    <w:rsid w:val="005C311D"/>
    <w:rsid w:val="005F4D0E"/>
    <w:rsid w:val="005F6D74"/>
    <w:rsid w:val="006045B8"/>
    <w:rsid w:val="00610D3E"/>
    <w:rsid w:val="0067427F"/>
    <w:rsid w:val="006804F1"/>
    <w:rsid w:val="006A1123"/>
    <w:rsid w:val="006A7676"/>
    <w:rsid w:val="006B18AD"/>
    <w:rsid w:val="006C5A40"/>
    <w:rsid w:val="006E4456"/>
    <w:rsid w:val="007054DD"/>
    <w:rsid w:val="00714095"/>
    <w:rsid w:val="00795CA5"/>
    <w:rsid w:val="007B13F9"/>
    <w:rsid w:val="007B2BE2"/>
    <w:rsid w:val="007E24C7"/>
    <w:rsid w:val="007E4E37"/>
    <w:rsid w:val="007F07C3"/>
    <w:rsid w:val="007F47B2"/>
    <w:rsid w:val="007F6159"/>
    <w:rsid w:val="008044D6"/>
    <w:rsid w:val="00821B87"/>
    <w:rsid w:val="00823F52"/>
    <w:rsid w:val="0085728D"/>
    <w:rsid w:val="008637AB"/>
    <w:rsid w:val="00866225"/>
    <w:rsid w:val="008724AD"/>
    <w:rsid w:val="008813BD"/>
    <w:rsid w:val="00897722"/>
    <w:rsid w:val="0089781C"/>
    <w:rsid w:val="008B546F"/>
    <w:rsid w:val="008B6691"/>
    <w:rsid w:val="008C59A1"/>
    <w:rsid w:val="008D15C4"/>
    <w:rsid w:val="008E707B"/>
    <w:rsid w:val="0092094A"/>
    <w:rsid w:val="00942FA8"/>
    <w:rsid w:val="00943331"/>
    <w:rsid w:val="00966214"/>
    <w:rsid w:val="009829BB"/>
    <w:rsid w:val="00997325"/>
    <w:rsid w:val="009C7A7B"/>
    <w:rsid w:val="00A045D7"/>
    <w:rsid w:val="00A06DE3"/>
    <w:rsid w:val="00A11FF6"/>
    <w:rsid w:val="00A125A2"/>
    <w:rsid w:val="00A130E3"/>
    <w:rsid w:val="00A33422"/>
    <w:rsid w:val="00A43161"/>
    <w:rsid w:val="00A43F20"/>
    <w:rsid w:val="00A458C8"/>
    <w:rsid w:val="00A81F12"/>
    <w:rsid w:val="00A82E5D"/>
    <w:rsid w:val="00A90AB8"/>
    <w:rsid w:val="00A92E93"/>
    <w:rsid w:val="00AA520A"/>
    <w:rsid w:val="00AB6FCF"/>
    <w:rsid w:val="00AD4E9E"/>
    <w:rsid w:val="00AF1A6E"/>
    <w:rsid w:val="00B13614"/>
    <w:rsid w:val="00B17ACC"/>
    <w:rsid w:val="00B43223"/>
    <w:rsid w:val="00B43C14"/>
    <w:rsid w:val="00B55603"/>
    <w:rsid w:val="00B77A63"/>
    <w:rsid w:val="00B861AE"/>
    <w:rsid w:val="00B94287"/>
    <w:rsid w:val="00B958E0"/>
    <w:rsid w:val="00BA3F56"/>
    <w:rsid w:val="00BB72C8"/>
    <w:rsid w:val="00BC0E72"/>
    <w:rsid w:val="00BD0535"/>
    <w:rsid w:val="00C141B0"/>
    <w:rsid w:val="00C354B8"/>
    <w:rsid w:val="00C54190"/>
    <w:rsid w:val="00C62577"/>
    <w:rsid w:val="00C62D1C"/>
    <w:rsid w:val="00C648A4"/>
    <w:rsid w:val="00C704AE"/>
    <w:rsid w:val="00C87F2F"/>
    <w:rsid w:val="00C91C5C"/>
    <w:rsid w:val="00CA7EC0"/>
    <w:rsid w:val="00CB3974"/>
    <w:rsid w:val="00CB3F02"/>
    <w:rsid w:val="00CC5EAA"/>
    <w:rsid w:val="00CE47C9"/>
    <w:rsid w:val="00D13501"/>
    <w:rsid w:val="00D14511"/>
    <w:rsid w:val="00D5555C"/>
    <w:rsid w:val="00D65F3D"/>
    <w:rsid w:val="00D7004D"/>
    <w:rsid w:val="00DA1F01"/>
    <w:rsid w:val="00DB03FE"/>
    <w:rsid w:val="00DB5039"/>
    <w:rsid w:val="00DB7C45"/>
    <w:rsid w:val="00DE1CDC"/>
    <w:rsid w:val="00DE435A"/>
    <w:rsid w:val="00E01DC6"/>
    <w:rsid w:val="00E1148E"/>
    <w:rsid w:val="00E26E9F"/>
    <w:rsid w:val="00E635F2"/>
    <w:rsid w:val="00EA3C7A"/>
    <w:rsid w:val="00EE1234"/>
    <w:rsid w:val="00EF6A05"/>
    <w:rsid w:val="00F07B62"/>
    <w:rsid w:val="00F26140"/>
    <w:rsid w:val="00F30356"/>
    <w:rsid w:val="00F45874"/>
    <w:rsid w:val="00F53E1D"/>
    <w:rsid w:val="00F577BF"/>
    <w:rsid w:val="00F6126C"/>
    <w:rsid w:val="00F63A22"/>
    <w:rsid w:val="00F65A91"/>
    <w:rsid w:val="00F7580F"/>
    <w:rsid w:val="00F77EC2"/>
    <w:rsid w:val="00F858AF"/>
    <w:rsid w:val="00F9011C"/>
    <w:rsid w:val="00F97B00"/>
    <w:rsid w:val="00FA6E57"/>
    <w:rsid w:val="00FB2138"/>
    <w:rsid w:val="00FC5862"/>
    <w:rsid w:val="00FD3B36"/>
    <w:rsid w:val="00FD57B9"/>
    <w:rsid w:val="00FE115F"/>
    <w:rsid w:val="00FE684F"/>
    <w:rsid w:val="00FF4E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535A-BFE5-415E-9896-368BFC0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243B2-3123-4DF9-9AD9-95F638C6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4420</Words>
  <Characters>27851</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63</cp:revision>
  <dcterms:created xsi:type="dcterms:W3CDTF">2022-01-10T16:42:00Z</dcterms:created>
  <dcterms:modified xsi:type="dcterms:W3CDTF">2022-02-08T17:48:00Z</dcterms:modified>
</cp:coreProperties>
</file>