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bookmarkStart w:id="0" w:name="_GoBack"/>
      <w:bookmarkEnd w:id="0"/>
      <w:r w:rsidRPr="000C03D8">
        <w:rPr>
          <w:rFonts w:ascii="Times New Roman" w:hAnsi="Times New Roman" w:cs="Times New Roman"/>
          <w:sz w:val="24"/>
          <w:szCs w:val="24"/>
        </w:rPr>
        <w:t>Christia</w:t>
      </w:r>
      <w:r w:rsidR="00A6086E">
        <w:rPr>
          <w:rFonts w:ascii="Times New Roman" w:hAnsi="Times New Roman" w:cs="Times New Roman"/>
          <w:sz w:val="24"/>
          <w:szCs w:val="24"/>
        </w:rPr>
        <w:t>n-Albrechts-Universität zu Kiel</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Explorative Studie zum Zusammenhang zwisch</w:t>
      </w:r>
      <w:r w:rsidR="00A6086E">
        <w:rPr>
          <w:rFonts w:ascii="Times New Roman" w:hAnsi="Times New Roman" w:cs="Times New Roman"/>
          <w:b/>
          <w:sz w:val="24"/>
          <w:szCs w:val="24"/>
        </w:rPr>
        <w:t>en neuronalen Oszillationen und</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imes New Roman" w:eastAsiaTheme="minorHAnsi" w:hAnsi="Times New Roman" w:cs="Times New Roman"/>
          <w:color w:val="auto"/>
          <w:sz w:val="22"/>
          <w:szCs w:val="22"/>
        </w:rPr>
        <w:id w:val="91759865"/>
        <w:docPartObj>
          <w:docPartGallery w:val="Table of Contents"/>
          <w:docPartUnique/>
        </w:docPartObj>
      </w:sdtPr>
      <w:sdtEndPr>
        <w:rPr>
          <w:rFonts w:asciiTheme="minorHAnsi" w:hAnsiTheme="minorHAnsi" w:cstheme="minorBidi"/>
          <w:b/>
          <w:bCs/>
        </w:rPr>
      </w:sdtEndPr>
      <w:sdtContent>
        <w:p w:rsidR="000C03D8" w:rsidRPr="00F24741" w:rsidRDefault="000C03D8" w:rsidP="00A6086E">
          <w:pPr>
            <w:pStyle w:val="berschrift1"/>
            <w:spacing w:line="480" w:lineRule="auto"/>
            <w:rPr>
              <w:rFonts w:ascii="Times New Roman" w:hAnsi="Times New Roman" w:cs="Times New Roman"/>
              <w:b/>
              <w:color w:val="auto"/>
            </w:rPr>
          </w:pPr>
          <w:r w:rsidRPr="00F24741">
            <w:rPr>
              <w:rFonts w:ascii="Times New Roman" w:hAnsi="Times New Roman" w:cs="Times New Roman"/>
              <w:b/>
              <w:color w:val="auto"/>
            </w:rPr>
            <w:t>Inhalt</w:t>
          </w:r>
        </w:p>
        <w:p w:rsidR="00A6086E" w:rsidRPr="00A6086E" w:rsidRDefault="000C03D8"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r w:rsidRPr="00A6086E">
            <w:rPr>
              <w:rFonts w:ascii="Times New Roman" w:hAnsi="Times New Roman" w:cs="Times New Roman"/>
              <w:b/>
              <w:bCs/>
              <w:sz w:val="24"/>
              <w:szCs w:val="24"/>
            </w:rPr>
            <w:fldChar w:fldCharType="begin"/>
          </w:r>
          <w:r w:rsidRPr="00A6086E">
            <w:rPr>
              <w:rFonts w:ascii="Times New Roman" w:hAnsi="Times New Roman" w:cs="Times New Roman"/>
              <w:b/>
              <w:bCs/>
              <w:sz w:val="24"/>
              <w:szCs w:val="24"/>
            </w:rPr>
            <w:instrText xml:space="preserve"> TOC \o "1-3" \h \z \u </w:instrText>
          </w:r>
          <w:r w:rsidRPr="00A6086E">
            <w:rPr>
              <w:rFonts w:ascii="Times New Roman" w:hAnsi="Times New Roman" w:cs="Times New Roman"/>
              <w:b/>
              <w:bCs/>
              <w:sz w:val="24"/>
              <w:szCs w:val="24"/>
            </w:rPr>
            <w:fldChar w:fldCharType="separate"/>
          </w:r>
          <w:hyperlink w:anchor="_Toc104032864" w:history="1">
            <w:r w:rsidR="00A6086E" w:rsidRPr="00A6086E">
              <w:rPr>
                <w:rStyle w:val="Hyperlink"/>
                <w:rFonts w:ascii="Times New Roman" w:hAnsi="Times New Roman" w:cs="Times New Roman"/>
                <w:b/>
                <w:noProof/>
                <w:sz w:val="24"/>
                <w:szCs w:val="24"/>
              </w:rPr>
              <w:t>Zusammenfassung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4</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65" w:history="1">
            <w:r w:rsidR="00A6086E" w:rsidRPr="00A6086E">
              <w:rPr>
                <w:rStyle w:val="Hyperlink"/>
                <w:rFonts w:ascii="Times New Roman" w:hAnsi="Times New Roman" w:cs="Times New Roman"/>
                <w:b/>
                <w:noProof/>
                <w:sz w:val="24"/>
                <w:szCs w:val="24"/>
              </w:rPr>
              <w:t>1. Einleitung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5</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66" w:history="1">
            <w:r w:rsidR="00A6086E" w:rsidRPr="00A6086E">
              <w:rPr>
                <w:rStyle w:val="Hyperlink"/>
                <w:rFonts w:ascii="Times New Roman" w:hAnsi="Times New Roman" w:cs="Times New Roman"/>
                <w:b/>
                <w:noProof/>
                <w:sz w:val="24"/>
                <w:szCs w:val="24"/>
              </w:rPr>
              <w:t>1.1 Symptome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5</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67" w:history="1">
            <w:r w:rsidR="00A6086E" w:rsidRPr="00A6086E">
              <w:rPr>
                <w:rStyle w:val="Hyperlink"/>
                <w:rFonts w:ascii="Times New Roman" w:hAnsi="Times New Roman" w:cs="Times New Roman"/>
                <w:b/>
                <w:i/>
                <w:noProof/>
                <w:sz w:val="24"/>
                <w:szCs w:val="24"/>
              </w:rPr>
              <w:t>1.1.1 Motorische Symptome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6</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68" w:history="1">
            <w:r w:rsidR="00A6086E" w:rsidRPr="00A6086E">
              <w:rPr>
                <w:rStyle w:val="Hyperlink"/>
                <w:rFonts w:ascii="Times New Roman" w:hAnsi="Times New Roman" w:cs="Times New Roman"/>
                <w:b/>
                <w:i/>
                <w:noProof/>
                <w:sz w:val="24"/>
                <w:szCs w:val="24"/>
              </w:rPr>
              <w:t>1.1.2 Nicht-motorische Symptome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8</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69" w:history="1">
            <w:r w:rsidR="00A6086E" w:rsidRPr="00A6086E">
              <w:rPr>
                <w:rStyle w:val="Hyperlink"/>
                <w:rFonts w:ascii="Times New Roman" w:hAnsi="Times New Roman" w:cs="Times New Roman"/>
                <w:b/>
                <w:noProof/>
                <w:sz w:val="24"/>
                <w:szCs w:val="24"/>
              </w:rPr>
              <w:t>1.2 Pathophysiologie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_Toc104032869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9</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0" w:history="1">
            <w:r w:rsidR="00A6086E" w:rsidRPr="00A6086E">
              <w:rPr>
                <w:rStyle w:val="Hyperlink"/>
                <w:rFonts w:ascii="Times New Roman" w:hAnsi="Times New Roman" w:cs="Times New Roman"/>
                <w:b/>
                <w:noProof/>
                <w:sz w:val="24"/>
                <w:szCs w:val="24"/>
              </w:rPr>
              <w:t>1.3 Behandlung von Morbus Parkinson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12</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71" w:history="1">
            <w:r w:rsidR="00A6086E" w:rsidRPr="00A6086E">
              <w:rPr>
                <w:rStyle w:val="Hyperlink"/>
                <w:rFonts w:ascii="Times New Roman" w:hAnsi="Times New Roman" w:cs="Times New Roman"/>
                <w:b/>
                <w:i/>
                <w:noProof/>
                <w:sz w:val="24"/>
                <w:szCs w:val="24"/>
              </w:rPr>
              <w:t>1.3.1 Medikamentöse Behandlung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_Toc104032871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12</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72" w:history="1">
            <w:r w:rsidR="00A6086E" w:rsidRPr="00A6086E">
              <w:rPr>
                <w:rStyle w:val="Hyperlink"/>
                <w:rFonts w:ascii="Times New Roman" w:hAnsi="Times New Roman" w:cs="Times New Roman"/>
                <w:b/>
                <w:i/>
                <w:noProof/>
                <w:sz w:val="24"/>
                <w:szCs w:val="24"/>
              </w:rPr>
              <w:t>1.3.2 Tiefe Hirnstimulation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_Toc104032872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13</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73" w:history="1">
            <w:r w:rsidR="00A6086E" w:rsidRPr="00A6086E">
              <w:rPr>
                <w:rStyle w:val="Hyperlink"/>
                <w:rFonts w:ascii="Times New Roman" w:hAnsi="Times New Roman" w:cs="Times New Roman"/>
                <w:b/>
                <w:i/>
                <w:noProof/>
                <w:sz w:val="24"/>
                <w:szCs w:val="24"/>
              </w:rPr>
              <w:t>1.3.3 Elektrophysiologische Maße bei THS</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_Toc104032873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15</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4" w:history="1">
            <w:r w:rsidR="00A6086E" w:rsidRPr="00A6086E">
              <w:rPr>
                <w:rStyle w:val="Hyperlink"/>
                <w:rFonts w:ascii="Times New Roman" w:hAnsi="Times New Roman" w:cs="Times New Roman"/>
                <w:b/>
                <w:noProof/>
                <w:sz w:val="24"/>
                <w:szCs w:val="24"/>
              </w:rPr>
              <w:t>1.4 Versuchsidee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16</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75" w:history="1">
            <w:r w:rsidR="00A6086E" w:rsidRPr="00A6086E">
              <w:rPr>
                <w:rStyle w:val="Hyperlink"/>
                <w:rFonts w:ascii="Times New Roman" w:hAnsi="Times New Roman" w:cs="Times New Roman"/>
                <w:b/>
                <w:noProof/>
                <w:sz w:val="24"/>
                <w:szCs w:val="24"/>
              </w:rPr>
              <w:t>2. Methoden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21</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6" w:history="1">
            <w:r w:rsidR="00A6086E" w:rsidRPr="00A6086E">
              <w:rPr>
                <w:rStyle w:val="Hyperlink"/>
                <w:rFonts w:ascii="Times New Roman" w:hAnsi="Times New Roman" w:cs="Times New Roman"/>
                <w:b/>
                <w:noProof/>
                <w:sz w:val="24"/>
                <w:szCs w:val="24"/>
              </w:rPr>
              <w:t>2.1 Stichprobe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21</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7" w:history="1">
            <w:r w:rsidR="00A6086E" w:rsidRPr="00A6086E">
              <w:rPr>
                <w:rStyle w:val="Hyperlink"/>
                <w:rFonts w:ascii="Times New Roman" w:hAnsi="Times New Roman" w:cs="Times New Roman"/>
                <w:b/>
                <w:noProof/>
                <w:sz w:val="24"/>
                <w:szCs w:val="24"/>
              </w:rPr>
              <w:t>2.2 Intraoperative Ableitung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21</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8" w:history="1">
            <w:r w:rsidR="00A6086E" w:rsidRPr="00A6086E">
              <w:rPr>
                <w:rStyle w:val="Hyperlink"/>
                <w:rFonts w:ascii="Times New Roman" w:hAnsi="Times New Roman" w:cs="Times New Roman"/>
                <w:b/>
                <w:noProof/>
                <w:sz w:val="24"/>
                <w:szCs w:val="24"/>
              </w:rPr>
              <w:t>2.3 Durchführung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22</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79" w:history="1">
            <w:r w:rsidR="00A6086E" w:rsidRPr="00A6086E">
              <w:rPr>
                <w:rStyle w:val="Hyperlink"/>
                <w:rFonts w:ascii="Times New Roman" w:hAnsi="Times New Roman" w:cs="Times New Roman"/>
                <w:b/>
                <w:noProof/>
                <w:sz w:val="24"/>
                <w:szCs w:val="24"/>
              </w:rPr>
              <w:t>2.4 Vorverarbeitung der Spike- und LFP-Daten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_Toc104032879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23</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0" w:history="1">
            <w:r w:rsidR="00A6086E" w:rsidRPr="00A6086E">
              <w:rPr>
                <w:rStyle w:val="Hyperlink"/>
                <w:rFonts w:ascii="Times New Roman" w:hAnsi="Times New Roman" w:cs="Times New Roman"/>
                <w:b/>
                <w:i/>
                <w:noProof/>
                <w:sz w:val="24"/>
                <w:szCs w:val="24"/>
              </w:rPr>
              <w:t>2.4.1 Konfiguration der Datensätze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23</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1" w:history="1">
            <w:r w:rsidR="00A6086E" w:rsidRPr="00A6086E">
              <w:rPr>
                <w:rStyle w:val="Hyperlink"/>
                <w:rFonts w:ascii="Times New Roman" w:hAnsi="Times New Roman" w:cs="Times New Roman"/>
                <w:b/>
                <w:i/>
                <w:noProof/>
                <w:sz w:val="24"/>
                <w:szCs w:val="24"/>
              </w:rPr>
              <w:t>2.4.2 Preprocessing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_Toc104032881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23</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2" w:history="1">
            <w:r w:rsidR="00A6086E" w:rsidRPr="00A6086E">
              <w:rPr>
                <w:rStyle w:val="Hyperlink"/>
                <w:rFonts w:ascii="Times New Roman" w:hAnsi="Times New Roman" w:cs="Times New Roman"/>
                <w:b/>
                <w:i/>
                <w:noProof/>
                <w:sz w:val="24"/>
                <w:szCs w:val="24"/>
              </w:rPr>
              <w:t>2.4.3 Zeit-Frequenz-Analyse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_Toc104032882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25</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3" w:history="1">
            <w:r w:rsidR="00A6086E" w:rsidRPr="00A6086E">
              <w:rPr>
                <w:rStyle w:val="Hyperlink"/>
                <w:rFonts w:ascii="Times New Roman" w:hAnsi="Times New Roman" w:cs="Times New Roman"/>
                <w:b/>
                <w:i/>
                <w:noProof/>
                <w:sz w:val="24"/>
                <w:szCs w:val="24"/>
              </w:rPr>
              <w:t>2.4.4 FOOOF-Algorithmus</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_Toc104032883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27</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4" w:history="1">
            <w:r w:rsidR="00A6086E" w:rsidRPr="00A6086E">
              <w:rPr>
                <w:rStyle w:val="Hyperlink"/>
                <w:rFonts w:ascii="Times New Roman" w:hAnsi="Times New Roman" w:cs="Times New Roman"/>
                <w:b/>
                <w:i/>
                <w:noProof/>
                <w:sz w:val="24"/>
                <w:szCs w:val="24"/>
              </w:rPr>
              <w:t>2.4.5 Extraktion der elektrophysiologischen Maße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28</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85" w:history="1">
            <w:r w:rsidR="00A6086E" w:rsidRPr="00A6086E">
              <w:rPr>
                <w:rStyle w:val="Hyperlink"/>
                <w:rFonts w:ascii="Times New Roman" w:hAnsi="Times New Roman" w:cs="Times New Roman"/>
                <w:b/>
                <w:noProof/>
                <w:sz w:val="24"/>
                <w:szCs w:val="24"/>
              </w:rPr>
              <w:t>2.6 Statistische Auswertung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30</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6" w:history="1">
            <w:r w:rsidR="00A6086E" w:rsidRPr="00A6086E">
              <w:rPr>
                <w:rStyle w:val="Hyperlink"/>
                <w:rFonts w:ascii="Times New Roman" w:hAnsi="Times New Roman" w:cs="Times New Roman"/>
                <w:b/>
                <w:i/>
                <w:noProof/>
                <w:sz w:val="24"/>
                <w:szCs w:val="24"/>
              </w:rPr>
              <w:t>2.6.1 Erste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30</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7" w:history="1">
            <w:r w:rsidR="00A6086E" w:rsidRPr="00A6086E">
              <w:rPr>
                <w:rStyle w:val="Hyperlink"/>
                <w:rFonts w:ascii="Times New Roman" w:hAnsi="Times New Roman" w:cs="Times New Roman"/>
                <w:b/>
                <w:i/>
                <w:noProof/>
                <w:sz w:val="24"/>
                <w:szCs w:val="24"/>
              </w:rPr>
              <w:t>2.6.2 Zweite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31</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3"/>
            <w:tabs>
              <w:tab w:val="right" w:leader="dot" w:pos="9060"/>
            </w:tabs>
            <w:spacing w:line="480" w:lineRule="auto"/>
            <w:rPr>
              <w:rFonts w:ascii="Times New Roman" w:eastAsiaTheme="minorEastAsia" w:hAnsi="Times New Roman" w:cs="Times New Roman"/>
              <w:noProof/>
              <w:sz w:val="24"/>
              <w:szCs w:val="24"/>
              <w:lang w:eastAsia="de-DE"/>
            </w:rPr>
          </w:pPr>
          <w:hyperlink w:anchor="_Toc104032888" w:history="1">
            <w:r w:rsidR="00A6086E" w:rsidRPr="00A6086E">
              <w:rPr>
                <w:rStyle w:val="Hyperlink"/>
                <w:rFonts w:ascii="Times New Roman" w:hAnsi="Times New Roman" w:cs="Times New Roman"/>
                <w:b/>
                <w:i/>
                <w:noProof/>
                <w:sz w:val="24"/>
                <w:szCs w:val="24"/>
              </w:rPr>
              <w:t>2.6.3 Explorative Analysen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32</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89" w:history="1">
            <w:r w:rsidR="00A6086E" w:rsidRPr="00A6086E">
              <w:rPr>
                <w:rStyle w:val="Hyperlink"/>
                <w:rFonts w:ascii="Times New Roman" w:hAnsi="Times New Roman" w:cs="Times New Roman"/>
                <w:b/>
                <w:noProof/>
                <w:sz w:val="24"/>
                <w:szCs w:val="24"/>
              </w:rPr>
              <w:t>3. Ergebnisse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_Toc104032889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34</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0" w:history="1">
            <w:r w:rsidR="00A6086E" w:rsidRPr="00A6086E">
              <w:rPr>
                <w:rStyle w:val="Hyperlink"/>
                <w:rFonts w:ascii="Times New Roman" w:hAnsi="Times New Roman" w:cs="Times New Roman"/>
                <w:b/>
                <w:noProof/>
                <w:sz w:val="24"/>
                <w:szCs w:val="24"/>
              </w:rPr>
              <w:t>3.1 Erste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34</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1" w:history="1">
            <w:r w:rsidR="00A6086E" w:rsidRPr="00A6086E">
              <w:rPr>
                <w:rStyle w:val="Hyperlink"/>
                <w:rFonts w:ascii="Times New Roman" w:hAnsi="Times New Roman" w:cs="Times New Roman"/>
                <w:b/>
                <w:noProof/>
                <w:sz w:val="24"/>
                <w:szCs w:val="24"/>
              </w:rPr>
              <w:t>3.2 Zweite Hypothese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_Toc104032891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38</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2" w:history="1">
            <w:r w:rsidR="00A6086E" w:rsidRPr="00A6086E">
              <w:rPr>
                <w:rStyle w:val="Hyperlink"/>
                <w:rFonts w:ascii="Times New Roman" w:hAnsi="Times New Roman" w:cs="Times New Roman"/>
                <w:b/>
                <w:noProof/>
                <w:sz w:val="24"/>
                <w:szCs w:val="24"/>
              </w:rPr>
              <w:t>3.3 Explorative Analysen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_Toc104032892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41</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93" w:history="1">
            <w:r w:rsidR="00A6086E" w:rsidRPr="00A6086E">
              <w:rPr>
                <w:rStyle w:val="Hyperlink"/>
                <w:rFonts w:ascii="Times New Roman" w:hAnsi="Times New Roman" w:cs="Times New Roman"/>
                <w:b/>
                <w:noProof/>
                <w:sz w:val="24"/>
                <w:szCs w:val="24"/>
              </w:rPr>
              <w:t>4. Diskussion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_Toc104032893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47</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4" w:history="1">
            <w:r w:rsidR="00A6086E" w:rsidRPr="00A6086E">
              <w:rPr>
                <w:rStyle w:val="Hyperlink"/>
                <w:rFonts w:ascii="Times New Roman" w:hAnsi="Times New Roman" w:cs="Times New Roman"/>
                <w:b/>
                <w:noProof/>
                <w:sz w:val="24"/>
                <w:szCs w:val="24"/>
              </w:rPr>
              <w:t>4.1 RMS und Betapower als Maß für die Nähe zur Zielposition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_Toc104032894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48</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5" w:history="1">
            <w:r w:rsidR="00A6086E" w:rsidRPr="00A6086E">
              <w:rPr>
                <w:rStyle w:val="Hyperlink"/>
                <w:rFonts w:ascii="Times New Roman" w:hAnsi="Times New Roman" w:cs="Times New Roman"/>
                <w:b/>
                <w:noProof/>
                <w:sz w:val="24"/>
                <w:szCs w:val="24"/>
              </w:rPr>
              <w:t>4.2 Aperiodischer Exponent als Maß für die Nähe zur Zielposition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_Toc104032895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48</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6" w:history="1">
            <w:r w:rsidR="00A6086E" w:rsidRPr="00A6086E">
              <w:rPr>
                <w:rStyle w:val="Hyperlink"/>
                <w:rFonts w:ascii="Times New Roman" w:hAnsi="Times New Roman" w:cs="Times New Roman"/>
                <w:b/>
                <w:noProof/>
                <w:sz w:val="24"/>
                <w:szCs w:val="24"/>
              </w:rPr>
              <w:t>4.3 Explorative Zusammenhänge zwischen elektrophysiologischen Maßen und Tiefe der Elektrode</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_Toc104032896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49</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2"/>
            <w:tabs>
              <w:tab w:val="right" w:leader="dot" w:pos="9060"/>
            </w:tabs>
            <w:spacing w:line="480" w:lineRule="auto"/>
            <w:rPr>
              <w:rFonts w:ascii="Times New Roman" w:eastAsiaTheme="minorEastAsia" w:hAnsi="Times New Roman" w:cs="Times New Roman"/>
              <w:noProof/>
              <w:sz w:val="24"/>
              <w:szCs w:val="24"/>
              <w:lang w:eastAsia="de-DE"/>
            </w:rPr>
          </w:pPr>
          <w:hyperlink w:anchor="_Toc104032897" w:history="1">
            <w:r w:rsidR="00A6086E" w:rsidRPr="00A6086E">
              <w:rPr>
                <w:rStyle w:val="Hyperlink"/>
                <w:rFonts w:ascii="Times New Roman" w:hAnsi="Times New Roman" w:cs="Times New Roman"/>
                <w:b/>
                <w:noProof/>
                <w:sz w:val="24"/>
                <w:szCs w:val="24"/>
              </w:rPr>
              <w:t>4.4 Limitationen und Stärken</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_Toc104032897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50</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98" w:history="1">
            <w:r w:rsidR="00A6086E" w:rsidRPr="00A6086E">
              <w:rPr>
                <w:rStyle w:val="Hyperlink"/>
                <w:rFonts w:ascii="Times New Roman" w:hAnsi="Times New Roman" w:cs="Times New Roman"/>
                <w:b/>
                <w:noProof/>
                <w:sz w:val="24"/>
                <w:szCs w:val="24"/>
              </w:rPr>
              <w:t>Fazit</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_Toc104032898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57</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899" w:history="1">
            <w:r w:rsidR="00A6086E" w:rsidRPr="00A6086E">
              <w:rPr>
                <w:rStyle w:val="Hyperlink"/>
                <w:rFonts w:ascii="Times New Roman" w:hAnsi="Times New Roman" w:cs="Times New Roman"/>
                <w:b/>
                <w:noProof/>
                <w:sz w:val="24"/>
                <w:szCs w:val="24"/>
              </w:rPr>
              <w:t>Literaturverzeichnis</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_Toc104032899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58</w:t>
            </w:r>
            <w:r w:rsidR="00A6086E" w:rsidRPr="00A6086E">
              <w:rPr>
                <w:rFonts w:ascii="Times New Roman" w:hAnsi="Times New Roman" w:cs="Times New Roman"/>
                <w:noProof/>
                <w:webHidden/>
                <w:sz w:val="24"/>
                <w:szCs w:val="24"/>
              </w:rPr>
              <w:fldChar w:fldCharType="end"/>
            </w:r>
          </w:hyperlink>
        </w:p>
        <w:p w:rsidR="00A6086E" w:rsidRPr="00A6086E" w:rsidRDefault="0090127D" w:rsidP="00A6086E">
          <w:pPr>
            <w:pStyle w:val="Verzeichnis1"/>
            <w:tabs>
              <w:tab w:val="right" w:leader="dot" w:pos="9060"/>
            </w:tabs>
            <w:spacing w:line="480" w:lineRule="auto"/>
            <w:rPr>
              <w:rFonts w:ascii="Times New Roman" w:eastAsiaTheme="minorEastAsia" w:hAnsi="Times New Roman" w:cs="Times New Roman"/>
              <w:noProof/>
              <w:sz w:val="24"/>
              <w:szCs w:val="24"/>
              <w:lang w:eastAsia="de-DE"/>
            </w:rPr>
          </w:pPr>
          <w:hyperlink w:anchor="_Toc104032900" w:history="1">
            <w:r w:rsidR="00A6086E" w:rsidRPr="00A6086E">
              <w:rPr>
                <w:rStyle w:val="Hyperlink"/>
                <w:rFonts w:ascii="Times New Roman" w:hAnsi="Times New Roman" w:cs="Times New Roman"/>
                <w:b/>
                <w:noProof/>
                <w:sz w:val="24"/>
                <w:szCs w:val="24"/>
              </w:rPr>
              <w:t>Anhang</w:t>
            </w:r>
            <w:r w:rsidR="00A6086E" w:rsidRPr="00A6086E">
              <w:rPr>
                <w:rFonts w:ascii="Times New Roman" w:hAnsi="Times New Roman" w:cs="Times New Roman"/>
                <w:noProof/>
                <w:webHidden/>
                <w:sz w:val="24"/>
                <w:szCs w:val="24"/>
              </w:rPr>
              <w:tab/>
            </w:r>
            <w:r w:rsidR="00A6086E" w:rsidRPr="00A6086E">
              <w:rPr>
                <w:rFonts w:ascii="Times New Roman" w:hAnsi="Times New Roman" w:cs="Times New Roman"/>
                <w:noProof/>
                <w:webHidden/>
                <w:sz w:val="24"/>
                <w:szCs w:val="24"/>
              </w:rPr>
              <w:fldChar w:fldCharType="begin"/>
            </w:r>
            <w:r w:rsidR="00A6086E" w:rsidRPr="00A6086E">
              <w:rPr>
                <w:rFonts w:ascii="Times New Roman" w:hAnsi="Times New Roman" w:cs="Times New Roman"/>
                <w:noProof/>
                <w:webHidden/>
                <w:sz w:val="24"/>
                <w:szCs w:val="24"/>
              </w:rPr>
              <w:instrText xml:space="preserve"> PAGEREF _Toc104032900 \h </w:instrText>
            </w:r>
            <w:r w:rsidR="00A6086E" w:rsidRPr="00A6086E">
              <w:rPr>
                <w:rFonts w:ascii="Times New Roman" w:hAnsi="Times New Roman" w:cs="Times New Roman"/>
                <w:noProof/>
                <w:webHidden/>
                <w:sz w:val="24"/>
                <w:szCs w:val="24"/>
              </w:rPr>
            </w:r>
            <w:r w:rsidR="00A6086E" w:rsidRPr="00A6086E">
              <w:rPr>
                <w:rFonts w:ascii="Times New Roman" w:hAnsi="Times New Roman" w:cs="Times New Roman"/>
                <w:noProof/>
                <w:webHidden/>
                <w:sz w:val="24"/>
                <w:szCs w:val="24"/>
              </w:rPr>
              <w:fldChar w:fldCharType="separate"/>
            </w:r>
            <w:r w:rsidR="00D049A4">
              <w:rPr>
                <w:rFonts w:ascii="Times New Roman" w:hAnsi="Times New Roman" w:cs="Times New Roman"/>
                <w:noProof/>
                <w:webHidden/>
                <w:sz w:val="24"/>
                <w:szCs w:val="24"/>
              </w:rPr>
              <w:t>68</w:t>
            </w:r>
            <w:r w:rsidR="00A6086E" w:rsidRPr="00A6086E">
              <w:rPr>
                <w:rFonts w:ascii="Times New Roman" w:hAnsi="Times New Roman" w:cs="Times New Roman"/>
                <w:noProof/>
                <w:webHidden/>
                <w:sz w:val="24"/>
                <w:szCs w:val="24"/>
              </w:rPr>
              <w:fldChar w:fldCharType="end"/>
            </w:r>
          </w:hyperlink>
        </w:p>
        <w:p w:rsidR="000C03D8" w:rsidRPr="000C03D8" w:rsidRDefault="000C03D8" w:rsidP="00A6086E">
          <w:pPr>
            <w:spacing w:line="480" w:lineRule="auto"/>
            <w:rPr>
              <w:b/>
              <w:bCs/>
            </w:rPr>
          </w:pPr>
          <w:r w:rsidRPr="00A6086E">
            <w:rPr>
              <w:rFonts w:ascii="Times New Roman" w:hAnsi="Times New Roman" w:cs="Times New Roman"/>
              <w:b/>
              <w:bCs/>
              <w:sz w:val="24"/>
              <w:szCs w:val="24"/>
            </w:rPr>
            <w:fldChar w:fldCharType="end"/>
          </w:r>
        </w:p>
      </w:sdtContent>
    </w:sdt>
    <w:p w:rsidR="001C6A92" w:rsidRPr="000C03D8" w:rsidRDefault="008E395C" w:rsidP="00A6086E">
      <w:pPr>
        <w:pStyle w:val="berschrift1"/>
        <w:spacing w:line="480" w:lineRule="auto"/>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1" w:name="_Toc104032864"/>
      <w:r w:rsidR="001C6A92" w:rsidRPr="000C03D8">
        <w:rPr>
          <w:rFonts w:ascii="Times New Roman" w:hAnsi="Times New Roman" w:cs="Times New Roman"/>
          <w:b/>
          <w:color w:val="auto"/>
        </w:rPr>
        <w:lastRenderedPageBreak/>
        <w:t>Zusammenfassung</w:t>
      </w:r>
      <w:bookmarkEnd w:id="1"/>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327F8E">
        <w:rPr>
          <w:rFonts w:ascii="Times New Roman" w:hAnsi="Times New Roman" w:cs="Times New Roman"/>
          <w:sz w:val="24"/>
          <w:szCs w:val="24"/>
        </w:rPr>
        <w:t>zu erweitern. Dafür wurden intraoperative</w:t>
      </w:r>
      <w:r w:rsidR="000B53A3">
        <w:rPr>
          <w:rFonts w:ascii="Times New Roman" w:hAnsi="Times New Roman" w:cs="Times New Roman"/>
          <w:sz w:val="24"/>
          <w:szCs w:val="24"/>
        </w:rPr>
        <w:t xml:space="preserve"> l</w:t>
      </w:r>
      <w:r w:rsidR="00A65013">
        <w:rPr>
          <w:rFonts w:ascii="Times New Roman" w:hAnsi="Times New Roman" w:cs="Times New Roman"/>
          <w:sz w:val="24"/>
          <w:szCs w:val="24"/>
        </w:rPr>
        <w:t>okale</w:t>
      </w:r>
      <w:r w:rsidRPr="000C03D8">
        <w:rPr>
          <w:rFonts w:ascii="Times New Roman" w:hAnsi="Times New Roman" w:cs="Times New Roman"/>
          <w:sz w:val="24"/>
          <w:szCs w:val="24"/>
        </w:rPr>
        <w:t xml:space="preserve"> Feldpotentiale von 25 Patient*innen untersucht, die an M</w:t>
      </w:r>
      <w:r w:rsidR="007B1D65">
        <w:rPr>
          <w:rFonts w:ascii="Times New Roman" w:hAnsi="Times New Roman" w:cs="Times New Roman"/>
          <w:sz w:val="24"/>
          <w:szCs w:val="24"/>
        </w:rPr>
        <w:t>orbus Parkinson erkrankt sind</w:t>
      </w:r>
      <w:r w:rsidR="00327F8E">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w:t>
      </w:r>
      <w:r w:rsidR="00327F8E">
        <w:rPr>
          <w:rFonts w:ascii="Times New Roman" w:hAnsi="Times New Roman" w:cs="Times New Roman"/>
          <w:sz w:val="24"/>
          <w:szCs w:val="24"/>
        </w:rPr>
        <w:t xml:space="preserve"> bekommen</w:t>
      </w:r>
      <w:r w:rsidRPr="000C03D8">
        <w:rPr>
          <w:rFonts w:ascii="Times New Roman" w:hAnsi="Times New Roman" w:cs="Times New Roman"/>
          <w:sz w:val="24"/>
          <w:szCs w:val="24"/>
        </w:rPr>
        <w:t xml:space="preserve">. </w:t>
      </w:r>
      <w:r w:rsidR="00F57C8A" w:rsidRPr="000C03D8">
        <w:rPr>
          <w:rFonts w:ascii="Times New Roman" w:hAnsi="Times New Roman" w:cs="Times New Roman"/>
          <w:sz w:val="24"/>
          <w:szCs w:val="24"/>
        </w:rPr>
        <w:t>Durch einen Algorithmus, der die aperiodische von der periodischen Komponente trennt, konnten die n</w:t>
      </w:r>
      <w:r w:rsidR="007B1D65">
        <w:rPr>
          <w:rFonts w:ascii="Times New Roman" w:hAnsi="Times New Roman" w:cs="Times New Roman"/>
          <w:sz w:val="24"/>
          <w:szCs w:val="24"/>
        </w:rPr>
        <w:t>euronalen Oszillationen</w:t>
      </w:r>
      <w:r w:rsidR="00F57C8A" w:rsidRPr="000C03D8">
        <w:rPr>
          <w:rFonts w:ascii="Times New Roman" w:hAnsi="Times New Roman" w:cs="Times New Roman"/>
          <w:sz w:val="24"/>
          <w:szCs w:val="24"/>
        </w:rPr>
        <w:t xml:space="preserve"> in</w:t>
      </w:r>
      <w:r w:rsidR="00327F8E">
        <w:rPr>
          <w:rFonts w:ascii="Times New Roman" w:hAnsi="Times New Roman" w:cs="Times New Roman"/>
          <w:sz w:val="24"/>
          <w:szCs w:val="24"/>
        </w:rPr>
        <w:t xml:space="preserve"> diesem Forschungsbereich</w:t>
      </w:r>
      <w:r w:rsidR="007B1D65">
        <w:rPr>
          <w:rFonts w:ascii="Times New Roman" w:hAnsi="Times New Roman" w:cs="Times New Roman"/>
          <w:sz w:val="24"/>
          <w:szCs w:val="24"/>
        </w:rPr>
        <w:t xml:space="preserve"> erstmals</w:t>
      </w:r>
      <w:r w:rsidR="00327F8E">
        <w:rPr>
          <w:rFonts w:ascii="Times New Roman" w:hAnsi="Times New Roman" w:cs="Times New Roman"/>
          <w:sz w:val="24"/>
          <w:szCs w:val="24"/>
        </w:rPr>
        <w:t xml:space="preserve"> mittels</w:t>
      </w:r>
      <w:r w:rsidR="00F57C8A" w:rsidRPr="000C03D8">
        <w:rPr>
          <w:rFonts w:ascii="Times New Roman" w:hAnsi="Times New Roman" w:cs="Times New Roman"/>
          <w:sz w:val="24"/>
          <w:szCs w:val="24"/>
        </w:rPr>
        <w:t xml:space="preserve"> dieser Differenzierung bewertet werden.</w:t>
      </w:r>
      <w:r w:rsidR="001A669B" w:rsidRPr="000C03D8">
        <w:rPr>
          <w:rFonts w:ascii="Times New Roman" w:hAnsi="Times New Roman" w:cs="Times New Roman"/>
          <w:sz w:val="24"/>
          <w:szCs w:val="24"/>
        </w:rPr>
        <w:t xml:space="preserve"> Es wurde</w:t>
      </w:r>
      <w:r w:rsidR="007B1D65">
        <w:rPr>
          <w:rFonts w:ascii="Times New Roman" w:hAnsi="Times New Roman" w:cs="Times New Roman"/>
          <w:sz w:val="24"/>
          <w:szCs w:val="24"/>
        </w:rPr>
        <w:t xml:space="preserve"> für die aperiodische Komponente</w:t>
      </w:r>
      <w:r w:rsidR="001A669B" w:rsidRPr="000C03D8">
        <w:rPr>
          <w:rFonts w:ascii="Times New Roman" w:hAnsi="Times New Roman" w:cs="Times New Roman"/>
          <w:sz w:val="24"/>
          <w:szCs w:val="24"/>
        </w:rPr>
        <w:t xml:space="preserve"> angenommen, dass die Spike-Aktivität und die Power im </w:t>
      </w:r>
      <w:proofErr w:type="spellStart"/>
      <w:r w:rsidR="001A669B" w:rsidRPr="000C03D8">
        <w:rPr>
          <w:rFonts w:ascii="Times New Roman" w:hAnsi="Times New Roman" w:cs="Times New Roman"/>
          <w:sz w:val="24"/>
          <w:szCs w:val="24"/>
        </w:rPr>
        <w:t>Betaband</w:t>
      </w:r>
      <w:proofErr w:type="spellEnd"/>
      <w:r w:rsidR="00327F8E">
        <w:rPr>
          <w:rFonts w:ascii="Times New Roman" w:hAnsi="Times New Roman" w:cs="Times New Roman"/>
          <w:sz w:val="24"/>
          <w:szCs w:val="24"/>
        </w:rPr>
        <w:t xml:space="preserve"> während der OP</w:t>
      </w:r>
      <w:r w:rsidR="001A669B" w:rsidRPr="000C03D8">
        <w:rPr>
          <w:rFonts w:ascii="Times New Roman" w:hAnsi="Times New Roman" w:cs="Times New Roman"/>
          <w:sz w:val="24"/>
          <w:szCs w:val="24"/>
        </w:rPr>
        <w:t xml:space="preserve"> 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2" w:name="_Toc104032865"/>
      <w:r w:rsidRPr="000C03D8">
        <w:rPr>
          <w:rFonts w:ascii="Times New Roman" w:hAnsi="Times New Roman" w:cs="Times New Roman"/>
          <w:b/>
          <w:color w:val="auto"/>
        </w:rPr>
        <w:lastRenderedPageBreak/>
        <w:t>1. Einleitung</w:t>
      </w:r>
      <w:bookmarkEnd w:id="2"/>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3" w:name="_Toc104032866"/>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3"/>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w:t>
      </w:r>
      <w:r w:rsidR="0082111F">
        <w:rPr>
          <w:rFonts w:ascii="Times New Roman" w:hAnsi="Times New Roman" w:cs="Times New Roman"/>
          <w:sz w:val="24"/>
          <w:szCs w:val="24"/>
        </w:rPr>
        <w:t>rschiedene motorische sowie</w:t>
      </w:r>
      <w:r w:rsidR="0059460D" w:rsidRPr="000C03D8">
        <w:rPr>
          <w:rFonts w:ascii="Times New Roman" w:hAnsi="Times New Roman" w:cs="Times New Roman"/>
          <w:sz w:val="24"/>
          <w:szCs w:val="24"/>
        </w:rPr>
        <w:t xml:space="preserve">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proofErr w:type="spellStart"/>
      <w:r w:rsidR="007B3B38" w:rsidRPr="000C03D8">
        <w:rPr>
          <w:rFonts w:ascii="Times New Roman" w:hAnsi="Times New Roman" w:cs="Times New Roman"/>
          <w:sz w:val="24"/>
          <w:szCs w:val="24"/>
        </w:rPr>
        <w:t>Bradykinesie</w:t>
      </w:r>
      <w:proofErr w:type="spellEnd"/>
      <w:r w:rsidR="007B3B38" w:rsidRPr="000C03D8">
        <w:rPr>
          <w:rFonts w:ascii="Times New Roman" w:hAnsi="Times New Roman" w:cs="Times New Roman"/>
          <w:sz w:val="24"/>
          <w:szCs w:val="24"/>
        </w:rPr>
        <w:t>, die gemeinsam mit Ruhetremor, Rigor oder beidem auf</w:t>
      </w:r>
      <w:r w:rsidR="0082111F">
        <w:rPr>
          <w:rFonts w:ascii="Times New Roman" w:hAnsi="Times New Roman" w:cs="Times New Roman"/>
          <w:sz w:val="24"/>
          <w:szCs w:val="24"/>
        </w:rPr>
        <w:t>tritt. Diese Symptome sind</w:t>
      </w:r>
      <w:r w:rsidR="007B3B38" w:rsidRPr="000C03D8">
        <w:rPr>
          <w:rFonts w:ascii="Times New Roman" w:hAnsi="Times New Roman" w:cs="Times New Roman"/>
          <w:sz w:val="24"/>
          <w:szCs w:val="24"/>
        </w:rPr>
        <w:t xml:space="preserve">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Disease</w:t>
      </w:r>
      <w:proofErr w:type="spellEnd"/>
      <w:r w:rsidRPr="000C03D8">
        <w:rPr>
          <w:rFonts w:ascii="Times New Roman" w:hAnsi="Times New Roman" w:cs="Times New Roman"/>
          <w:sz w:val="24"/>
          <w:szCs w:val="24"/>
        </w:rPr>
        <w:t xml:space="preserv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w:t>
      </w:r>
      <w:r w:rsidR="00343E86">
        <w:rPr>
          <w:rFonts w:ascii="Times New Roman" w:hAnsi="Times New Roman" w:cs="Times New Roman"/>
          <w:sz w:val="24"/>
          <w:szCs w:val="24"/>
        </w:rPr>
        <w:t xml:space="preserve"> </w:t>
      </w:r>
      <w:r w:rsidR="00343E86">
        <w:rPr>
          <w:rFonts w:ascii="Times New Roman" w:hAnsi="Times New Roman" w:cs="Times New Roman"/>
          <w:sz w:val="24"/>
          <w:szCs w:val="24"/>
        </w:rPr>
        <w:fldChar w:fldCharType="begin"/>
      </w:r>
      <w:r w:rsidR="00343E86">
        <w:rPr>
          <w:rFonts w:ascii="Times New Roman" w:hAnsi="Times New Roman" w:cs="Times New Roman"/>
          <w:sz w:val="24"/>
          <w:szCs w:val="24"/>
        </w:rPr>
        <w:instrText xml:space="preserve"> ADDIN ZOTERO_ITEM CSL_CITATION {"citationID":"qyPTkGqs","properties":{"formattedCitation":"(Fahn et al., 1987)","plainCitation":"(Fahn et al., 1987)","noteIndex":0},"citationItems":[{"id":153,"uris":["http://zotero.org/users/local/AhaM3qLx/items/2CPW5C2Y"],"itemData":{"id":153,"type":"chapter","container-title":"Recent Developments in Parkinson's Disease","event-place":"Florham Park, NJ","page":"153-163","publisher":"Macmillan Healthcare Information","publisher-place":"Florham Park, NJ","title":"UNIFIED PARKINSON'S DISEASE RATING SCALE","volume":"2","author":[{"family":"Fahn","given":"Stanley"},{"family":"Elton","given":"R."},{"literal":"Members of the UPDRS Development Committee"}],"editor":[{"family":"Fahn","given":"Stanley"},{"literal":"Marsden C."},{"literal":"Goldstein M."},{"literal":"Calne D."}],"issued":{"date-parts":[["1987"]]}}}],"schema":"https://github.com/citation-style-language/schema/raw/master/csl-citation.json"} </w:instrText>
      </w:r>
      <w:r w:rsidR="00343E86">
        <w:rPr>
          <w:rFonts w:ascii="Times New Roman" w:hAnsi="Times New Roman" w:cs="Times New Roman"/>
          <w:sz w:val="24"/>
          <w:szCs w:val="24"/>
        </w:rPr>
        <w:fldChar w:fldCharType="separate"/>
      </w:r>
      <w:r w:rsidR="00343E86" w:rsidRPr="00343E86">
        <w:rPr>
          <w:rFonts w:ascii="Times New Roman" w:hAnsi="Times New Roman" w:cs="Times New Roman"/>
          <w:sz w:val="24"/>
        </w:rPr>
        <w:t>(Fahn et al., 1987)</w:t>
      </w:r>
      <w:r w:rsidR="00343E86">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4" w:name="_Toc104032867"/>
      <w:r w:rsidRPr="000C03D8">
        <w:rPr>
          <w:rFonts w:ascii="Times New Roman" w:hAnsi="Times New Roman" w:cs="Times New Roman"/>
          <w:b/>
          <w:i/>
          <w:color w:val="auto"/>
        </w:rPr>
        <w:t>1.1.1 Motorische Symptome von Morbus Parkinson</w:t>
      </w:r>
      <w:bookmarkEnd w:id="4"/>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proofErr w:type="spellStart"/>
      <w:r w:rsidR="00392EE0" w:rsidRPr="000C03D8">
        <w:rPr>
          <w:rFonts w:ascii="Times New Roman" w:hAnsi="Times New Roman" w:cs="Times New Roman"/>
          <w:sz w:val="24"/>
          <w:szCs w:val="24"/>
        </w:rPr>
        <w:t>Bradykinesie</w:t>
      </w:r>
      <w:proofErr w:type="spellEnd"/>
      <w:r w:rsidR="00392EE0" w:rsidRPr="000C03D8">
        <w:rPr>
          <w:rFonts w:ascii="Times New Roman" w:hAnsi="Times New Roman" w:cs="Times New Roman"/>
          <w:sz w:val="24"/>
          <w:szCs w:val="24"/>
        </w:rPr>
        <w:t xml:space="preserve"> ist</w:t>
      </w:r>
      <w:r w:rsidR="006407F7" w:rsidRPr="000C03D8">
        <w:rPr>
          <w:rFonts w:ascii="Times New Roman" w:hAnsi="Times New Roman" w:cs="Times New Roman"/>
          <w:sz w:val="24"/>
          <w:szCs w:val="24"/>
        </w:rPr>
        <w:t xml:space="preserve"> in der Definition der MDS ein Übergriff für die eigentliche </w:t>
      </w:r>
      <w:proofErr w:type="spellStart"/>
      <w:r w:rsidR="006407F7" w:rsidRPr="000C03D8">
        <w:rPr>
          <w:rFonts w:ascii="Times New Roman" w:hAnsi="Times New Roman" w:cs="Times New Roman"/>
          <w:sz w:val="24"/>
          <w:szCs w:val="24"/>
        </w:rPr>
        <w:t>Bradykinesie</w:t>
      </w:r>
      <w:proofErr w:type="spellEnd"/>
      <w:r w:rsidR="006407F7" w:rsidRPr="000C03D8">
        <w:rPr>
          <w:rFonts w:ascii="Times New Roman" w:hAnsi="Times New Roman" w:cs="Times New Roman"/>
          <w:sz w:val="24"/>
          <w:szCs w:val="24"/>
        </w:rPr>
        <w:t xml:space="preserv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 xml:space="preserve">Hess &amp; </w:t>
      </w:r>
      <w:proofErr w:type="spellStart"/>
      <w:r w:rsidR="00FC0B88" w:rsidRPr="000C03D8">
        <w:rPr>
          <w:rFonts w:ascii="Times New Roman" w:hAnsi="Times New Roman" w:cs="Times New Roman"/>
          <w:sz w:val="24"/>
          <w:szCs w:val="24"/>
        </w:rPr>
        <w:t>Hallett</w:t>
      </w:r>
      <w:proofErr w:type="spellEnd"/>
      <w:r w:rsidR="00FC0B88" w:rsidRPr="000C03D8">
        <w:rPr>
          <w:rFonts w:ascii="Times New Roman" w:hAnsi="Times New Roman" w:cs="Times New Roman"/>
          <w:sz w:val="24"/>
          <w:szCs w:val="24"/>
        </w:rPr>
        <w:t xml:space="preserve">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w:t>
      </w:r>
      <w:proofErr w:type="spellStart"/>
      <w:r w:rsidR="00FC0B88" w:rsidRPr="000C03D8">
        <w:rPr>
          <w:rFonts w:ascii="Times New Roman" w:hAnsi="Times New Roman" w:cs="Times New Roman"/>
          <w:sz w:val="24"/>
          <w:szCs w:val="24"/>
        </w:rPr>
        <w:t>Bradykinesie</w:t>
      </w:r>
      <w:proofErr w:type="spellEnd"/>
      <w:r w:rsidR="00FC0B88" w:rsidRPr="000C03D8">
        <w:rPr>
          <w:rFonts w:ascii="Times New Roman" w:hAnsi="Times New Roman" w:cs="Times New Roman"/>
          <w:sz w:val="24"/>
          <w:szCs w:val="24"/>
        </w:rPr>
        <w:t xml:space="preserve"> als die Verlängerung der Zeit beschrieben, die zwischen dem Beginn und der Vollendung einer willkürlichen Bewegung vergeht. </w:t>
      </w:r>
      <w:r w:rsidR="00E006EC" w:rsidRPr="000C03D8">
        <w:rPr>
          <w:rFonts w:ascii="Times New Roman" w:hAnsi="Times New Roman" w:cs="Times New Roman"/>
          <w:sz w:val="24"/>
          <w:szCs w:val="24"/>
        </w:rPr>
        <w:t xml:space="preserve">Als weitere Merkmale der </w:t>
      </w:r>
      <w:proofErr w:type="spellStart"/>
      <w:r w:rsidR="00E006EC" w:rsidRPr="000C03D8">
        <w:rPr>
          <w:rFonts w:ascii="Times New Roman" w:hAnsi="Times New Roman" w:cs="Times New Roman"/>
          <w:sz w:val="24"/>
          <w:szCs w:val="24"/>
        </w:rPr>
        <w:t>Bradykinesie</w:t>
      </w:r>
      <w:proofErr w:type="spellEnd"/>
      <w:r w:rsidR="00E006EC" w:rsidRPr="000C03D8">
        <w:rPr>
          <w:rFonts w:ascii="Times New Roman" w:hAnsi="Times New Roman" w:cs="Times New Roman"/>
          <w:sz w:val="24"/>
          <w:szCs w:val="24"/>
        </w:rPr>
        <w:t xml:space="preserv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w:t>
      </w:r>
      <w:r w:rsidR="00BC6192" w:rsidRPr="000C03D8">
        <w:rPr>
          <w:rFonts w:ascii="Times New Roman" w:hAnsi="Times New Roman" w:cs="Times New Roman"/>
          <w:sz w:val="24"/>
          <w:szCs w:val="24"/>
        </w:rPr>
        <w:lastRenderedPageBreak/>
        <w:t xml:space="preserve">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Außerdem können die unterschiedlich</w:t>
      </w:r>
      <w:r w:rsidR="0082111F">
        <w:rPr>
          <w:rFonts w:ascii="Times New Roman" w:hAnsi="Times New Roman" w:cs="Times New Roman"/>
          <w:sz w:val="24"/>
          <w:szCs w:val="24"/>
        </w:rPr>
        <w:t>en</w:t>
      </w:r>
      <w:r w:rsidR="00206261" w:rsidRPr="000C03D8">
        <w:rPr>
          <w:rFonts w:ascii="Times New Roman" w:hAnsi="Times New Roman" w:cs="Times New Roman"/>
          <w:sz w:val="24"/>
          <w:szCs w:val="24"/>
        </w:rPr>
        <w:t xml:space="preserve"> Varianten des Tremors nicht nur in der jeweils anderen Erkrankung vorkommen, eine einzelne Person kann auch an beiden Erkrankungen</w:t>
      </w:r>
      <w:r w:rsidR="0082111F">
        <w:rPr>
          <w:rFonts w:ascii="Times New Roman" w:hAnsi="Times New Roman" w:cs="Times New Roman"/>
          <w:sz w:val="24"/>
          <w:szCs w:val="24"/>
        </w:rPr>
        <w:t xml:space="preserve"> gleichzeitig erkrankt sein</w:t>
      </w:r>
      <w:r w:rsidR="00206261" w:rsidRPr="000C03D8">
        <w:rPr>
          <w:rFonts w:ascii="Times New Roman" w:hAnsi="Times New Roman" w:cs="Times New Roman"/>
          <w:sz w:val="24"/>
          <w:szCs w:val="24"/>
        </w:rPr>
        <w:t xml:space="preserve">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rd getestet, indem der Rückstoß und die Erholung ein</w:t>
      </w:r>
      <w:r w:rsidR="0056669A">
        <w:rPr>
          <w:rFonts w:ascii="Times New Roman" w:hAnsi="Times New Roman" w:cs="Times New Roman"/>
          <w:sz w:val="24"/>
          <w:szCs w:val="24"/>
        </w:rPr>
        <w:t>geschätzt werden, die auftreten</w:t>
      </w:r>
      <w:r w:rsidR="005C10C5" w:rsidRPr="000C03D8">
        <w:rPr>
          <w:rFonts w:ascii="Times New Roman" w:hAnsi="Times New Roman" w:cs="Times New Roman"/>
          <w:sz w:val="24"/>
          <w:szCs w:val="24"/>
        </w:rPr>
        <w:t xml:space="preserve">,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5" w:name="_Toc104032868"/>
      <w:r w:rsidRPr="000C03D8">
        <w:rPr>
          <w:rFonts w:ascii="Times New Roman" w:hAnsi="Times New Roman" w:cs="Times New Roman"/>
          <w:b/>
          <w:i/>
          <w:color w:val="auto"/>
        </w:rPr>
        <w:t>1.1.2 Nicht-motorische Symptome von Morbus Parkinson</w:t>
      </w:r>
      <w:bookmarkEnd w:id="5"/>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w:t>
      </w:r>
      <w:proofErr w:type="spellStart"/>
      <w:r w:rsidRPr="000C03D8">
        <w:rPr>
          <w:rFonts w:ascii="Times New Roman" w:hAnsi="Times New Roman" w:cs="Times New Roman"/>
          <w:sz w:val="24"/>
          <w:szCs w:val="24"/>
        </w:rPr>
        <w:t>Fatigue</w:t>
      </w:r>
      <w:proofErr w:type="spellEnd"/>
      <w:r w:rsidRPr="000C03D8">
        <w:rPr>
          <w:rFonts w:ascii="Times New Roman" w:hAnsi="Times New Roman" w:cs="Times New Roman"/>
          <w:sz w:val="24"/>
          <w:szCs w:val="24"/>
        </w:rPr>
        <w:t xml:space="preserve">, </w:t>
      </w:r>
      <w:r w:rsidR="003A42A8" w:rsidRPr="000C03D8">
        <w:rPr>
          <w:rFonts w:ascii="Times New Roman" w:hAnsi="Times New Roman" w:cs="Times New Roman"/>
          <w:sz w:val="24"/>
          <w:szCs w:val="24"/>
        </w:rPr>
        <w:t xml:space="preserve">milde kognitive Einschränkungen, Schmerz, Apathie, urologische Symptome, </w:t>
      </w:r>
      <w:proofErr w:type="spellStart"/>
      <w:r w:rsidR="003A42A8" w:rsidRPr="000C03D8">
        <w:rPr>
          <w:rFonts w:ascii="Times New Roman" w:hAnsi="Times New Roman" w:cs="Times New Roman"/>
          <w:sz w:val="24"/>
          <w:szCs w:val="24"/>
        </w:rPr>
        <w:t>orthostatische</w:t>
      </w:r>
      <w:proofErr w:type="spellEnd"/>
      <w:r w:rsidR="003A42A8" w:rsidRPr="000C03D8">
        <w:rPr>
          <w:rFonts w:ascii="Times New Roman" w:hAnsi="Times New Roman" w:cs="Times New Roman"/>
          <w:sz w:val="24"/>
          <w:szCs w:val="24"/>
        </w:rPr>
        <w:t xml:space="preserv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6" w:name="_Toc104032869"/>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6"/>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Bereits seit 1919 ist es bekannt, dass ein Abbau von Zellen in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Heutzutage gilt der Verlust von pigmentierten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Neuronen in bestimmten Bereichen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w:t>
      </w:r>
      <w:proofErr w:type="spellStart"/>
      <w:r w:rsidR="00A546EE" w:rsidRPr="000C03D8">
        <w:rPr>
          <w:rFonts w:ascii="Times New Roman" w:hAnsi="Times New Roman" w:cs="Times New Roman"/>
          <w:sz w:val="24"/>
          <w:szCs w:val="24"/>
        </w:rPr>
        <w:t>dopaminergen</w:t>
      </w:r>
      <w:proofErr w:type="spellEnd"/>
      <w:r w:rsidR="00A546EE" w:rsidRPr="000C03D8">
        <w:rPr>
          <w:rFonts w:ascii="Times New Roman" w:hAnsi="Times New Roman" w:cs="Times New Roman"/>
          <w:sz w:val="24"/>
          <w:szCs w:val="24"/>
        </w:rPr>
        <w:t xml:space="preserve">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w:t>
      </w:r>
      <w:proofErr w:type="spellStart"/>
      <w:r w:rsidR="00A546EE" w:rsidRPr="000C03D8">
        <w:rPr>
          <w:rFonts w:ascii="Times New Roman" w:hAnsi="Times New Roman" w:cs="Times New Roman"/>
          <w:sz w:val="24"/>
          <w:szCs w:val="24"/>
        </w:rPr>
        <w:t>Bloem</w:t>
      </w:r>
      <w:proofErr w:type="spellEnd"/>
      <w:r w:rsidR="00A546EE" w:rsidRPr="000C03D8">
        <w:rPr>
          <w:rFonts w:ascii="Times New Roman" w:hAnsi="Times New Roman" w:cs="Times New Roman"/>
          <w:sz w:val="24"/>
          <w:szCs w:val="24"/>
        </w:rPr>
        <w:t xml:space="preserve">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w:t>
      </w:r>
      <w:proofErr w:type="spellStart"/>
      <w:r w:rsidR="00217D73" w:rsidRPr="000C03D8">
        <w:rPr>
          <w:rFonts w:ascii="Times New Roman" w:hAnsi="Times New Roman" w:cs="Times New Roman"/>
          <w:sz w:val="24"/>
          <w:szCs w:val="24"/>
        </w:rPr>
        <w:t>Dopaminausschüttung</w:t>
      </w:r>
      <w:proofErr w:type="spellEnd"/>
      <w:r w:rsidR="00217D73" w:rsidRPr="000C03D8">
        <w:rPr>
          <w:rFonts w:ascii="Times New Roman" w:hAnsi="Times New Roman" w:cs="Times New Roman"/>
          <w:sz w:val="24"/>
          <w:szCs w:val="24"/>
        </w:rPr>
        <w:t xml:space="preserve">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w:t>
      </w:r>
      <w:proofErr w:type="spellStart"/>
      <w:r w:rsidR="0032010C" w:rsidRPr="000C03D8">
        <w:rPr>
          <w:rFonts w:ascii="Times New Roman" w:hAnsi="Times New Roman" w:cs="Times New Roman"/>
          <w:sz w:val="24"/>
          <w:szCs w:val="24"/>
        </w:rPr>
        <w:t>Substantia</w:t>
      </w:r>
      <w:proofErr w:type="spellEnd"/>
      <w:r w:rsidR="0032010C" w:rsidRPr="000C03D8">
        <w:rPr>
          <w:rFonts w:ascii="Times New Roman" w:hAnsi="Times New Roman" w:cs="Times New Roman"/>
          <w:sz w:val="24"/>
          <w:szCs w:val="24"/>
        </w:rPr>
        <w:t xml:space="preserve">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 xml:space="preserve">chen Bereich des </w:t>
      </w:r>
      <w:proofErr w:type="spellStart"/>
      <w:r w:rsidR="0032010C" w:rsidRPr="000C03D8">
        <w:rPr>
          <w:rFonts w:ascii="Times New Roman" w:hAnsi="Times New Roman" w:cs="Times New Roman"/>
          <w:sz w:val="24"/>
          <w:szCs w:val="24"/>
        </w:rPr>
        <w:t>Striatum</w:t>
      </w:r>
      <w:proofErr w:type="spellEnd"/>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w:t>
      </w:r>
      <w:proofErr w:type="spellStart"/>
      <w:r w:rsidR="000C366C" w:rsidRPr="000C03D8">
        <w:rPr>
          <w:rFonts w:ascii="Times New Roman" w:hAnsi="Times New Roman" w:cs="Times New Roman"/>
          <w:sz w:val="24"/>
          <w:szCs w:val="24"/>
        </w:rPr>
        <w:t>Substantia</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 xml:space="preserve">wird dadurch der hemmende Einfluss des </w:t>
      </w:r>
      <w:proofErr w:type="spellStart"/>
      <w:r w:rsidR="0032010C" w:rsidRPr="000C03D8">
        <w:rPr>
          <w:rFonts w:ascii="Times New Roman" w:hAnsi="Times New Roman" w:cs="Times New Roman"/>
          <w:sz w:val="24"/>
          <w:szCs w:val="24"/>
        </w:rPr>
        <w:t>Striatum</w:t>
      </w:r>
      <w:proofErr w:type="spellEnd"/>
      <w:r w:rsidR="0032010C" w:rsidRPr="000C03D8">
        <w:rPr>
          <w:rFonts w:ascii="Times New Roman" w:hAnsi="Times New Roman" w:cs="Times New Roman"/>
          <w:sz w:val="24"/>
          <w:szCs w:val="24"/>
        </w:rPr>
        <w:t xml:space="preserve">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Striatum</w:t>
      </w:r>
      <w:proofErr w:type="spellEnd"/>
      <w:r w:rsidR="00AB6FCF" w:rsidRPr="000C03D8">
        <w:rPr>
          <w:rFonts w:ascii="Times New Roman" w:hAnsi="Times New Roman" w:cs="Times New Roman"/>
          <w:sz w:val="24"/>
          <w:szCs w:val="24"/>
        </w:rPr>
        <w:t xml:space="preserve">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externus</w:t>
      </w:r>
      <w:proofErr w:type="spellEnd"/>
      <w:r w:rsidR="00AB6FCF" w:rsidRPr="000C03D8">
        <w:rPr>
          <w:rFonts w:ascii="Times New Roman" w:hAnsi="Times New Roman" w:cs="Times New Roman"/>
          <w:sz w:val="24"/>
          <w:szCs w:val="24"/>
        </w:rPr>
        <w:t xml:space="preserve">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w:t>
      </w:r>
      <w:proofErr w:type="spellStart"/>
      <w:r w:rsidR="00306F70" w:rsidRPr="000C03D8">
        <w:rPr>
          <w:rFonts w:ascii="Times New Roman" w:hAnsi="Times New Roman" w:cs="Times New Roman"/>
          <w:sz w:val="24"/>
          <w:szCs w:val="24"/>
        </w:rPr>
        <w:t>Bradykinesie</w:t>
      </w:r>
      <w:proofErr w:type="spellEnd"/>
      <w:r w:rsidR="00306F70" w:rsidRPr="000C03D8">
        <w:rPr>
          <w:rFonts w:ascii="Times New Roman" w:hAnsi="Times New Roman" w:cs="Times New Roman"/>
          <w:sz w:val="24"/>
          <w:szCs w:val="24"/>
        </w:rPr>
        <w:t xml:space="preserv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w:t>
      </w:r>
      <w:proofErr w:type="spellStart"/>
      <w:r w:rsidR="00C269DB" w:rsidRPr="000C03D8">
        <w:rPr>
          <w:rFonts w:ascii="Times New Roman" w:hAnsi="Times New Roman" w:cs="Times New Roman"/>
          <w:sz w:val="24"/>
          <w:szCs w:val="24"/>
        </w:rPr>
        <w:t>dopaminergen</w:t>
      </w:r>
      <w:proofErr w:type="spellEnd"/>
      <w:r w:rsidR="00C269DB" w:rsidRPr="000C03D8">
        <w:rPr>
          <w:rFonts w:ascii="Times New Roman" w:hAnsi="Times New Roman" w:cs="Times New Roman"/>
          <w:sz w:val="24"/>
          <w:szCs w:val="24"/>
        </w:rPr>
        <w:t xml:space="preserve"> Neuronen in der </w:t>
      </w:r>
      <w:proofErr w:type="spellStart"/>
      <w:r w:rsidR="00C269DB" w:rsidRPr="000C03D8">
        <w:rPr>
          <w:rFonts w:ascii="Times New Roman" w:hAnsi="Times New Roman" w:cs="Times New Roman"/>
          <w:sz w:val="24"/>
          <w:szCs w:val="24"/>
        </w:rPr>
        <w:t>Substantia</w:t>
      </w:r>
      <w:proofErr w:type="spellEnd"/>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Nigra</w:t>
      </w:r>
      <w:proofErr w:type="spellEnd"/>
      <w:r w:rsidR="00C269DB" w:rsidRPr="000C03D8">
        <w:rPr>
          <w:rFonts w:ascii="Times New Roman" w:hAnsi="Times New Roman" w:cs="Times New Roman"/>
          <w:sz w:val="24"/>
          <w:szCs w:val="24"/>
        </w:rPr>
        <w:t xml:space="preserve">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w:t>
      </w:r>
      <w:proofErr w:type="spellStart"/>
      <w:r w:rsidR="00C269DB" w:rsidRPr="000C03D8">
        <w:rPr>
          <w:rFonts w:ascii="Times New Roman" w:hAnsi="Times New Roman" w:cs="Times New Roman"/>
          <w:sz w:val="24"/>
          <w:szCs w:val="24"/>
        </w:rPr>
        <w:t>Striatum</w:t>
      </w:r>
      <w:proofErr w:type="spellEnd"/>
      <w:r w:rsidR="00C269DB" w:rsidRPr="000C03D8">
        <w:rPr>
          <w:rFonts w:ascii="Times New Roman" w:hAnsi="Times New Roman" w:cs="Times New Roman"/>
          <w:sz w:val="24"/>
          <w:szCs w:val="24"/>
        </w:rPr>
        <w:t xml:space="preserve"> führen durch die beschriebenen Mechanismen zu einem Ungleichgewicht zwischen der direkten und der indirekten Verbindung in den Basalganglien und dadurch zu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w:t>
      </w:r>
      <w:proofErr w:type="spellStart"/>
      <w:r w:rsidR="00C269DB" w:rsidRPr="000C03D8">
        <w:rPr>
          <w:rFonts w:ascii="Times New Roman" w:hAnsi="Times New Roman" w:cs="Times New Roman"/>
          <w:sz w:val="24"/>
          <w:szCs w:val="24"/>
        </w:rPr>
        <w:t>Bloem</w:t>
      </w:r>
      <w:proofErr w:type="spellEnd"/>
      <w:r w:rsidR="00C269DB" w:rsidRPr="000C03D8">
        <w:rPr>
          <w:rFonts w:ascii="Times New Roman" w:hAnsi="Times New Roman" w:cs="Times New Roman"/>
          <w:sz w:val="24"/>
          <w:szCs w:val="24"/>
        </w:rPr>
        <w:t xml:space="preserve">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w:t>
      </w:r>
      <w:proofErr w:type="spellStart"/>
      <w:r w:rsidR="003804D7" w:rsidRPr="000C03D8">
        <w:rPr>
          <w:rFonts w:ascii="Times New Roman" w:hAnsi="Times New Roman" w:cs="Times New Roman"/>
          <w:sz w:val="24"/>
          <w:szCs w:val="24"/>
        </w:rPr>
        <w:t>Dopaminverlust</w:t>
      </w:r>
      <w:proofErr w:type="spellEnd"/>
      <w:r w:rsidR="003804D7" w:rsidRPr="000C03D8">
        <w:rPr>
          <w:rFonts w:ascii="Times New Roman" w:hAnsi="Times New Roman" w:cs="Times New Roman"/>
          <w:sz w:val="24"/>
          <w:szCs w:val="24"/>
        </w:rPr>
        <w:t xml:space="preserve"> im </w:t>
      </w:r>
      <w:proofErr w:type="spellStart"/>
      <w:r w:rsidR="003804D7" w:rsidRPr="000C03D8">
        <w:rPr>
          <w:rFonts w:ascii="Times New Roman" w:hAnsi="Times New Roman" w:cs="Times New Roman"/>
          <w:sz w:val="24"/>
          <w:szCs w:val="24"/>
        </w:rPr>
        <w:t>Striatum</w:t>
      </w:r>
      <w:proofErr w:type="spellEnd"/>
      <w:r w:rsidR="003804D7" w:rsidRPr="000C03D8">
        <w:rPr>
          <w:rFonts w:ascii="Times New Roman" w:hAnsi="Times New Roman" w:cs="Times New Roman"/>
          <w:sz w:val="24"/>
          <w:szCs w:val="24"/>
        </w:rPr>
        <w:t xml:space="preserve">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w:t>
      </w:r>
      <w:proofErr w:type="spellStart"/>
      <w:r w:rsidR="0021190D" w:rsidRPr="000C03D8">
        <w:rPr>
          <w:rFonts w:ascii="Times New Roman" w:hAnsi="Times New Roman" w:cs="Times New Roman"/>
          <w:sz w:val="24"/>
          <w:szCs w:val="24"/>
        </w:rPr>
        <w:t>Bradykinesie</w:t>
      </w:r>
      <w:proofErr w:type="spellEnd"/>
      <w:r w:rsidR="0021190D" w:rsidRPr="000C03D8">
        <w:rPr>
          <w:rFonts w:ascii="Times New Roman" w:hAnsi="Times New Roman" w:cs="Times New Roman"/>
          <w:sz w:val="24"/>
          <w:szCs w:val="24"/>
        </w:rPr>
        <w:t xml:space="preserv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w:t>
      </w:r>
      <w:proofErr w:type="spellStart"/>
      <w:r w:rsidR="00E74455" w:rsidRPr="000C03D8">
        <w:rPr>
          <w:rFonts w:ascii="Times New Roman" w:hAnsi="Times New Roman" w:cs="Times New Roman"/>
          <w:sz w:val="24"/>
          <w:szCs w:val="24"/>
        </w:rPr>
        <w:t>Bradykinesie</w:t>
      </w:r>
      <w:proofErr w:type="spellEnd"/>
      <w:r w:rsidR="00E74455" w:rsidRPr="000C03D8">
        <w:rPr>
          <w:rFonts w:ascii="Times New Roman" w:hAnsi="Times New Roman" w:cs="Times New Roman"/>
          <w:sz w:val="24"/>
          <w:szCs w:val="24"/>
        </w:rPr>
        <w:t xml:space="preserv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7" w:name="_Toc104032870"/>
      <w:r w:rsidRPr="000C03D8">
        <w:rPr>
          <w:rFonts w:ascii="Times New Roman" w:hAnsi="Times New Roman" w:cs="Times New Roman"/>
          <w:b/>
          <w:color w:val="auto"/>
          <w:sz w:val="28"/>
          <w:szCs w:val="28"/>
        </w:rPr>
        <w:t>1.3 Behandlung von Morbus Parkinson</w:t>
      </w:r>
      <w:bookmarkEnd w:id="7"/>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4032871"/>
      <w:r w:rsidRPr="000C03D8">
        <w:rPr>
          <w:rFonts w:ascii="Times New Roman" w:hAnsi="Times New Roman" w:cs="Times New Roman"/>
          <w:b/>
          <w:i/>
          <w:color w:val="auto"/>
        </w:rPr>
        <w:t>1.3.1 Medikamentöse Behandlung</w:t>
      </w:r>
      <w:bookmarkEnd w:id="8"/>
    </w:p>
    <w:p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w:t>
      </w:r>
      <w:proofErr w:type="spellStart"/>
      <w:r w:rsidR="00267210" w:rsidRPr="000C03D8">
        <w:rPr>
          <w:rFonts w:ascii="Times New Roman" w:hAnsi="Times New Roman" w:cs="Times New Roman"/>
          <w:sz w:val="24"/>
          <w:szCs w:val="24"/>
        </w:rPr>
        <w:t>Striatum</w:t>
      </w:r>
      <w:proofErr w:type="spellEnd"/>
      <w:r w:rsidR="00267210" w:rsidRPr="000C03D8">
        <w:rPr>
          <w:rFonts w:ascii="Times New Roman" w:hAnsi="Times New Roman" w:cs="Times New Roman"/>
          <w:sz w:val="24"/>
          <w:szCs w:val="24"/>
        </w:rPr>
        <w:t xml:space="preserve">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 xml:space="preserve">Zugabe von </w:t>
      </w:r>
      <w:proofErr w:type="spellStart"/>
      <w:r w:rsidR="00F77EC2" w:rsidRPr="000C03D8">
        <w:rPr>
          <w:rFonts w:ascii="Times New Roman" w:hAnsi="Times New Roman" w:cs="Times New Roman"/>
          <w:sz w:val="24"/>
          <w:szCs w:val="24"/>
        </w:rPr>
        <w:t>Levodopa</w:t>
      </w:r>
      <w:proofErr w:type="spellEnd"/>
      <w:r w:rsidR="00F77EC2" w:rsidRPr="000C03D8">
        <w:rPr>
          <w:rFonts w:ascii="Times New Roman" w:hAnsi="Times New Roman" w:cs="Times New Roman"/>
          <w:sz w:val="24"/>
          <w:szCs w:val="24"/>
        </w:rPr>
        <w:t>, der Vorstufe von Dopamin, ausgeglichen und kontrolliert.</w:t>
      </w:r>
      <w:r w:rsidR="00267210" w:rsidRPr="000C03D8">
        <w:rPr>
          <w:rFonts w:ascii="Times New Roman" w:hAnsi="Times New Roman" w:cs="Times New Roman"/>
          <w:sz w:val="24"/>
          <w:szCs w:val="24"/>
        </w:rPr>
        <w:t xml:space="preserve"> Die medikamentöse Behandlung mit </w:t>
      </w:r>
      <w:proofErr w:type="spellStart"/>
      <w:r w:rsidR="00267210" w:rsidRPr="000C03D8">
        <w:rPr>
          <w:rFonts w:ascii="Times New Roman" w:hAnsi="Times New Roman" w:cs="Times New Roman"/>
          <w:sz w:val="24"/>
          <w:szCs w:val="24"/>
        </w:rPr>
        <w:t>Levodopa</w:t>
      </w:r>
      <w:proofErr w:type="spellEnd"/>
      <w:r w:rsidR="00267210" w:rsidRPr="000C03D8">
        <w:rPr>
          <w:rFonts w:ascii="Times New Roman" w:hAnsi="Times New Roman" w:cs="Times New Roman"/>
          <w:sz w:val="24"/>
          <w:szCs w:val="24"/>
        </w:rPr>
        <w:t xml:space="preserve">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w:t>
      </w:r>
      <w:proofErr w:type="spellStart"/>
      <w:r w:rsidR="00A05DBF" w:rsidRPr="000C03D8">
        <w:rPr>
          <w:rFonts w:ascii="Times New Roman" w:hAnsi="Times New Roman" w:cs="Times New Roman"/>
          <w:sz w:val="24"/>
          <w:szCs w:val="24"/>
        </w:rPr>
        <w:t>Levodopa</w:t>
      </w:r>
      <w:proofErr w:type="spellEnd"/>
      <w:r w:rsidR="00A05DBF" w:rsidRPr="000C03D8">
        <w:rPr>
          <w:rFonts w:ascii="Times New Roman" w:hAnsi="Times New Roman" w:cs="Times New Roman"/>
          <w:sz w:val="24"/>
          <w:szCs w:val="24"/>
        </w:rPr>
        <w:t xml:space="preserve">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 xml:space="preserve">Allerdings löst die Behandlung mit </w:t>
      </w:r>
      <w:proofErr w:type="spellStart"/>
      <w:r w:rsidR="00942FA8" w:rsidRPr="000C03D8">
        <w:rPr>
          <w:rFonts w:ascii="Times New Roman" w:hAnsi="Times New Roman" w:cs="Times New Roman"/>
          <w:sz w:val="24"/>
          <w:szCs w:val="24"/>
        </w:rPr>
        <w:t>Levodopa</w:t>
      </w:r>
      <w:proofErr w:type="spellEnd"/>
      <w:r w:rsidR="00942FA8" w:rsidRPr="000C03D8">
        <w:rPr>
          <w:rFonts w:ascii="Times New Roman" w:hAnsi="Times New Roman" w:cs="Times New Roman"/>
          <w:sz w:val="24"/>
          <w:szCs w:val="24"/>
        </w:rPr>
        <w:t xml:space="preserve"> langfristig neue Bewegungsstörungen und </w:t>
      </w:r>
      <w:proofErr w:type="spellStart"/>
      <w:r w:rsidR="00942FA8" w:rsidRPr="000C03D8">
        <w:rPr>
          <w:rFonts w:ascii="Times New Roman" w:hAnsi="Times New Roman" w:cs="Times New Roman"/>
          <w:sz w:val="24"/>
          <w:szCs w:val="24"/>
        </w:rPr>
        <w:t>Dys</w:t>
      </w:r>
      <w:r w:rsidR="00D556BB" w:rsidRPr="000C03D8">
        <w:rPr>
          <w:rFonts w:ascii="Times New Roman" w:hAnsi="Times New Roman" w:cs="Times New Roman"/>
          <w:sz w:val="24"/>
          <w:szCs w:val="24"/>
        </w:rPr>
        <w:t>kinesien</w:t>
      </w:r>
      <w:proofErr w:type="spellEnd"/>
      <w:r w:rsidR="00D556BB" w:rsidRPr="000C03D8">
        <w:rPr>
          <w:rFonts w:ascii="Times New Roman" w:hAnsi="Times New Roman" w:cs="Times New Roman"/>
          <w:sz w:val="24"/>
          <w:szCs w:val="24"/>
        </w:rPr>
        <w:t xml:space="preserve">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w:t>
      </w:r>
      <w:proofErr w:type="spellStart"/>
      <w:r w:rsidR="00D556BB" w:rsidRPr="000C03D8">
        <w:rPr>
          <w:rFonts w:ascii="Times New Roman" w:hAnsi="Times New Roman" w:cs="Times New Roman"/>
          <w:sz w:val="24"/>
          <w:szCs w:val="24"/>
        </w:rPr>
        <w:t>Poewe</w:t>
      </w:r>
      <w:proofErr w:type="spellEnd"/>
      <w:r w:rsidR="00D556BB" w:rsidRPr="000C03D8">
        <w:rPr>
          <w:rFonts w:ascii="Times New Roman" w:hAnsi="Times New Roman" w:cs="Times New Roman"/>
          <w:sz w:val="24"/>
          <w:szCs w:val="24"/>
        </w:rPr>
        <w:t xml:space="preserv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w:t>
      </w:r>
      <w:proofErr w:type="spellStart"/>
      <w:r w:rsidR="00465D1F" w:rsidRPr="000C03D8">
        <w:rPr>
          <w:rFonts w:ascii="Times New Roman" w:hAnsi="Times New Roman" w:cs="Times New Roman"/>
          <w:sz w:val="24"/>
          <w:szCs w:val="24"/>
        </w:rPr>
        <w:t>dopaminergen</w:t>
      </w:r>
      <w:proofErr w:type="spellEnd"/>
      <w:r w:rsidR="00465D1F" w:rsidRPr="000C03D8">
        <w:rPr>
          <w:rFonts w:ascii="Times New Roman" w:hAnsi="Times New Roman" w:cs="Times New Roman"/>
          <w:sz w:val="24"/>
          <w:szCs w:val="24"/>
        </w:rPr>
        <w:t xml:space="preserve"> Medikamenten von allen Faktoren den drittgrößten Einfluss auf die Verringerung der Lebensqualität haben (Gomez-Esteban et al., 2007). Auch die Anzahl der Jahre, in denen </w:t>
      </w:r>
      <w:proofErr w:type="spellStart"/>
      <w:r w:rsidR="00465D1F" w:rsidRPr="000C03D8">
        <w:rPr>
          <w:rFonts w:ascii="Times New Roman" w:hAnsi="Times New Roman" w:cs="Times New Roman"/>
          <w:sz w:val="24"/>
          <w:szCs w:val="24"/>
        </w:rPr>
        <w:t>Levodopa</w:t>
      </w:r>
      <w:proofErr w:type="spellEnd"/>
      <w:r w:rsidR="00465D1F" w:rsidRPr="000C03D8">
        <w:rPr>
          <w:rFonts w:ascii="Times New Roman" w:hAnsi="Times New Roman" w:cs="Times New Roman"/>
          <w:sz w:val="24"/>
          <w:szCs w:val="24"/>
        </w:rPr>
        <w:t xml:space="preserve">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9" w:name="_Toc104032872"/>
      <w:r w:rsidRPr="000C03D8">
        <w:rPr>
          <w:rFonts w:ascii="Times New Roman" w:hAnsi="Times New Roman" w:cs="Times New Roman"/>
          <w:b/>
          <w:i/>
          <w:color w:val="auto"/>
        </w:rPr>
        <w:t>1.3.2 Tiefe Hirnstimulation</w:t>
      </w:r>
      <w:bookmarkEnd w:id="9"/>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e eine Läsion</w:t>
      </w:r>
      <w:r w:rsidR="00F14BE5">
        <w:rPr>
          <w:rFonts w:ascii="Times New Roman" w:hAnsi="Times New Roman" w:cs="Times New Roman"/>
          <w:sz w:val="24"/>
          <w:szCs w:val="24"/>
        </w:rPr>
        <w:t xml:space="preserve"> </w:t>
      </w:r>
      <w:r w:rsidR="00FC4F00">
        <w:rPr>
          <w:rFonts w:ascii="Times New Roman" w:hAnsi="Times New Roman" w:cs="Times New Roman"/>
          <w:sz w:val="24"/>
          <w:szCs w:val="24"/>
        </w:rPr>
        <w:fldChar w:fldCharType="begin"/>
      </w:r>
      <w:r w:rsidR="00EF2271">
        <w:rPr>
          <w:rFonts w:ascii="Times New Roman" w:hAnsi="Times New Roman" w:cs="Times New Roman"/>
          <w:sz w:val="24"/>
          <w:szCs w:val="24"/>
        </w:rPr>
        <w:instrText xml:space="preserve"> ADDIN ZOTERO_ITEM CSL_CITATION {"citationID":"sbqSSFw5","properties":{"formattedCitation":"(Benabid A. et al., 1987)","plainCitation":"(Benabid A. et al., 1987)","dontUpdate":true,"noteIndex":0},"citationItems":[{"id":157,"uris":["http://zotero.org/users/local/AhaM3qLx/items/MSFW2ASS"],"itemData":{"id":157,"type":"article-journal","container-title":"Stereotactic and Functional Neurosurgery","DOI":"https://doi.org/10.1159/000100803","issue":"1-6","page":"344-346","title":"Combined (thalamotomy and stimulation) stereotactic surgery of the VIM thalamic nucleus for bilateral Parkinson disease","volume":"50","author":[{"literal":"Benabid A."},{"literal":"Pollak P."},{"literal":"Louveau A."},{"literal":"Henry S."},{"literal":"de Rougmont J."}],"issued":{"date-parts":[["1987"]]}}}],"schema":"https://github.com/citation-style-language/schema/raw/master/csl-citation.json"} </w:instrText>
      </w:r>
      <w:r w:rsidR="00FC4F00">
        <w:rPr>
          <w:rFonts w:ascii="Times New Roman" w:hAnsi="Times New Roman" w:cs="Times New Roman"/>
          <w:sz w:val="24"/>
          <w:szCs w:val="24"/>
        </w:rPr>
        <w:fldChar w:fldCharType="separate"/>
      </w:r>
      <w:r w:rsidR="00FC4F00">
        <w:rPr>
          <w:rFonts w:ascii="Times New Roman" w:hAnsi="Times New Roman" w:cs="Times New Roman"/>
          <w:sz w:val="24"/>
        </w:rPr>
        <w:t>(Benabid</w:t>
      </w:r>
      <w:r w:rsidR="00FC4F00" w:rsidRPr="00FC4F00">
        <w:rPr>
          <w:rFonts w:ascii="Times New Roman" w:hAnsi="Times New Roman" w:cs="Times New Roman"/>
          <w:sz w:val="24"/>
        </w:rPr>
        <w:t xml:space="preserve"> et al., 1987)</w:t>
      </w:r>
      <w:r w:rsidR="00FC4F00">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t>
      </w:r>
      <w:r w:rsidR="008E4322">
        <w:rPr>
          <w:rFonts w:ascii="Times New Roman" w:hAnsi="Times New Roman" w:cs="Times New Roman"/>
          <w:sz w:val="24"/>
          <w:szCs w:val="24"/>
        </w:rPr>
        <w:t xml:space="preserve">weisen, dass die </w:t>
      </w:r>
      <w:proofErr w:type="spellStart"/>
      <w:r w:rsidR="008E4322">
        <w:rPr>
          <w:rFonts w:ascii="Times New Roman" w:hAnsi="Times New Roman" w:cs="Times New Roman"/>
          <w:sz w:val="24"/>
          <w:szCs w:val="24"/>
        </w:rPr>
        <w:t>bilatertale</w:t>
      </w:r>
      <w:proofErr w:type="spellEnd"/>
      <w:r w:rsidR="008E4322">
        <w:rPr>
          <w:rFonts w:ascii="Times New Roman" w:hAnsi="Times New Roman" w:cs="Times New Roman"/>
          <w:sz w:val="24"/>
          <w:szCs w:val="24"/>
        </w:rPr>
        <w:t xml:space="preserve"> THS</w:t>
      </w:r>
      <w:r w:rsidR="004C3764" w:rsidRPr="000C03D8">
        <w:rPr>
          <w:rFonts w:ascii="Times New Roman" w:hAnsi="Times New Roman" w:cs="Times New Roman"/>
          <w:sz w:val="24"/>
          <w:szCs w:val="24"/>
        </w:rPr>
        <w:t xml:space="preserve"> der STK wirksam ist für die Behandlung von </w:t>
      </w:r>
      <w:proofErr w:type="spellStart"/>
      <w:r w:rsidR="004C3764" w:rsidRPr="000C03D8">
        <w:rPr>
          <w:rFonts w:ascii="Times New Roman" w:hAnsi="Times New Roman" w:cs="Times New Roman"/>
          <w:sz w:val="24"/>
          <w:szCs w:val="24"/>
        </w:rPr>
        <w:t>Dyskinesien</w:t>
      </w:r>
      <w:proofErr w:type="spellEnd"/>
      <w:r w:rsidR="004C3764" w:rsidRPr="000C03D8">
        <w:rPr>
          <w:rFonts w:ascii="Times New Roman" w:hAnsi="Times New Roman" w:cs="Times New Roman"/>
          <w:sz w:val="24"/>
          <w:szCs w:val="24"/>
        </w:rPr>
        <w:t xml:space="preserve">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 xml:space="preserve">Da die Verringerung der Symptomatik bei der Behandlung mit THS und der Behandlung mit </w:t>
      </w:r>
      <w:proofErr w:type="spellStart"/>
      <w:r w:rsidR="00FC5862" w:rsidRPr="000C03D8">
        <w:rPr>
          <w:rFonts w:ascii="Times New Roman" w:hAnsi="Times New Roman" w:cs="Times New Roman"/>
          <w:sz w:val="24"/>
          <w:szCs w:val="24"/>
        </w:rPr>
        <w:t>Levodopa</w:t>
      </w:r>
      <w:proofErr w:type="spellEnd"/>
      <w:r w:rsidR="00FC5862" w:rsidRPr="000C03D8">
        <w:rPr>
          <w:rFonts w:ascii="Times New Roman" w:hAnsi="Times New Roman" w:cs="Times New Roman"/>
          <w:sz w:val="24"/>
          <w:szCs w:val="24"/>
        </w:rPr>
        <w:t xml:space="preserve">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w:t>
      </w:r>
      <w:proofErr w:type="spellStart"/>
      <w:r w:rsidR="00FC5862" w:rsidRPr="000C03D8">
        <w:rPr>
          <w:rFonts w:ascii="Times New Roman" w:hAnsi="Times New Roman" w:cs="Times New Roman"/>
          <w:sz w:val="24"/>
          <w:szCs w:val="24"/>
        </w:rPr>
        <w:t>dopaminerger</w:t>
      </w:r>
      <w:proofErr w:type="spellEnd"/>
      <w:r w:rsidR="00FC5862" w:rsidRPr="000C03D8">
        <w:rPr>
          <w:rFonts w:ascii="Times New Roman" w:hAnsi="Times New Roman" w:cs="Times New Roman"/>
          <w:sz w:val="24"/>
          <w:szCs w:val="24"/>
        </w:rPr>
        <w:t xml:space="preserve">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 xml:space="preserve">Patient*innen mit Morbus Parkinson sehr gut auf </w:t>
      </w:r>
      <w:proofErr w:type="spellStart"/>
      <w:r w:rsidR="00B94287" w:rsidRPr="000C03D8">
        <w:rPr>
          <w:rFonts w:ascii="Times New Roman" w:hAnsi="Times New Roman" w:cs="Times New Roman"/>
          <w:sz w:val="24"/>
          <w:szCs w:val="24"/>
        </w:rPr>
        <w:t>Levodopa</w:t>
      </w:r>
      <w:proofErr w:type="spellEnd"/>
      <w:r w:rsidR="00B94287" w:rsidRPr="000C03D8">
        <w:rPr>
          <w:rFonts w:ascii="Times New Roman" w:hAnsi="Times New Roman" w:cs="Times New Roman"/>
          <w:sz w:val="24"/>
          <w:szCs w:val="24"/>
        </w:rPr>
        <w:t xml:space="preserve">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w:t>
      </w:r>
      <w:proofErr w:type="spellStart"/>
      <w:r w:rsidR="00E85563" w:rsidRPr="000C03D8">
        <w:rPr>
          <w:rFonts w:ascii="Times New Roman" w:hAnsi="Times New Roman" w:cs="Times New Roman"/>
          <w:sz w:val="24"/>
          <w:szCs w:val="24"/>
        </w:rPr>
        <w:t>oszillatorische</w:t>
      </w:r>
      <w:proofErr w:type="spellEnd"/>
      <w:r w:rsidR="00E85563" w:rsidRPr="000C03D8">
        <w:rPr>
          <w:rFonts w:ascii="Times New Roman" w:hAnsi="Times New Roman" w:cs="Times New Roman"/>
          <w:sz w:val="24"/>
          <w:szCs w:val="24"/>
        </w:rPr>
        <w:t xml:space="preserv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10" w:name="_Toc104032873"/>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10"/>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w:t>
      </w:r>
      <w:proofErr w:type="spellStart"/>
      <w:r w:rsidRPr="000C03D8">
        <w:rPr>
          <w:rFonts w:ascii="Times New Roman" w:hAnsi="Times New Roman" w:cs="Times New Roman"/>
          <w:sz w:val="24"/>
          <w:szCs w:val="24"/>
        </w:rPr>
        <w:t>oszillatorische</w:t>
      </w:r>
      <w:proofErr w:type="spellEnd"/>
      <w:r w:rsidRPr="000C03D8">
        <w:rPr>
          <w:rFonts w:ascii="Times New Roman" w:hAnsi="Times New Roman" w:cs="Times New Roman"/>
          <w:sz w:val="24"/>
          <w:szCs w:val="24"/>
        </w:rPr>
        <w:t xml:space="preserv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w:t>
      </w:r>
      <w:r w:rsidR="009F71B9">
        <w:rPr>
          <w:rFonts w:ascii="Times New Roman" w:hAnsi="Times New Roman" w:cs="Times New Roman"/>
          <w:sz w:val="24"/>
          <w:szCs w:val="24"/>
        </w:rPr>
        <w:t xml:space="preserve">dabei </w:t>
      </w:r>
      <w:r w:rsidR="00255E11" w:rsidRPr="000C03D8">
        <w:rPr>
          <w:rFonts w:ascii="Times New Roman" w:hAnsi="Times New Roman" w:cs="Times New Roman"/>
          <w:sz w:val="24"/>
          <w:szCs w:val="24"/>
        </w:rPr>
        <w:t>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 xml:space="preserve">er </w:t>
      </w:r>
      <w:proofErr w:type="spellStart"/>
      <w:r w:rsidR="00C33B2D" w:rsidRPr="000C03D8">
        <w:rPr>
          <w:rFonts w:ascii="Times New Roman" w:hAnsi="Times New Roman" w:cs="Times New Roman"/>
          <w:sz w:val="24"/>
          <w:szCs w:val="24"/>
        </w:rPr>
        <w:t>root-mean-square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ist bekannt, dass sich der sensomotorische Bereich des STK im </w:t>
      </w:r>
      <w:proofErr w:type="spellStart"/>
      <w:r w:rsidRPr="000C03D8">
        <w:rPr>
          <w:rFonts w:ascii="Times New Roman" w:hAnsi="Times New Roman" w:cs="Times New Roman"/>
          <w:sz w:val="24"/>
          <w:szCs w:val="24"/>
        </w:rPr>
        <w:t>dorsolateralen</w:t>
      </w:r>
      <w:proofErr w:type="spellEnd"/>
      <w:r w:rsidRPr="000C03D8">
        <w:rPr>
          <w:rFonts w:ascii="Times New Roman" w:hAnsi="Times New Roman" w:cs="Times New Roman"/>
          <w:sz w:val="24"/>
          <w:szCs w:val="24"/>
        </w:rPr>
        <w:t xml:space="preserve">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w:t>
      </w:r>
      <w:proofErr w:type="spellStart"/>
      <w:r w:rsidR="00F26471" w:rsidRPr="000C03D8">
        <w:rPr>
          <w:rFonts w:ascii="Times New Roman" w:hAnsi="Times New Roman" w:cs="Times New Roman"/>
          <w:sz w:val="24"/>
          <w:szCs w:val="24"/>
        </w:rPr>
        <w:t>Dembek</w:t>
      </w:r>
      <w:proofErr w:type="spellEnd"/>
      <w:r w:rsidR="00F26471" w:rsidRPr="000C03D8">
        <w:rPr>
          <w:rFonts w:ascii="Times New Roman" w:hAnsi="Times New Roman" w:cs="Times New Roman"/>
          <w:sz w:val="24"/>
          <w:szCs w:val="24"/>
        </w:rPr>
        <w:t xml:space="preserve">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1" w:name="_Toc104032874"/>
      <w:r w:rsidRPr="000C03D8">
        <w:rPr>
          <w:rFonts w:ascii="Times New Roman" w:hAnsi="Times New Roman" w:cs="Times New Roman"/>
          <w:b/>
          <w:color w:val="auto"/>
          <w:sz w:val="28"/>
          <w:szCs w:val="28"/>
        </w:rPr>
        <w:t>1.4 Versuchsidee</w:t>
      </w:r>
      <w:bookmarkEnd w:id="11"/>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xml:space="preserve">. Es ist unklar, durch welche unterschiedlichen </w:t>
      </w:r>
      <w:r w:rsidR="005F0D0D" w:rsidRPr="000C03D8">
        <w:rPr>
          <w:rFonts w:ascii="Times New Roman" w:hAnsi="Times New Roman" w:cs="Times New Roman"/>
          <w:sz w:val="24"/>
          <w:szCs w:val="24"/>
        </w:rPr>
        <w:lastRenderedPageBreak/>
        <w:t>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005D3C64">
        <w:rPr>
          <w:rFonts w:ascii="Times New Roman" w:hAnsi="Times New Roman" w:cs="Times New Roman"/>
          <w:sz w:val="24"/>
          <w:szCs w:val="24"/>
        </w:rPr>
        <w:t xml:space="preserve"> in direktionaler THS ist</w:t>
      </w:r>
      <w:r w:rsidR="00F07B62" w:rsidRPr="000C03D8">
        <w:rPr>
          <w:rFonts w:ascii="Times New Roman" w:hAnsi="Times New Roman" w:cs="Times New Roman"/>
          <w:sz w:val="24"/>
          <w:szCs w:val="24"/>
        </w:rPr>
        <w:t xml:space="preserve"> noch nicht gut erfor</w:t>
      </w:r>
      <w:r w:rsidR="00160B62">
        <w:rPr>
          <w:rFonts w:ascii="Times New Roman" w:hAnsi="Times New Roman" w:cs="Times New Roman"/>
          <w:sz w:val="24"/>
          <w:szCs w:val="24"/>
        </w:rPr>
        <w:t>scht. D</w:t>
      </w:r>
      <w:r w:rsidR="00F209E7" w:rsidRPr="000C03D8">
        <w:rPr>
          <w:rFonts w:ascii="Times New Roman" w:hAnsi="Times New Roman" w:cs="Times New Roman"/>
          <w:sz w:val="24"/>
          <w:szCs w:val="24"/>
        </w:rPr>
        <w:t>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w:t>
      </w:r>
      <w:proofErr w:type="spellStart"/>
      <w:r w:rsidR="00C648A4" w:rsidRPr="000C03D8">
        <w:rPr>
          <w:rFonts w:ascii="Times New Roman" w:hAnsi="Times New Roman" w:cs="Times New Roman"/>
          <w:sz w:val="24"/>
          <w:szCs w:val="24"/>
        </w:rPr>
        <w:t>dorsolateralen</w:t>
      </w:r>
      <w:proofErr w:type="spellEnd"/>
      <w:r w:rsidR="00C648A4" w:rsidRPr="000C03D8">
        <w:rPr>
          <w:rFonts w:ascii="Times New Roman" w:hAnsi="Times New Roman" w:cs="Times New Roman"/>
          <w:sz w:val="24"/>
          <w:szCs w:val="24"/>
        </w:rPr>
        <w:t xml:space="preserve"> Bereichs des STK </w:t>
      </w:r>
      <w:r w:rsidR="00A65013">
        <w:rPr>
          <w:rFonts w:ascii="Times New Roman" w:hAnsi="Times New Roman" w:cs="Times New Roman"/>
          <w:sz w:val="24"/>
          <w:szCs w:val="24"/>
        </w:rPr>
        <w:t>ist das einzige, was bereits</w:t>
      </w:r>
      <w:r w:rsidR="004F0C78" w:rsidRPr="000C03D8">
        <w:rPr>
          <w:rFonts w:ascii="Times New Roman" w:hAnsi="Times New Roman" w:cs="Times New Roman"/>
          <w:sz w:val="24"/>
          <w:szCs w:val="24"/>
        </w:rPr>
        <w:t xml:space="preserve"> </w:t>
      </w:r>
      <w:r w:rsidR="00160B62">
        <w:rPr>
          <w:rFonts w:ascii="Times New Roman" w:hAnsi="Times New Roman" w:cs="Times New Roman"/>
          <w:sz w:val="24"/>
          <w:szCs w:val="24"/>
        </w:rPr>
        <w:t xml:space="preserve">gut </w:t>
      </w:r>
      <w:r w:rsidR="004F0C78" w:rsidRPr="000C03D8">
        <w:rPr>
          <w:rFonts w:ascii="Times New Roman" w:hAnsi="Times New Roman" w:cs="Times New Roman"/>
          <w:sz w:val="24"/>
          <w:szCs w:val="24"/>
        </w:rPr>
        <w:t>na</w:t>
      </w:r>
      <w:r w:rsidR="00160B62">
        <w:rPr>
          <w:rFonts w:ascii="Times New Roman" w:hAnsi="Times New Roman" w:cs="Times New Roman"/>
          <w:sz w:val="24"/>
          <w:szCs w:val="24"/>
        </w:rPr>
        <w:t>chgewiesen</w:t>
      </w:r>
      <w:r w:rsidR="00A65013">
        <w:rPr>
          <w:rFonts w:ascii="Times New Roman" w:hAnsi="Times New Roman" w:cs="Times New Roman"/>
          <w:sz w:val="24"/>
          <w:szCs w:val="24"/>
        </w:rPr>
        <w:t xml:space="preserve"> werden konnte</w:t>
      </w:r>
      <w:r w:rsidR="00160B62">
        <w:rPr>
          <w:rFonts w:ascii="Times New Roman" w:hAnsi="Times New Roman" w:cs="Times New Roman"/>
          <w:sz w:val="24"/>
          <w:szCs w:val="24"/>
        </w:rPr>
        <w:t>.</w:t>
      </w:r>
      <w:r w:rsidR="00C648A4" w:rsidRPr="000C03D8">
        <w:rPr>
          <w:rFonts w:ascii="Times New Roman" w:hAnsi="Times New Roman" w:cs="Times New Roman"/>
          <w:sz w:val="24"/>
          <w:szCs w:val="24"/>
        </w:rPr>
        <w:t xml:space="preserve"> </w:t>
      </w:r>
      <w:r w:rsidR="00160B62">
        <w:rPr>
          <w:rFonts w:ascii="Times New Roman" w:hAnsi="Times New Roman" w:cs="Times New Roman"/>
          <w:sz w:val="24"/>
          <w:szCs w:val="24"/>
        </w:rPr>
        <w:t xml:space="preserve">Es </w:t>
      </w:r>
      <w:r w:rsidR="001E53ED">
        <w:rPr>
          <w:rFonts w:ascii="Times New Roman" w:hAnsi="Times New Roman" w:cs="Times New Roman"/>
          <w:sz w:val="24"/>
          <w:szCs w:val="24"/>
        </w:rPr>
        <w:t xml:space="preserve">konnte </w:t>
      </w:r>
      <w:r w:rsidR="00C648A4" w:rsidRPr="000C03D8">
        <w:rPr>
          <w:rFonts w:ascii="Times New Roman" w:hAnsi="Times New Roman" w:cs="Times New Roman"/>
          <w:sz w:val="24"/>
          <w:szCs w:val="24"/>
        </w:rPr>
        <w:t>ü</w:t>
      </w:r>
      <w:r w:rsidR="001E53ED">
        <w:rPr>
          <w:rFonts w:ascii="Times New Roman" w:hAnsi="Times New Roman" w:cs="Times New Roman"/>
          <w:sz w:val="24"/>
          <w:szCs w:val="24"/>
        </w:rPr>
        <w:t>bergreifend gezeigt werden</w:t>
      </w:r>
      <w:r w:rsidR="00C648A4" w:rsidRPr="000C03D8">
        <w:rPr>
          <w:rFonts w:ascii="Times New Roman" w:hAnsi="Times New Roman" w:cs="Times New Roman"/>
          <w:sz w:val="24"/>
          <w:szCs w:val="24"/>
        </w:rPr>
        <w:t>,</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7F8E">
        <w:rPr>
          <w:rFonts w:ascii="Times New Roman" w:hAnsi="Times New Roman" w:cs="Times New Roman"/>
          <w:sz w:val="24"/>
          <w:szCs w:val="24"/>
        </w:rPr>
        <w:t xml:space="preserve"> haben die Effekte von</w:t>
      </w:r>
      <w:r w:rsidR="00325C5E" w:rsidRPr="000C03D8">
        <w:rPr>
          <w:rFonts w:ascii="Times New Roman" w:hAnsi="Times New Roman" w:cs="Times New Roman"/>
          <w:sz w:val="24"/>
          <w:szCs w:val="24"/>
        </w:rPr>
        <w:t xml:space="preserv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bei Patient*innen mit es</w:t>
      </w:r>
      <w:r w:rsidR="00327F8E">
        <w:rPr>
          <w:rFonts w:ascii="Times New Roman" w:hAnsi="Times New Roman" w:cs="Times New Roman"/>
          <w:sz w:val="24"/>
          <w:szCs w:val="24"/>
        </w:rPr>
        <w:t>sentiellem Tremor untersucht</w:t>
      </w:r>
      <w:r w:rsidR="00325C5E" w:rsidRPr="000C03D8">
        <w:rPr>
          <w:rFonts w:ascii="Times New Roman" w:hAnsi="Times New Roman" w:cs="Times New Roman"/>
          <w:sz w:val="24"/>
          <w:szCs w:val="24"/>
        </w:rPr>
        <w:t>. Dafür konnte eine kortikale Elektrode</w:t>
      </w:r>
      <w:r w:rsidR="00327F8E">
        <w:rPr>
          <w:rFonts w:ascii="Times New Roman" w:hAnsi="Times New Roman" w:cs="Times New Roman"/>
          <w:sz w:val="24"/>
          <w:szCs w:val="24"/>
        </w:rPr>
        <w:t xml:space="preserve"> im </w:t>
      </w:r>
      <w:proofErr w:type="spellStart"/>
      <w:r w:rsidR="00327F8E">
        <w:rPr>
          <w:rFonts w:ascii="Times New Roman" w:hAnsi="Times New Roman" w:cs="Times New Roman"/>
          <w:sz w:val="24"/>
          <w:szCs w:val="24"/>
        </w:rPr>
        <w:t>pre</w:t>
      </w:r>
      <w:proofErr w:type="spellEnd"/>
      <w:r w:rsidR="00327F8E">
        <w:rPr>
          <w:rFonts w:ascii="Times New Roman" w:hAnsi="Times New Roman" w:cs="Times New Roman"/>
          <w:sz w:val="24"/>
          <w:szCs w:val="24"/>
        </w:rPr>
        <w:t xml:space="preserve">- und post-zentralen </w:t>
      </w:r>
      <w:proofErr w:type="spellStart"/>
      <w:r w:rsidR="00327F8E">
        <w:rPr>
          <w:rFonts w:ascii="Times New Roman" w:hAnsi="Times New Roman" w:cs="Times New Roman"/>
          <w:sz w:val="24"/>
          <w:szCs w:val="24"/>
        </w:rPr>
        <w:t>Gyrus</w:t>
      </w:r>
      <w:proofErr w:type="spellEnd"/>
      <w:r w:rsidR="00325C5E" w:rsidRPr="000C03D8">
        <w:rPr>
          <w:rFonts w:ascii="Times New Roman" w:hAnsi="Times New Roman" w:cs="Times New Roman"/>
          <w:sz w:val="24"/>
          <w:szCs w:val="24"/>
        </w:rPr>
        <w:t xml:space="preserv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w:t>
      </w:r>
      <w:r w:rsidR="006F1E21" w:rsidRPr="000C03D8">
        <w:rPr>
          <w:rFonts w:ascii="Times New Roman" w:hAnsi="Times New Roman" w:cs="Times New Roman"/>
          <w:sz w:val="24"/>
          <w:szCs w:val="24"/>
        </w:rPr>
        <w:lastRenderedPageBreak/>
        <w:t>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gemacht, dass die Stimulation bei der THS nur stattfindet, wenn sie notwendig ist, und auf eine </w:t>
      </w:r>
      <w:r w:rsidR="00B6648C">
        <w:rPr>
          <w:rFonts w:ascii="Times New Roman" w:hAnsi="Times New Roman" w:cs="Times New Roman"/>
          <w:sz w:val="24"/>
          <w:szCs w:val="24"/>
        </w:rPr>
        <w:t>Art und Weise, bei der Sti</w:t>
      </w:r>
      <w:r w:rsidR="006E72EA">
        <w:rPr>
          <w:rFonts w:ascii="Times New Roman" w:hAnsi="Times New Roman" w:cs="Times New Roman"/>
          <w:sz w:val="24"/>
          <w:szCs w:val="24"/>
        </w:rPr>
        <w:t>mulationse</w:t>
      </w:r>
      <w:r w:rsidR="005B2AEA" w:rsidRPr="000C03D8">
        <w:rPr>
          <w:rFonts w:ascii="Times New Roman" w:hAnsi="Times New Roman" w:cs="Times New Roman"/>
          <w:sz w:val="24"/>
          <w:szCs w:val="24"/>
        </w:rPr>
        <w:t>nergie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327F8E">
        <w:rPr>
          <w:rFonts w:ascii="Times New Roman" w:hAnsi="Times New Roman" w:cs="Times New Roman"/>
          <w:sz w:val="24"/>
          <w:szCs w:val="24"/>
        </w:rPr>
        <w:t xml:space="preserve">, die vor der </w:t>
      </w:r>
      <w:r w:rsidR="00A65013">
        <w:rPr>
          <w:rFonts w:ascii="Times New Roman" w:hAnsi="Times New Roman" w:cs="Times New Roman"/>
          <w:sz w:val="24"/>
          <w:szCs w:val="24"/>
        </w:rPr>
        <w:t>OP mittels MRT abgeleitet wurde</w:t>
      </w:r>
      <w:r w:rsidR="00327F8E">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 xml:space="preserve">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w:t>
      </w:r>
      <w:r w:rsidR="00526C7F">
        <w:rPr>
          <w:rFonts w:ascii="Times New Roman" w:hAnsi="Times New Roman" w:cs="Times New Roman"/>
          <w:sz w:val="24"/>
          <w:szCs w:val="24"/>
        </w:rPr>
        <w:t xml:space="preserve">ch des STK zu finden ist </w:t>
      </w:r>
      <w:r w:rsidR="00526C7F">
        <w:rPr>
          <w:rFonts w:ascii="Times New Roman" w:hAnsi="Times New Roman" w:cs="Times New Roman"/>
          <w:sz w:val="24"/>
          <w:szCs w:val="24"/>
        </w:rPr>
        <w:fldChar w:fldCharType="begin"/>
      </w:r>
      <w:r w:rsidR="00526C7F">
        <w:rPr>
          <w:rFonts w:ascii="Times New Roman" w:hAnsi="Times New Roman" w:cs="Times New Roman"/>
          <w:sz w:val="24"/>
          <w:szCs w:val="24"/>
        </w:rPr>
        <w:instrText xml:space="preserve"> ADDIN ZOTERO_ITEM CSL_CITATION {"citationID":"XngLpngt","properties":{"formattedCitation":"(Horn et al., 2017)","plainCitation":"(Horn et al., 2017)","noteIndex":0},"citationItems":[{"id":161,"uris":["http://zotero.org/users/local/AhaM3qLx/items/YY567F2M"],"itemData":{"id":161,"type":"article-journal","abstract":"Enhanced beta-band activity recorded in patients suffering from Parkinson‘s Disease (PD) has been described as a potential physiomarker for disease severity. Beta power is suppressed by Levodopa intake and STN deep brain stimulation (DBS) and correlates with disease severity across patients. The aim of the present study was to explore the promising signature of the physiomarker in the spatial domain. Based on local ﬁeld potential data acquired from 54 patients undergoing STN-DBS, power values within alpha, beta, low beta, and high beta bands were calculated. Values were projected into common stereotactic space after DBS lead localization. Recorded beta power values were signiﬁcantly higher at posterior and dorsal lead positions, as well as in active compared with inactive pairs. The peak of activity in the beta band was situated within the sensorimotor functional zone of the nucleus. In contrast, higher alpha activity was found in a more ventromedial region, potentially corresponding to associative or premotor functional zones of the STN. Beta- and alpha-power peaks were then used as seeds in a ﬁber tracking experiment. Here, the beta-site received more input from primary motor cortex whereas the alphasite was more strongly connected to premotor and prefrontal areas. The results summarize predominant spatial locations of frequency signatures recorded in STN-DBS patients in a probabilistic fashion. The site of predominant beta-activity may serve as an electrophysiologically determined target for optimal outcome in STN-DBS for PD in the future. Hum Brain Mapp 00:000–000, 2017. VC 2017 Wiley Periodicals, Inc.","container-title":"Human Brain Mapping","DOI":"10.1002/hbm.23594","ISSN":"10659471","journalAbbreviation":"Hum. Brain Mapp.","language":"en","source":"DOI.org (Crossref)","title":"Toward an electrophysiological “sweet spot” for deep brain stimulation in the subthalamic nucleus: Subcortical Mapping of Beta Band Activity in Parkinson's Disease","title-short":"Toward an electrophysiological “sweet spot” for deep brain stimulation in the subthalamic nucleus","URL":"https://onlinelibrary.wiley.com/doi/10.1002/hbm.23594","author":[{"family":"Horn","given":"Andreas"},{"family":"Neumann","given":"Wolf-Julian"},{"family":"Degen","given":"Katharina"},{"family":"Schneider","given":"Gerd-Helge"},{"family":"Kühn","given":"Andrea A."}],"accessed":{"date-parts":[["2022",5,21]]},"issued":{"date-parts":[["2017",4]]}}}],"schema":"https://github.com/citation-style-language/schema/raw/master/csl-citation.json"} </w:instrText>
      </w:r>
      <w:r w:rsidR="00526C7F">
        <w:rPr>
          <w:rFonts w:ascii="Times New Roman" w:hAnsi="Times New Roman" w:cs="Times New Roman"/>
          <w:sz w:val="24"/>
          <w:szCs w:val="24"/>
        </w:rPr>
        <w:fldChar w:fldCharType="separate"/>
      </w:r>
      <w:r w:rsidR="00526C7F" w:rsidRPr="00526C7F">
        <w:rPr>
          <w:rFonts w:ascii="Times New Roman" w:hAnsi="Times New Roman" w:cs="Times New Roman"/>
          <w:sz w:val="24"/>
        </w:rPr>
        <w:t>(Horn et al., 2017)</w:t>
      </w:r>
      <w:r w:rsidR="00526C7F">
        <w:rPr>
          <w:rFonts w:ascii="Times New Roman" w:hAnsi="Times New Roman" w:cs="Times New Roman"/>
          <w:sz w:val="24"/>
          <w:szCs w:val="24"/>
        </w:rPr>
        <w:fldChar w:fldCharType="end"/>
      </w:r>
      <w:r w:rsidR="0053542A" w:rsidRPr="000C03D8">
        <w:rPr>
          <w:rFonts w:ascii="Times New Roman" w:hAnsi="Times New Roman" w:cs="Times New Roman"/>
          <w:sz w:val="24"/>
          <w:szCs w:val="24"/>
        </w:rPr>
        <w:t>.</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w:t>
      </w:r>
      <w:r w:rsidR="005D7165">
        <w:rPr>
          <w:rFonts w:ascii="Times New Roman" w:hAnsi="Times New Roman" w:cs="Times New Roman"/>
          <w:sz w:val="24"/>
          <w:szCs w:val="24"/>
        </w:rPr>
        <w:t xml:space="preserve">r in der Zielposition an, die für die Implantierung </w:t>
      </w:r>
      <w:r w:rsidR="005D7165">
        <w:rPr>
          <w:rFonts w:ascii="Times New Roman" w:hAnsi="Times New Roman" w:cs="Times New Roman"/>
          <w:sz w:val="24"/>
          <w:szCs w:val="24"/>
        </w:rPr>
        <w:lastRenderedPageBreak/>
        <w:t>der Elektrode im Voraus berechnet wurde</w:t>
      </w:r>
      <w:r w:rsidR="0020690E" w:rsidRPr="000C03D8">
        <w:rPr>
          <w:rFonts w:ascii="Times New Roman" w:hAnsi="Times New Roman" w:cs="Times New Roman"/>
          <w:sz w:val="24"/>
          <w:szCs w:val="24"/>
        </w:rPr>
        <w:t>.</w:t>
      </w:r>
      <w:r w:rsidR="009563DC" w:rsidRPr="000C03D8">
        <w:rPr>
          <w:rFonts w:ascii="Times New Roman" w:hAnsi="Times New Roman" w:cs="Times New Roman"/>
          <w:sz w:val="24"/>
          <w:szCs w:val="24"/>
        </w:rPr>
        <w:t xml:space="preserve"> 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w:t>
      </w:r>
      <w:proofErr w:type="spellStart"/>
      <w:r w:rsidR="00193E0E" w:rsidRPr="000C03D8">
        <w:rPr>
          <w:rFonts w:ascii="Times New Roman" w:hAnsi="Times New Roman" w:cs="Times New Roman"/>
          <w:sz w:val="24"/>
          <w:szCs w:val="24"/>
        </w:rPr>
        <w:t>behavioralen</w:t>
      </w:r>
      <w:proofErr w:type="spellEnd"/>
      <w:r w:rsidR="00193E0E" w:rsidRPr="000C03D8">
        <w:rPr>
          <w:rFonts w:ascii="Times New Roman" w:hAnsi="Times New Roman" w:cs="Times New Roman"/>
          <w:sz w:val="24"/>
          <w:szCs w:val="24"/>
        </w:rPr>
        <w:t xml:space="preserve">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lastRenderedPageBreak/>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w:t>
      </w:r>
      <w:proofErr w:type="spellStart"/>
      <w:r w:rsidRPr="000C03D8">
        <w:rPr>
          <w:rFonts w:ascii="Times New Roman" w:hAnsi="Times New Roman" w:cs="Times New Roman"/>
          <w:sz w:val="24"/>
          <w:szCs w:val="24"/>
        </w:rPr>
        <w:t>Koirala</w:t>
      </w:r>
      <w:proofErr w:type="spellEnd"/>
      <w:r w:rsidRPr="000C03D8">
        <w:rPr>
          <w:rFonts w:ascii="Times New Roman" w:hAnsi="Times New Roman" w:cs="Times New Roman"/>
          <w:sz w:val="24"/>
          <w:szCs w:val="24"/>
        </w:rPr>
        <w:t xml:space="preserve">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3625C9" w:rsidRDefault="003625C9">
      <w:pPr>
        <w:rPr>
          <w:rFonts w:ascii="Times New Roman" w:eastAsiaTheme="majorEastAsia" w:hAnsi="Times New Roman" w:cs="Times New Roman"/>
          <w:b/>
          <w:sz w:val="32"/>
          <w:szCs w:val="32"/>
        </w:rPr>
      </w:pPr>
      <w:r>
        <w:rPr>
          <w:rFonts w:ascii="Times New Roman" w:hAnsi="Times New Roman" w:cs="Times New Roman"/>
          <w:b/>
        </w:rPr>
        <w:br w:type="page"/>
      </w:r>
    </w:p>
    <w:p w:rsidR="00857609" w:rsidRPr="003625C9" w:rsidRDefault="00966214" w:rsidP="003625C9">
      <w:pPr>
        <w:pStyle w:val="berschrift1"/>
        <w:spacing w:line="480" w:lineRule="auto"/>
        <w:rPr>
          <w:rFonts w:ascii="Times New Roman" w:hAnsi="Times New Roman" w:cs="Times New Roman"/>
          <w:b/>
          <w:color w:val="auto"/>
        </w:rPr>
      </w:pPr>
      <w:bookmarkStart w:id="12" w:name="_Toc104032875"/>
      <w:r w:rsidRPr="003625C9">
        <w:rPr>
          <w:rFonts w:ascii="Times New Roman" w:hAnsi="Times New Roman" w:cs="Times New Roman"/>
          <w:b/>
          <w:color w:val="auto"/>
        </w:rPr>
        <w:lastRenderedPageBreak/>
        <w:t>2. Methoden</w:t>
      </w:r>
      <w:bookmarkEnd w:id="12"/>
    </w:p>
    <w:p w:rsidR="00465D1F" w:rsidRPr="000C03D8" w:rsidRDefault="00857609" w:rsidP="003625C9">
      <w:pPr>
        <w:pStyle w:val="berschrift2"/>
        <w:spacing w:line="480" w:lineRule="auto"/>
        <w:jc w:val="both"/>
        <w:rPr>
          <w:rFonts w:ascii="Times New Roman" w:hAnsi="Times New Roman" w:cs="Times New Roman"/>
          <w:b/>
          <w:color w:val="auto"/>
          <w:sz w:val="28"/>
          <w:szCs w:val="28"/>
        </w:rPr>
      </w:pPr>
      <w:bookmarkStart w:id="13" w:name="_Toc104032876"/>
      <w:r w:rsidRPr="000C03D8">
        <w:rPr>
          <w:rFonts w:ascii="Times New Roman" w:hAnsi="Times New Roman" w:cs="Times New Roman"/>
          <w:b/>
          <w:color w:val="auto"/>
          <w:sz w:val="28"/>
          <w:szCs w:val="28"/>
        </w:rPr>
        <w:t>2.1 Stichprobe</w:t>
      </w:r>
      <w:bookmarkEnd w:id="13"/>
      <w:r w:rsidR="00966214" w:rsidRPr="000C03D8">
        <w:rPr>
          <w:rFonts w:ascii="Times New Roman" w:hAnsi="Times New Roman" w:cs="Times New Roman"/>
          <w:b/>
          <w:color w:val="auto"/>
          <w:sz w:val="28"/>
          <w:szCs w:val="28"/>
        </w:rPr>
        <w:t xml:space="preserve"> </w:t>
      </w:r>
    </w:p>
    <w:p w:rsidR="00857609" w:rsidRPr="000C03D8" w:rsidRDefault="006B7C36" w:rsidP="003625C9">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4032877"/>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4"/>
    </w:p>
    <w:p w:rsidR="00D21565" w:rsidRPr="000C03D8" w:rsidRDefault="00D94D81"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Während der OP wird bei j</w:t>
      </w:r>
      <w:r w:rsidR="00A65013">
        <w:rPr>
          <w:rFonts w:ascii="Times New Roman" w:hAnsi="Times New Roman" w:cs="Times New Roman"/>
          <w:sz w:val="24"/>
          <w:szCs w:val="24"/>
        </w:rPr>
        <w:t>eder Elektrodenposition eine 5 Sekunden lange</w:t>
      </w:r>
      <w:r>
        <w:rPr>
          <w:rFonts w:ascii="Times New Roman" w:hAnsi="Times New Roman" w:cs="Times New Roman"/>
          <w:sz w:val="24"/>
          <w:szCs w:val="24"/>
        </w:rPr>
        <w:t xml:space="preserve"> Momentaufnahme des elektrischen Signals an der jeweiligen Elektrodenposition aufgezeichnet. </w:t>
      </w:r>
      <w:r w:rsidR="006B7C36" w:rsidRPr="000C03D8">
        <w:rPr>
          <w:rFonts w:ascii="Times New Roman" w:hAnsi="Times New Roman" w:cs="Times New Roman"/>
          <w:sz w:val="24"/>
          <w:szCs w:val="24"/>
        </w:rPr>
        <w:t>Pro Patient*in sind 38 bis 153 Momentaufnahmen vorhanden, die während der Operation von Teste</w:t>
      </w:r>
      <w:r>
        <w:rPr>
          <w:rFonts w:ascii="Times New Roman" w:hAnsi="Times New Roman" w:cs="Times New Roman"/>
          <w:sz w:val="24"/>
          <w:szCs w:val="24"/>
        </w:rPr>
        <w:t xml:space="preserve">lektroden aufgezeichnet wurden. </w:t>
      </w:r>
      <w:r w:rsidR="001F6781" w:rsidRPr="000C03D8">
        <w:rPr>
          <w:rFonts w:ascii="Times New Roman" w:hAnsi="Times New Roman" w:cs="Times New Roman"/>
          <w:sz w:val="24"/>
          <w:szCs w:val="24"/>
        </w:rPr>
        <w:t xml:space="preserve">Neben den Rohdaten befinden sich in den Datensätzen noch einige weitere Versionen, bei denen das Signal auf unterschiedliche Weise 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w:t>
      </w:r>
      <w:proofErr w:type="spellStart"/>
      <w:r w:rsidR="00E635F2" w:rsidRPr="000C03D8">
        <w:rPr>
          <w:rFonts w:ascii="Times New Roman" w:hAnsi="Times New Roman" w:cs="Times New Roman"/>
          <w:sz w:val="24"/>
          <w:szCs w:val="24"/>
        </w:rPr>
        <w:t>anterior</w:t>
      </w:r>
      <w:proofErr w:type="spellEnd"/>
      <w:r w:rsidR="00E635F2" w:rsidRPr="000C03D8">
        <w:rPr>
          <w:rFonts w:ascii="Times New Roman" w:hAnsi="Times New Roman" w:cs="Times New Roman"/>
          <w:sz w:val="24"/>
          <w:szCs w:val="24"/>
        </w:rPr>
        <w:t xml:space="preserve">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990817">
        <w:rPr>
          <w:rFonts w:ascii="Times New Roman" w:hAnsi="Times New Roman" w:cs="Times New Roman"/>
          <w:sz w:val="24"/>
          <w:szCs w:val="24"/>
        </w:rPr>
        <w:t xml:space="preserve"> bestimmt und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4032878"/>
      <w:r w:rsidRPr="000C03D8">
        <w:rPr>
          <w:rFonts w:ascii="Times New Roman" w:hAnsi="Times New Roman" w:cs="Times New Roman"/>
          <w:b/>
          <w:color w:val="auto"/>
          <w:sz w:val="28"/>
          <w:szCs w:val="28"/>
        </w:rPr>
        <w:lastRenderedPageBreak/>
        <w:t>2.3</w:t>
      </w:r>
      <w:r w:rsidR="0023392E" w:rsidRPr="000C03D8">
        <w:rPr>
          <w:rFonts w:ascii="Times New Roman" w:hAnsi="Times New Roman" w:cs="Times New Roman"/>
          <w:b/>
          <w:color w:val="auto"/>
          <w:sz w:val="28"/>
          <w:szCs w:val="28"/>
        </w:rPr>
        <w:t xml:space="preserve"> Durchführung</w:t>
      </w:r>
      <w:bookmarkEnd w:id="15"/>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w:t>
      </w:r>
      <w:r w:rsidR="00B70F69">
        <w:rPr>
          <w:rFonts w:ascii="Times New Roman" w:hAnsi="Times New Roman" w:cs="Times New Roman"/>
          <w:sz w:val="24"/>
          <w:szCs w:val="24"/>
        </w:rPr>
        <w:t xml:space="preserve">oft </w:t>
      </w:r>
      <w:r w:rsidR="00FA0E4A" w:rsidRPr="000C03D8">
        <w:rPr>
          <w:rFonts w:ascii="Times New Roman" w:hAnsi="Times New Roman" w:cs="Times New Roman"/>
          <w:sz w:val="24"/>
          <w:szCs w:val="24"/>
        </w:rPr>
        <w:t>durch die umliegenden Strukturen geschätzt werden</w:t>
      </w:r>
      <w:r w:rsidR="00787280">
        <w:rPr>
          <w:rFonts w:ascii="Times New Roman" w:hAnsi="Times New Roman" w:cs="Times New Roman"/>
          <w:sz w:val="24"/>
          <w:szCs w:val="24"/>
        </w:rPr>
        <w:t xml:space="preserve"> </w:t>
      </w:r>
      <w:r w:rsidR="00B70F69">
        <w:rPr>
          <w:rFonts w:ascii="Times New Roman" w:hAnsi="Times New Roman" w:cs="Times New Roman"/>
          <w:sz w:val="24"/>
          <w:szCs w:val="24"/>
        </w:rPr>
        <w:fldChar w:fldCharType="begin"/>
      </w:r>
      <w:r w:rsidR="00B70F69">
        <w:rPr>
          <w:rFonts w:ascii="Times New Roman" w:hAnsi="Times New Roman" w:cs="Times New Roman"/>
          <w:sz w:val="24"/>
          <w:szCs w:val="24"/>
        </w:rPr>
        <w:instrText xml:space="preserve"> ADDIN ZOTERO_ITEM CSL_CITATION {"citationID":"1YXyzc0s","properties":{"formattedCitation":"(Verhagen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14), 3.0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10) and 7.0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B70F69">
        <w:rPr>
          <w:rFonts w:ascii="Times New Roman" w:hAnsi="Times New Roman" w:cs="Times New Roman"/>
          <w:sz w:val="24"/>
          <w:szCs w:val="24"/>
        </w:rPr>
        <w:fldChar w:fldCharType="separate"/>
      </w:r>
      <w:r w:rsidR="00B70F69" w:rsidRPr="00B70F69">
        <w:rPr>
          <w:rFonts w:ascii="Times New Roman" w:hAnsi="Times New Roman" w:cs="Times New Roman"/>
          <w:sz w:val="24"/>
        </w:rPr>
        <w:t>(Verhagen et al., 2016)</w:t>
      </w:r>
      <w:r w:rsidR="00B70F69">
        <w:rPr>
          <w:rFonts w:ascii="Times New Roman" w:hAnsi="Times New Roman" w:cs="Times New Roman"/>
          <w:sz w:val="24"/>
          <w:szCs w:val="24"/>
        </w:rPr>
        <w:fldChar w:fldCharType="end"/>
      </w:r>
      <w:r w:rsidR="00FA0E4A"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erstmal eine Testelektrode eingeführt, um die Nebenwirkungen der THS durch das Anpassen der Position und der Stromstärke zu minimieren.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5A5DA1">
        <w:rPr>
          <w:rFonts w:ascii="Times New Roman" w:hAnsi="Times New Roman" w:cs="Times New Roman"/>
          <w:sz w:val="24"/>
          <w:szCs w:val="24"/>
        </w:rPr>
        <w:t>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w:t>
      </w:r>
      <w:r w:rsidR="00150713">
        <w:rPr>
          <w:rFonts w:ascii="Times New Roman" w:hAnsi="Times New Roman" w:cs="Times New Roman"/>
          <w:sz w:val="24"/>
          <w:szCs w:val="24"/>
        </w:rPr>
        <w:t>aher die Aufzeichnungen von eins</w:t>
      </w:r>
      <w:r w:rsidR="00396A46" w:rsidRPr="000C03D8">
        <w:rPr>
          <w:rFonts w:ascii="Times New Roman" w:hAnsi="Times New Roman" w:cs="Times New Roman"/>
          <w:sz w:val="24"/>
          <w:szCs w:val="24"/>
        </w:rPr>
        <w:t xml:space="preserve">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6" w:name="_Toc104032879"/>
      <w:r w:rsidRPr="000C03D8">
        <w:rPr>
          <w:rFonts w:ascii="Times New Roman" w:hAnsi="Times New Roman" w:cs="Times New Roman"/>
          <w:b/>
          <w:color w:val="auto"/>
          <w:sz w:val="28"/>
          <w:szCs w:val="28"/>
        </w:rPr>
        <w:lastRenderedPageBreak/>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6"/>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4032880"/>
      <w:r w:rsidRPr="000C03D8">
        <w:rPr>
          <w:rFonts w:ascii="Times New Roman" w:hAnsi="Times New Roman" w:cs="Times New Roman"/>
          <w:b/>
          <w:i/>
          <w:color w:val="auto"/>
        </w:rPr>
        <w:t>2.4</w:t>
      </w:r>
      <w:r w:rsidR="00A37811">
        <w:rPr>
          <w:rFonts w:ascii="Times New Roman" w:hAnsi="Times New Roman" w:cs="Times New Roman"/>
          <w:b/>
          <w:i/>
          <w:color w:val="auto"/>
        </w:rPr>
        <w:t>.1 Konfiguration</w:t>
      </w:r>
      <w:r w:rsidR="002128B3" w:rsidRPr="000C03D8">
        <w:rPr>
          <w:rFonts w:ascii="Times New Roman" w:hAnsi="Times New Roman" w:cs="Times New Roman"/>
          <w:b/>
          <w:i/>
          <w:color w:val="auto"/>
        </w:rPr>
        <w:t xml:space="preserve"> der Daten</w:t>
      </w:r>
      <w:r w:rsidR="00A37811">
        <w:rPr>
          <w:rFonts w:ascii="Times New Roman" w:hAnsi="Times New Roman" w:cs="Times New Roman"/>
          <w:b/>
          <w:i/>
          <w:color w:val="auto"/>
        </w:rPr>
        <w:t>sätze</w:t>
      </w:r>
      <w:bookmarkEnd w:id="17"/>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w:t>
      </w:r>
      <w:r w:rsidR="00D50B37">
        <w:rPr>
          <w:rFonts w:ascii="Times New Roman" w:hAnsi="Times New Roman" w:cs="Times New Roman"/>
          <w:sz w:val="24"/>
          <w:szCs w:val="24"/>
        </w:rPr>
        <w:t xml:space="preserve"> </w:t>
      </w:r>
      <w:r w:rsidR="00D50B37">
        <w:rPr>
          <w:rFonts w:ascii="Times New Roman" w:hAnsi="Times New Roman" w:cs="Times New Roman"/>
          <w:sz w:val="24"/>
          <w:szCs w:val="24"/>
        </w:rPr>
        <w:fldChar w:fldCharType="begin"/>
      </w:r>
      <w:r w:rsidR="00D50B37">
        <w:rPr>
          <w:rFonts w:ascii="Times New Roman" w:hAnsi="Times New Roman" w:cs="Times New Roman"/>
          <w:sz w:val="24"/>
          <w:szCs w:val="24"/>
        </w:rPr>
        <w:instrText xml:space="preserve"> ADDIN ZOTERO_ITEM CSL_CITATION {"citationID":"ZIrH0ES2","properties":{"formattedCitation":"(Neumann, 2022)","plainCitation":"(Neumann, 2022)","noteIndex":0},"citationItems":[{"id":162,"uris":["http://zotero.org/users/local/AhaM3qLx/items/CTISQN3L"],"itemData":{"id":162,"type":"post-weblog","container-title":"Local Field Potentials from DBS surgery","title":"Master-CAU","URL":"https://github.com/christianneumannCAU/Master-CAU","author":[{"family":"Neumann","given":"Christian"}],"issued":{"date-parts":[["2022"]]}}}],"schema":"https://github.com/citation-style-language/schema/raw/master/csl-citation.json"} </w:instrText>
      </w:r>
      <w:r w:rsidR="00D50B37">
        <w:rPr>
          <w:rFonts w:ascii="Times New Roman" w:hAnsi="Times New Roman" w:cs="Times New Roman"/>
          <w:sz w:val="24"/>
          <w:szCs w:val="24"/>
        </w:rPr>
        <w:fldChar w:fldCharType="separate"/>
      </w:r>
      <w:r w:rsidR="00D50B37" w:rsidRPr="00D50B37">
        <w:rPr>
          <w:rFonts w:ascii="Times New Roman" w:hAnsi="Times New Roman" w:cs="Times New Roman"/>
          <w:sz w:val="24"/>
        </w:rPr>
        <w:t>(Neumann, 2022)</w:t>
      </w:r>
      <w:r w:rsidR="00D50B37">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-Toolbox F</w:t>
      </w:r>
      <w:r w:rsidR="00516698" w:rsidRPr="000C03D8">
        <w:rPr>
          <w:rFonts w:ascii="Times New Roman" w:hAnsi="Times New Roman" w:cs="Times New Roman"/>
          <w:sz w:val="24"/>
          <w:szCs w:val="24"/>
        </w:rPr>
        <w:t>ieldtrip</w:t>
      </w:r>
      <w:r w:rsidR="00370356">
        <w:rPr>
          <w:rFonts w:ascii="Times New Roman" w:hAnsi="Times New Roman" w:cs="Times New Roman"/>
          <w:sz w:val="24"/>
          <w:szCs w:val="24"/>
        </w:rPr>
        <w:t xml:space="preserve"> (Version </w:t>
      </w:r>
      <w:r w:rsidR="00370356" w:rsidRPr="00370356">
        <w:rPr>
          <w:rFonts w:ascii="Times New Roman" w:hAnsi="Times New Roman" w:cs="Times New Roman"/>
          <w:sz w:val="24"/>
          <w:szCs w:val="24"/>
        </w:rPr>
        <w:t>20210411</w:t>
      </w:r>
      <w:r w:rsidR="00370356">
        <w:rPr>
          <w:rFonts w:ascii="Times New Roman" w:hAnsi="Times New Roman" w:cs="Times New Roman"/>
          <w:sz w:val="24"/>
          <w:szCs w:val="24"/>
        </w:rPr>
        <w:t>)</w:t>
      </w:r>
      <w:r w:rsidR="00516698" w:rsidRPr="000C03D8">
        <w:rPr>
          <w:rFonts w:ascii="Times New Roman" w:hAnsi="Times New Roman" w:cs="Times New Roman"/>
          <w:sz w:val="24"/>
          <w:szCs w:val="24"/>
        </w:rPr>
        <w:t xml:space="preserve">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(Oostenveld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w:t>
      </w:r>
      <w:r w:rsidR="00A72D6D">
        <w:rPr>
          <w:rFonts w:ascii="Times New Roman" w:hAnsi="Times New Roman" w:cs="Times New Roman"/>
          <w:sz w:val="24"/>
          <w:szCs w:val="24"/>
        </w:rPr>
        <w:t>insgesamt 2665 Momentaufnahmen</w:t>
      </w:r>
      <w:r w:rsidR="00563E03" w:rsidRPr="000C03D8">
        <w:rPr>
          <w:rFonts w:ascii="Times New Roman" w:hAnsi="Times New Roman" w:cs="Times New Roman"/>
          <w:sz w:val="24"/>
          <w:szCs w:val="24"/>
        </w:rPr>
        <w:t xml:space="preserve"> über die 25 Patient*innen, gab es 3457 Kanäle, wobei bei 7 Patient*innen mehr als ein Kanal vorhanden war. Die höchste Anzahl an Kanälen 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 xml:space="preserve">sen und die </w:t>
      </w:r>
      <w:proofErr w:type="spellStart"/>
      <w:r w:rsidR="005F0D0D" w:rsidRPr="000C03D8">
        <w:rPr>
          <w:rFonts w:ascii="Times New Roman" w:hAnsi="Times New Roman" w:cs="Times New Roman"/>
          <w:sz w:val="24"/>
          <w:szCs w:val="24"/>
        </w:rPr>
        <w:t>S</w:t>
      </w:r>
      <w:r w:rsidR="00B06FE2">
        <w:rPr>
          <w:rFonts w:ascii="Times New Roman" w:hAnsi="Times New Roman" w:cs="Times New Roman"/>
          <w:sz w:val="24"/>
          <w:szCs w:val="24"/>
        </w:rPr>
        <w:t>amplingrate</w:t>
      </w:r>
      <w:proofErr w:type="spellEnd"/>
      <w:r w:rsidR="0049460C" w:rsidRPr="000C03D8">
        <w:rPr>
          <w:rFonts w:ascii="Times New Roman" w:hAnsi="Times New Roman" w:cs="Times New Roman"/>
          <w:sz w:val="24"/>
          <w:szCs w:val="24"/>
        </w:rPr>
        <w:t xml:space="preserve"> von 44000 </w:t>
      </w:r>
      <w:r w:rsidR="00821B87" w:rsidRPr="000C03D8">
        <w:rPr>
          <w:rFonts w:ascii="Times New Roman" w:hAnsi="Times New Roman" w:cs="Times New Roman"/>
          <w:sz w:val="24"/>
          <w:szCs w:val="24"/>
        </w:rPr>
        <w:t xml:space="preserve">Hz auf 512 Hz </w:t>
      </w:r>
      <w:r w:rsidR="000476AB">
        <w:rPr>
          <w:rFonts w:ascii="Times New Roman" w:hAnsi="Times New Roman" w:cs="Times New Roman"/>
          <w:sz w:val="24"/>
          <w:szCs w:val="24"/>
        </w:rPr>
        <w:t>verringert, um eine höhere Verarbeitungsgeschwindigkeit zu ermöglichen.</w:t>
      </w:r>
      <w:r w:rsidR="00F65A91" w:rsidRPr="000C03D8">
        <w:rPr>
          <w:rFonts w:ascii="Times New Roman" w:hAnsi="Times New Roman" w:cs="Times New Roman"/>
          <w:sz w:val="24"/>
          <w:szCs w:val="24"/>
        </w:rPr>
        <w:t xml:space="preserve">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8" w:name="_Toc104032881"/>
      <w:r w:rsidRPr="000C03D8">
        <w:rPr>
          <w:rFonts w:ascii="Times New Roman" w:hAnsi="Times New Roman" w:cs="Times New Roman"/>
          <w:b/>
          <w:i/>
          <w:color w:val="auto"/>
        </w:rPr>
        <w:t>2.4</w:t>
      </w:r>
      <w:r w:rsidR="002128B3" w:rsidRPr="000C03D8">
        <w:rPr>
          <w:rFonts w:ascii="Times New Roman" w:hAnsi="Times New Roman" w:cs="Times New Roman"/>
          <w:b/>
          <w:i/>
          <w:color w:val="auto"/>
        </w:rPr>
        <w:t xml:space="preserve">.2 </w:t>
      </w:r>
      <w:proofErr w:type="spellStart"/>
      <w:r w:rsidR="00A37811">
        <w:rPr>
          <w:rFonts w:ascii="Times New Roman" w:hAnsi="Times New Roman" w:cs="Times New Roman"/>
          <w:b/>
          <w:i/>
          <w:color w:val="auto"/>
        </w:rPr>
        <w:t>Preprocessing</w:t>
      </w:r>
      <w:bookmarkEnd w:id="18"/>
      <w:proofErr w:type="spellEnd"/>
    </w:p>
    <w:p w:rsidR="0023392E" w:rsidRPr="000C03D8" w:rsidRDefault="00031E37" w:rsidP="00370356">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w:t>
      </w:r>
      <w:r w:rsidR="00370356">
        <w:rPr>
          <w:rFonts w:ascii="Times New Roman" w:hAnsi="Times New Roman" w:cs="Times New Roman"/>
          <w:sz w:val="24"/>
          <w:szCs w:val="24"/>
        </w:rPr>
        <w:t>nnen grafisch dargestellt. Nach</w:t>
      </w:r>
      <w:r w:rsidR="00943331" w:rsidRPr="000C03D8">
        <w:rPr>
          <w:rFonts w:ascii="Times New Roman" w:hAnsi="Times New Roman" w:cs="Times New Roman"/>
          <w:sz w:val="24"/>
          <w:szCs w:val="24"/>
        </w:rPr>
        <w:t xml:space="preserve"> visu</w:t>
      </w:r>
      <w:r w:rsidRPr="000C03D8">
        <w:rPr>
          <w:rFonts w:ascii="Times New Roman" w:hAnsi="Times New Roman" w:cs="Times New Roman"/>
          <w:sz w:val="24"/>
          <w:szCs w:val="24"/>
        </w:rPr>
        <w:t>elle</w:t>
      </w:r>
      <w:r w:rsidR="00370356">
        <w:rPr>
          <w:rFonts w:ascii="Times New Roman" w:hAnsi="Times New Roman" w:cs="Times New Roman"/>
          <w:sz w:val="24"/>
          <w:szCs w:val="24"/>
        </w:rPr>
        <w:t>r</w:t>
      </w:r>
      <w:r w:rsidRPr="000C03D8">
        <w:rPr>
          <w:rFonts w:ascii="Times New Roman" w:hAnsi="Times New Roman" w:cs="Times New Roman"/>
          <w:sz w:val="24"/>
          <w:szCs w:val="24"/>
        </w:rPr>
        <w:t xml:space="preserv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w:t>
      </w:r>
      <w:r w:rsidR="00370356">
        <w:rPr>
          <w:rFonts w:ascii="Times New Roman" w:hAnsi="Times New Roman" w:cs="Times New Roman"/>
          <w:sz w:val="24"/>
          <w:szCs w:val="24"/>
        </w:rPr>
        <w:t xml:space="preserve"> </w:t>
      </w:r>
      <w:r w:rsidR="00370356" w:rsidRPr="000C03D8">
        <w:rPr>
          <w:rFonts w:ascii="Times New Roman" w:hAnsi="Times New Roman" w:cs="Times New Roman"/>
          <w:sz w:val="24"/>
          <w:szCs w:val="24"/>
        </w:rPr>
        <w:t>In der Abbil</w:t>
      </w:r>
      <w:r w:rsidR="00370356" w:rsidRPr="000C03D8">
        <w:rPr>
          <w:rFonts w:ascii="Times New Roman" w:hAnsi="Times New Roman" w:cs="Times New Roman"/>
          <w:sz w:val="24"/>
          <w:szCs w:val="24"/>
        </w:rPr>
        <w:lastRenderedPageBreak/>
        <w:t>dung 1 ist zu sehen, dass ein unverhältnismäßig großer Anteil aller Varianzen sich in dem Bereich unter 0.003 befindet, wobei alle Varianzen von exakt 0, die also nichts gemessen haben, nicht in diesem Histogramm mit abgebildet sind. Dies zeigt, dass in vielen Kanälen keine aussagekräftigen Daten gemessen wurden, da es sich dabei um eine sehr kleine Varianz handelt.</w:t>
      </w:r>
      <w:r w:rsidR="00E26E9F" w:rsidRPr="000C03D8">
        <w:rPr>
          <w:rFonts w:ascii="Times New Roman" w:hAnsi="Times New Roman" w:cs="Times New Roman"/>
          <w:sz w:val="24"/>
          <w:szCs w:val="24"/>
        </w:rPr>
        <w:t xml:space="preserve"> </w:t>
      </w:r>
      <w:r w:rsidR="00154D3B">
        <w:rPr>
          <w:rFonts w:ascii="Times New Roman" w:hAnsi="Times New Roman" w:cs="Times New Roman"/>
          <w:sz w:val="24"/>
          <w:szCs w:val="24"/>
        </w:rPr>
        <w:t xml:space="preserve">Der untere Grenzwert von 0.003 </w:t>
      </w:r>
      <w:r w:rsidR="002F2E0E">
        <w:rPr>
          <w:rFonts w:ascii="Times New Roman" w:hAnsi="Times New Roman" w:cs="Times New Roman"/>
          <w:sz w:val="24"/>
          <w:szCs w:val="24"/>
        </w:rPr>
        <w:t xml:space="preserve">und der obere Grenzwert von 0.075 </w:t>
      </w:r>
      <w:r w:rsidR="00154D3B">
        <w:rPr>
          <w:rFonts w:ascii="Times New Roman" w:hAnsi="Times New Roman" w:cs="Times New Roman"/>
          <w:sz w:val="24"/>
          <w:szCs w:val="24"/>
        </w:rPr>
        <w:t>wurde</w:t>
      </w:r>
      <w:r w:rsidR="002F2E0E">
        <w:rPr>
          <w:rFonts w:ascii="Times New Roman" w:hAnsi="Times New Roman" w:cs="Times New Roman"/>
          <w:sz w:val="24"/>
          <w:szCs w:val="24"/>
        </w:rPr>
        <w:t>n gewählt, da an diesen</w:t>
      </w:r>
      <w:r w:rsidR="00154D3B">
        <w:rPr>
          <w:rFonts w:ascii="Times New Roman" w:hAnsi="Times New Roman" w:cs="Times New Roman"/>
          <w:sz w:val="24"/>
          <w:szCs w:val="24"/>
        </w:rPr>
        <w:t xml:space="preserve"> Stelle</w:t>
      </w:r>
      <w:r w:rsidR="002F2E0E">
        <w:rPr>
          <w:rFonts w:ascii="Times New Roman" w:hAnsi="Times New Roman" w:cs="Times New Roman"/>
          <w:sz w:val="24"/>
          <w:szCs w:val="24"/>
        </w:rPr>
        <w:t xml:space="preserve">n </w:t>
      </w:r>
      <w:r w:rsidR="00BB3E0B">
        <w:rPr>
          <w:rFonts w:ascii="Times New Roman" w:hAnsi="Times New Roman" w:cs="Times New Roman"/>
          <w:sz w:val="24"/>
          <w:szCs w:val="24"/>
        </w:rPr>
        <w:t>visuell eine Veränderung in</w:t>
      </w:r>
      <w:r w:rsidR="002F2E0E">
        <w:rPr>
          <w:rFonts w:ascii="Times New Roman" w:hAnsi="Times New Roman" w:cs="Times New Roman"/>
          <w:sz w:val="24"/>
          <w:szCs w:val="24"/>
        </w:rPr>
        <w:t xml:space="preserve"> der Häufigkeitsverteilung zu sehen ist, die von einer Normalverteilung abweicht.</w:t>
      </w:r>
      <w:r w:rsidR="0006445C" w:rsidRPr="000C03D8">
        <w:rPr>
          <w:rFonts w:ascii="Times New Roman" w:hAnsi="Times New Roman" w:cs="Times New Roman"/>
          <w:sz w:val="24"/>
          <w:szCs w:val="24"/>
        </w:rPr>
        <w:t xml:space="preserve">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2pt">
            <v:imagedata r:id="rId8"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von 0.00001 bis 0.15 in Schritten von 0.00098, damit die erste Klasse alle Varianzen größer 0 und kleiner 0.001 abbildet.</w:t>
      </w:r>
    </w:p>
    <w:p w:rsidR="003625C9" w:rsidRDefault="003625C9">
      <w:pPr>
        <w:rPr>
          <w:rFonts w:ascii="Times New Roman" w:eastAsiaTheme="majorEastAsia" w:hAnsi="Times New Roman" w:cs="Times New Roman"/>
          <w:b/>
          <w:i/>
          <w:sz w:val="24"/>
          <w:szCs w:val="24"/>
        </w:rPr>
      </w:pPr>
      <w:r>
        <w:rPr>
          <w:rFonts w:ascii="Times New Roman" w:hAnsi="Times New Roman" w:cs="Times New Roman"/>
          <w:b/>
          <w:i/>
        </w:rPr>
        <w:br w:type="page"/>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4032882"/>
      <w:r w:rsidRPr="000C03D8">
        <w:rPr>
          <w:rFonts w:ascii="Times New Roman" w:hAnsi="Times New Roman" w:cs="Times New Roman"/>
          <w:b/>
          <w:i/>
          <w:color w:val="auto"/>
        </w:rPr>
        <w:lastRenderedPageBreak/>
        <w:t>2.4</w:t>
      </w:r>
      <w:r w:rsidR="002128B3" w:rsidRPr="000C03D8">
        <w:rPr>
          <w:rFonts w:ascii="Times New Roman" w:hAnsi="Times New Roman" w:cs="Times New Roman"/>
          <w:b/>
          <w:i/>
          <w:color w:val="auto"/>
        </w:rPr>
        <w:t>.3 Zeit-Frequenz-Analyse</w:t>
      </w:r>
      <w:bookmarkEnd w:id="19"/>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4F72C3">
        <w:rPr>
          <w:rFonts w:ascii="Times New Roman" w:hAnsi="Times New Roman" w:cs="Times New Roman"/>
          <w:sz w:val="24"/>
          <w:szCs w:val="24"/>
        </w:rPr>
        <w:t xml:space="preserve">vorverarbeiteten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E25745">
        <w:rPr>
          <w:rFonts w:ascii="Times New Roman" w:hAnsi="Times New Roman" w:cs="Times New Roman"/>
          <w:sz w:val="24"/>
          <w:szCs w:val="24"/>
        </w:rPr>
        <w:t xml:space="preserve">, </w:t>
      </w:r>
      <w:proofErr w:type="spellStart"/>
      <w:r w:rsidR="00E25745">
        <w:rPr>
          <w:rFonts w:ascii="Times New Roman" w:hAnsi="Times New Roman" w:cs="Times New Roman"/>
          <w:sz w:val="24"/>
          <w:szCs w:val="24"/>
        </w:rPr>
        <w:t>order</w:t>
      </w:r>
      <w:proofErr w:type="spellEnd"/>
      <w:r w:rsidR="00E25745">
        <w:rPr>
          <w:rFonts w:ascii="Times New Roman" w:hAnsi="Times New Roman" w:cs="Times New Roman"/>
          <w:sz w:val="24"/>
          <w:szCs w:val="24"/>
        </w:rPr>
        <w:t xml:space="preserve"> 1690,</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rsidR="003625C9"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4F72C3">
        <w:rPr>
          <w:rFonts w:ascii="Times New Roman" w:hAnsi="Times New Roman" w:cs="Times New Roman"/>
          <w:sz w:val="24"/>
          <w:szCs w:val="24"/>
        </w:rPr>
        <w:t>.</w:t>
      </w:r>
      <w:r w:rsidR="00F7580F" w:rsidRPr="000C03D8">
        <w:rPr>
          <w:rFonts w:ascii="Times New Roman" w:hAnsi="Times New Roman" w:cs="Times New Roman"/>
          <w:sz w:val="24"/>
          <w:szCs w:val="24"/>
        </w:rPr>
        <w:t xml:space="preserve"> Die Frequenzauflösung war von 2 bis 35 Hz in 0.05er Schritten. Die Zeitauflösung war von 0 bis 5 s in 0.01er Schritten. </w:t>
      </w:r>
      <w:r w:rsidR="00CE47C9" w:rsidRPr="000C03D8">
        <w:rPr>
          <w:rFonts w:ascii="Times New Roman" w:hAnsi="Times New Roman" w:cs="Times New Roman"/>
          <w:sz w:val="24"/>
          <w:szCs w:val="24"/>
        </w:rPr>
        <w:t xml:space="preserve">Als Tapereinstellungen wurden </w:t>
      </w:r>
      <w:proofErr w:type="spellStart"/>
      <w:r w:rsidR="00CE47C9" w:rsidRPr="000C03D8">
        <w:rPr>
          <w:rFonts w:ascii="Times New Roman" w:hAnsi="Times New Roman" w:cs="Times New Roman"/>
          <w:sz w:val="24"/>
          <w:szCs w:val="24"/>
        </w:rPr>
        <w:t>Hanning-Taper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 xml:space="preserve">-Tapern bei 5 Zyklen weniger Informationsverlust in der Zeitdimension aufweist als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-Tapern bei 6 oder 7 Zyklen, aber einen größeren Informationsgehalt i</w:t>
      </w:r>
      <w:r w:rsidR="00361555" w:rsidRPr="000C03D8">
        <w:rPr>
          <w:rFonts w:ascii="Times New Roman" w:hAnsi="Times New Roman" w:cs="Times New Roman"/>
          <w:sz w:val="24"/>
          <w:szCs w:val="24"/>
        </w:rPr>
        <w:t xml:space="preserve">n der Frequenzdimension </w:t>
      </w:r>
      <w:r w:rsidR="00361555" w:rsidRPr="000C03D8">
        <w:rPr>
          <w:rFonts w:ascii="Times New Roman" w:hAnsi="Times New Roman" w:cs="Times New Roman"/>
          <w:sz w:val="24"/>
          <w:szCs w:val="24"/>
        </w:rPr>
        <w:lastRenderedPageBreak/>
        <w:t xml:space="preserve">als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 xml:space="preserve">-Tapern bei 3 oder 4 Zyklen.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w:t>
      </w:r>
      <w:proofErr w:type="spellStart"/>
      <w:r w:rsidR="0064535B" w:rsidRPr="000C03D8">
        <w:rPr>
          <w:rFonts w:ascii="Times New Roman" w:hAnsi="Times New Roman" w:cs="Times New Roman"/>
          <w:sz w:val="24"/>
          <w:szCs w:val="24"/>
        </w:rPr>
        <w:t>Hanning</w:t>
      </w:r>
      <w:proofErr w:type="spellEnd"/>
      <w:r w:rsidR="0064535B" w:rsidRPr="000C03D8">
        <w:rPr>
          <w:rFonts w:ascii="Times New Roman" w:hAnsi="Times New Roman" w:cs="Times New Roman"/>
          <w:sz w:val="24"/>
          <w:szCs w:val="24"/>
        </w:rPr>
        <w:t>-Tapern in Abbildung 2.</w:t>
      </w:r>
    </w:p>
    <w:p w:rsidR="00A92C8D" w:rsidRPr="003625C9" w:rsidRDefault="00A92C8D"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Zeit-Frequenz-Analysen mit </w:t>
      </w:r>
      <w:proofErr w:type="spellStart"/>
      <w:r w:rsidRPr="000C03D8">
        <w:rPr>
          <w:rFonts w:ascii="Times New Roman" w:hAnsi="Times New Roman" w:cs="Times New Roman"/>
          <w:i/>
          <w:sz w:val="24"/>
          <w:szCs w:val="24"/>
        </w:rPr>
        <w:t>Hanning-Taper</w:t>
      </w:r>
      <w:proofErr w:type="spellEnd"/>
      <w:r w:rsidR="004F72C3">
        <w:rPr>
          <w:rFonts w:ascii="Times New Roman" w:hAnsi="Times New Roman" w:cs="Times New Roman"/>
          <w:i/>
          <w:sz w:val="24"/>
          <w:szCs w:val="24"/>
        </w:rPr>
        <w:t xml:space="preserve"> bei</w:t>
      </w:r>
      <w:r w:rsidR="00DF2418" w:rsidRPr="000C03D8">
        <w:rPr>
          <w:rFonts w:ascii="Times New Roman" w:hAnsi="Times New Roman" w:cs="Times New Roman"/>
          <w:i/>
          <w:sz w:val="24"/>
          <w:szCs w:val="24"/>
        </w:rPr>
        <w:t xml:space="preserve"> 3 bis 7</w:t>
      </w:r>
      <w:r w:rsidRPr="000C03D8">
        <w:rPr>
          <w:rFonts w:ascii="Times New Roman" w:hAnsi="Times New Roman" w:cs="Times New Roman"/>
          <w:i/>
          <w:sz w:val="24"/>
          <w:szCs w:val="24"/>
        </w:rPr>
        <w:t xml:space="preserve"> Zyklen</w:t>
      </w:r>
    </w:p>
    <w:p w:rsidR="00A92C8D"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60.8pt;height:244.2pt">
            <v:imagedata r:id="rId9" o:title="Abbildung 2"/>
          </v:shape>
        </w:pict>
      </w:r>
      <w:r w:rsidR="00227DDF" w:rsidRPr="000C03D8">
        <w:rPr>
          <w:rFonts w:ascii="Times New Roman" w:hAnsi="Times New Roman" w:cs="Times New Roman"/>
          <w:i/>
          <w:sz w:val="24"/>
          <w:szCs w:val="24"/>
        </w:rPr>
        <w:br/>
        <w:t>Anmerkung.</w:t>
      </w:r>
      <w:r w:rsidR="00C16F59">
        <w:rPr>
          <w:rFonts w:ascii="Times New Roman" w:hAnsi="Times New Roman" w:cs="Times New Roman"/>
          <w:sz w:val="24"/>
          <w:szCs w:val="24"/>
        </w:rPr>
        <w:t xml:space="preserve"> Von einer Person</w:t>
      </w:r>
      <w:r w:rsidR="00227DDF" w:rsidRPr="000C03D8">
        <w:rPr>
          <w:rFonts w:ascii="Times New Roman" w:hAnsi="Times New Roman" w:cs="Times New Roman"/>
          <w:sz w:val="24"/>
          <w:szCs w:val="24"/>
        </w:rPr>
        <w:t xml:space="preserve">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w:t>
      </w:r>
      <w:r w:rsidR="004F72C3">
        <w:rPr>
          <w:rFonts w:ascii="Times New Roman" w:hAnsi="Times New Roman" w:cs="Times New Roman"/>
          <w:i/>
          <w:sz w:val="24"/>
          <w:szCs w:val="24"/>
        </w:rPr>
        <w:t>equenz-Analysen mit Wavelets bei 3 bis 7</w:t>
      </w:r>
      <w:r w:rsidRPr="000C03D8">
        <w:rPr>
          <w:rFonts w:ascii="Times New Roman" w:hAnsi="Times New Roman" w:cs="Times New Roman"/>
          <w:i/>
          <w:sz w:val="24"/>
          <w:szCs w:val="24"/>
        </w:rPr>
        <w:t xml:space="preserve"> Zyklen</w:t>
      </w:r>
    </w:p>
    <w:p w:rsidR="004C5996"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7" type="#_x0000_t75" style="width:458.4pt;height:243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20" w:name="_Toc104032883"/>
      <w:r w:rsidRPr="000C03D8">
        <w:rPr>
          <w:rFonts w:ascii="Times New Roman" w:hAnsi="Times New Roman" w:cs="Times New Roman"/>
          <w:b/>
          <w:i/>
          <w:color w:val="auto"/>
        </w:rPr>
        <w:t>2.4</w:t>
      </w:r>
      <w:r w:rsidR="002128B3" w:rsidRPr="000C03D8">
        <w:rPr>
          <w:rFonts w:ascii="Times New Roman" w:hAnsi="Times New Roman" w:cs="Times New Roman"/>
          <w:b/>
          <w:i/>
          <w:color w:val="auto"/>
        </w:rPr>
        <w:t>.4 FOOOF-Algorithmus</w:t>
      </w:r>
      <w:bookmarkEnd w:id="20"/>
    </w:p>
    <w:p w:rsidR="00CB3F02" w:rsidRPr="000C03D8" w:rsidRDefault="009829E8"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Der letzte Schritt</w:t>
      </w:r>
      <w:r w:rsidR="00DB03FE" w:rsidRPr="000C03D8">
        <w:rPr>
          <w:rFonts w:ascii="Times New Roman" w:hAnsi="Times New Roman" w:cs="Times New Roman"/>
          <w:sz w:val="24"/>
          <w:szCs w:val="24"/>
        </w:rPr>
        <w:t xml:space="preserve"> bestand darin, die </w:t>
      </w:r>
      <w:r w:rsidR="00CB49E6" w:rsidRPr="000C03D8">
        <w:rPr>
          <w:rFonts w:ascii="Times New Roman" w:hAnsi="Times New Roman" w:cs="Times New Roman"/>
          <w:sz w:val="24"/>
          <w:szCs w:val="24"/>
        </w:rPr>
        <w:t xml:space="preserve">über die Zeit gemittelten </w:t>
      </w:r>
      <w:r w:rsidR="00DB03FE"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DB03FE"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0C03D8">
        <w:rPr>
          <w:rFonts w:ascii="Times New Roman" w:hAnsi="Times New Roman" w:cs="Times New Roman"/>
          <w:sz w:val="24"/>
          <w:szCs w:val="24"/>
        </w:rPr>
        <w:t xml:space="preserve">odischer Modus: fix. Der </w:t>
      </w:r>
      <w:r w:rsidR="005F4D0E" w:rsidRPr="000C03D8">
        <w:rPr>
          <w:rFonts w:ascii="Times New Roman" w:hAnsi="Times New Roman" w:cs="Times New Roman"/>
          <w:sz w:val="24"/>
          <w:szCs w:val="24"/>
        </w:rPr>
        <w:lastRenderedPageBreak/>
        <w:t>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1" w:name="_Toc104032884"/>
      <w:r w:rsidRPr="000C03D8">
        <w:rPr>
          <w:rFonts w:ascii="Times New Roman" w:hAnsi="Times New Roman" w:cs="Times New Roman"/>
          <w:b/>
          <w:i/>
          <w:color w:val="auto"/>
        </w:rPr>
        <w:t>2.4</w:t>
      </w:r>
      <w:r w:rsidR="00B30E54" w:rsidRPr="000C03D8">
        <w:rPr>
          <w:rFonts w:ascii="Times New Roman" w:hAnsi="Times New Roman" w:cs="Times New Roman"/>
          <w:b/>
          <w:i/>
          <w:color w:val="auto"/>
        </w:rPr>
        <w:t>.5 Extraktion der elektrophysiologischen Maße</w:t>
      </w:r>
      <w:bookmarkEnd w:id="21"/>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 xml:space="preserve">Hz angepasst wird, damit ein fließender </w:t>
      </w:r>
      <w:r w:rsidR="00E704C7" w:rsidRPr="000C03D8">
        <w:rPr>
          <w:rFonts w:ascii="Times New Roman" w:hAnsi="Times New Roman" w:cs="Times New Roman"/>
          <w:sz w:val="24"/>
          <w:szCs w:val="24"/>
        </w:rPr>
        <w:lastRenderedPageBreak/>
        <w:t>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w:t>
      </w:r>
      <w:proofErr w:type="gramEnd"/>
      <w:r w:rsidR="008D211D" w:rsidRPr="000C03D8">
        <w:rPr>
          <w:rFonts w:ascii="Times New Roman" w:hAnsi="Times New Roman" w:cs="Times New Roman"/>
          <w:sz w:val="24"/>
          <w:szCs w:val="24"/>
        </w:rPr>
        <w:t xml:space="preserve">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g der Daten 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2" w:name="_Toc104032885"/>
      <w:r w:rsidRPr="000C03D8">
        <w:rPr>
          <w:rFonts w:ascii="Times New Roman" w:hAnsi="Times New Roman" w:cs="Times New Roman"/>
          <w:b/>
          <w:color w:val="auto"/>
          <w:sz w:val="28"/>
          <w:szCs w:val="28"/>
        </w:rPr>
        <w:lastRenderedPageBreak/>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2"/>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4032886"/>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3"/>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CA1511">
        <w:rPr>
          <w:rFonts w:ascii="Times New Roman" w:hAnsi="Times New Roman" w:cs="Times New Roman"/>
          <w:sz w:val="24"/>
          <w:szCs w:val="24"/>
        </w:rPr>
        <w:t>ten beiden Skripten</w:t>
      </w:r>
      <w:r w:rsidR="008423B7" w:rsidRPr="000C03D8">
        <w:rPr>
          <w:rFonts w:ascii="Times New Roman" w:hAnsi="Times New Roman" w:cs="Times New Roman"/>
          <w:sz w:val="24"/>
          <w:szCs w:val="24"/>
        </w:rPr>
        <w:t xml:space="preserve">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in 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4032887"/>
      <w:r w:rsidRPr="000C03D8">
        <w:rPr>
          <w:rFonts w:ascii="Times New Roman" w:hAnsi="Times New Roman" w:cs="Times New Roman"/>
          <w:b/>
          <w:i/>
          <w:color w:val="auto"/>
        </w:rPr>
        <w:lastRenderedPageBreak/>
        <w:t>2.6</w:t>
      </w:r>
      <w:r w:rsidR="00B20730" w:rsidRPr="000C03D8">
        <w:rPr>
          <w:rFonts w:ascii="Times New Roman" w:hAnsi="Times New Roman" w:cs="Times New Roman"/>
          <w:b/>
          <w:i/>
          <w:color w:val="auto"/>
        </w:rPr>
        <w:t>.2 Zweite Hypothese</w:t>
      </w:r>
      <w:bookmarkEnd w:id="24"/>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 xml:space="preserve">(Giesbrecht &amp; Burns, </w:t>
      </w:r>
      <w:r w:rsidR="00635E49" w:rsidRPr="000C03D8">
        <w:rPr>
          <w:rFonts w:ascii="Times New Roman" w:hAnsi="Times New Roman" w:cs="Times New Roman"/>
          <w:sz w:val="24"/>
          <w:szCs w:val="24"/>
        </w:rPr>
        <w:lastRenderedPageBreak/>
        <w:t>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w:t>
      </w:r>
      <w:r w:rsidR="00BE03EE">
        <w:rPr>
          <w:rFonts w:ascii="Times New Roman" w:hAnsi="Times New Roman" w:cs="Times New Roman"/>
          <w:sz w:val="24"/>
          <w:szCs w:val="24"/>
        </w:rPr>
        <w:t>hm in diesem Fall keine Aussage</w:t>
      </w:r>
      <w:r w:rsidR="00C81150" w:rsidRPr="000C03D8">
        <w:rPr>
          <w:rFonts w:ascii="Times New Roman" w:hAnsi="Times New Roman" w:cs="Times New Roman"/>
          <w:sz w:val="24"/>
          <w:szCs w:val="24"/>
        </w:rPr>
        <w:t xml:space="preserve"> über eine Verletzung der Normalverteilung gemacht werden. Stattdessen wird 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5" w:name="_Toc104032888"/>
      <w:r w:rsidRPr="000C03D8">
        <w:rPr>
          <w:rFonts w:ascii="Times New Roman" w:hAnsi="Times New Roman" w:cs="Times New Roman"/>
          <w:b/>
          <w:i/>
          <w:color w:val="auto"/>
        </w:rPr>
        <w:t>2.6</w:t>
      </w:r>
      <w:r w:rsidR="00B20730" w:rsidRPr="000C03D8">
        <w:rPr>
          <w:rFonts w:ascii="Times New Roman" w:hAnsi="Times New Roman" w:cs="Times New Roman"/>
          <w:b/>
          <w:i/>
          <w:color w:val="auto"/>
        </w:rPr>
        <w:t>.3 Explorative Analysen</w:t>
      </w:r>
      <w:bookmarkEnd w:id="25"/>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w:t>
      </w:r>
      <w:proofErr w:type="spellStart"/>
      <w:r w:rsidR="001C4B5E" w:rsidRPr="000C03D8">
        <w:rPr>
          <w:rFonts w:ascii="Times New Roman" w:hAnsi="Times New Roman" w:cs="Times New Roman"/>
          <w:sz w:val="24"/>
          <w:szCs w:val="24"/>
        </w:rPr>
        <w:t>Kuznetsova</w:t>
      </w:r>
      <w:proofErr w:type="spellEnd"/>
      <w:r w:rsidR="001C4B5E" w:rsidRPr="000C03D8">
        <w:rPr>
          <w:rFonts w:ascii="Times New Roman" w:hAnsi="Times New Roman" w:cs="Times New Roman"/>
          <w:sz w:val="24"/>
          <w:szCs w:val="24"/>
        </w:rPr>
        <w:t xml:space="preserve">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6" w:name="_Toc104032889"/>
      <w:r w:rsidRPr="000C03D8">
        <w:rPr>
          <w:rFonts w:ascii="Times New Roman" w:hAnsi="Times New Roman" w:cs="Times New Roman"/>
          <w:b/>
          <w:color w:val="auto"/>
        </w:rPr>
        <w:lastRenderedPageBreak/>
        <w:t>3. Ergebnisse</w:t>
      </w:r>
      <w:bookmarkEnd w:id="26"/>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4032890"/>
      <w:r w:rsidRPr="000C03D8">
        <w:rPr>
          <w:rFonts w:ascii="Times New Roman" w:hAnsi="Times New Roman" w:cs="Times New Roman"/>
          <w:b/>
          <w:color w:val="auto"/>
          <w:sz w:val="28"/>
          <w:szCs w:val="28"/>
        </w:rPr>
        <w:t>3.1 Erste Hypothese</w:t>
      </w:r>
      <w:bookmarkEnd w:id="27"/>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3.2pt;height:230.4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BC255E"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67.2pt;height:225.6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CA1511">
        <w:rPr>
          <w:rFonts w:ascii="Times New Roman" w:hAnsi="Times New Roman" w:cs="Times New Roman"/>
          <w:sz w:val="24"/>
          <w:szCs w:val="24"/>
        </w:rPr>
        <w:t>.</w:t>
      </w:r>
      <w:r w:rsidR="00CA1511" w:rsidRPr="000C03D8">
        <w:rPr>
          <w:rFonts w:ascii="Times New Roman" w:hAnsi="Times New Roman" w:cs="Times New Roman"/>
          <w:sz w:val="24"/>
          <w:szCs w:val="24"/>
        </w:rPr>
        <w:t xml:space="preserve">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04.8pt;height:188.4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xml:space="preserve">. </w:t>
      </w:r>
      <w:r w:rsidR="00CA1511" w:rsidRPr="000C03D8">
        <w:rPr>
          <w:rFonts w:ascii="Times New Roman" w:hAnsi="Times New Roman" w:cs="Times New Roman"/>
          <w:sz w:val="24"/>
          <w:szCs w:val="24"/>
        </w:rPr>
        <w:t>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Der Shapiro-Wilk-Test für die Differenzen zwischen der Betapower in der Bedingung „nah“ und der Betapower in der Bedingung „fern“ ist nicht signi</w:t>
      </w:r>
      <w:r w:rsidR="002123C3">
        <w:rPr>
          <w:rFonts w:ascii="Times New Roman" w:hAnsi="Times New Roman" w:cs="Times New Roman"/>
          <w:sz w:val="24"/>
          <w:szCs w:val="24"/>
        </w:rPr>
        <w:t>fikant auf 5% Signifikanzniveau</w:t>
      </w:r>
      <w:r w:rsidR="002123C3">
        <w:rPr>
          <w:rFonts w:ascii="Times New Roman" w:hAnsi="Times New Roman" w:cs="Times New Roman"/>
          <w:sz w:val="24"/>
          <w:szCs w:val="24"/>
        </w:rPr>
        <w:br/>
      </w:r>
      <w:r w:rsidRPr="000C03D8">
        <w:rPr>
          <w:rFonts w:ascii="Times New Roman" w:hAnsi="Times New Roman" w:cs="Times New Roman"/>
          <w:sz w:val="24"/>
          <w:szCs w:val="24"/>
        </w:rPr>
        <w:t>(</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7</w:t>
      </w:r>
    </w:p>
    <w:p w:rsidR="00CD3861" w:rsidRPr="000C03D8" w:rsidRDefault="00CD386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mit der Bedingung „fern“</w:t>
      </w:r>
    </w:p>
    <w:p w:rsidR="005D65F1"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49.2pt;height:215.4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8</w:t>
      </w:r>
    </w:p>
    <w:p w:rsidR="005D65F1" w:rsidRPr="000C03D8" w:rsidRDefault="005D65F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D049A4">
        <w:rPr>
          <w:rFonts w:ascii="Times New Roman" w:hAnsi="Times New Roman" w:cs="Times New Roman"/>
          <w:i/>
          <w:sz w:val="24"/>
          <w:szCs w:val="24"/>
        </w:rPr>
        <w:pict>
          <v:shape id="_x0000_i1032" type="#_x0000_t75" style="width:349.2pt;height:216.6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4032891"/>
      <w:r w:rsidRPr="000C03D8">
        <w:rPr>
          <w:rFonts w:ascii="Times New Roman" w:hAnsi="Times New Roman" w:cs="Times New Roman"/>
          <w:b/>
          <w:color w:val="auto"/>
          <w:sz w:val="28"/>
          <w:szCs w:val="28"/>
        </w:rPr>
        <w:lastRenderedPageBreak/>
        <w:t>3.2 Zweite Hypothese</w:t>
      </w:r>
      <w:bookmarkEnd w:id="28"/>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 xml:space="preserve">Mit Hilfe der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rsidR="005D65F1" w:rsidRPr="000C03D8" w:rsidRDefault="00F16082"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326.4pt;height:201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011E82" w:rsidRPr="000C03D8" w:rsidRDefault="00D049A4" w:rsidP="00011E82">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34" type="#_x0000_t75" style="width:453pt;height:280.2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xml:space="preserve">. </w:t>
      </w:r>
      <w:r w:rsidR="00011E82" w:rsidRPr="000C03D8">
        <w:rPr>
          <w:rFonts w:ascii="Times New Roman" w:hAnsi="Times New Roman" w:cs="Times New Roman"/>
          <w:sz w:val="24"/>
          <w:szCs w:val="24"/>
        </w:rPr>
        <w:t>Rote gestrichelte Linie stellt eine Normalverteilung</w:t>
      </w:r>
      <w:r w:rsidR="00011E82">
        <w:rPr>
          <w:rFonts w:ascii="Times New Roman" w:hAnsi="Times New Roman" w:cs="Times New Roman"/>
          <w:sz w:val="24"/>
          <w:szCs w:val="24"/>
        </w:rPr>
        <w:t xml:space="preserve"> mit demselben Mittelwert und derselben Standardabweichung wie die das jeweilige Dichtediagramm</w:t>
      </w:r>
      <w:r w:rsidR="00011E82" w:rsidRPr="000C03D8">
        <w:rPr>
          <w:rFonts w:ascii="Times New Roman" w:hAnsi="Times New Roman" w:cs="Times New Roman"/>
          <w:sz w:val="24"/>
          <w:szCs w:val="24"/>
        </w:rPr>
        <w:t xml:space="preserve">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 xml:space="preserve">Für den zweiten Teil der zweiten Hypothese, dass die aperiodische Komponente des LFP </w:t>
      </w:r>
      <w:r w:rsidR="000B6912" w:rsidRPr="000C03D8">
        <w:rPr>
          <w:rFonts w:ascii="Times New Roman" w:hAnsi="Times New Roman" w:cs="Times New Roman"/>
          <w:sz w:val="24"/>
          <w:szCs w:val="24"/>
        </w:rPr>
        <w:lastRenderedPageBreak/>
        <w:t>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D049A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5" type="#_x0000_t75" style="width:453pt;height:281.4pt">
            <v:imagedata r:id="rId18" o:title="Abbildung 11"/>
          </v:shape>
        </w:pict>
      </w: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D049A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453pt;height:280.2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9" w:name="_Toc104032892"/>
      <w:r w:rsidRPr="000C03D8">
        <w:rPr>
          <w:rFonts w:ascii="Times New Roman" w:hAnsi="Times New Roman" w:cs="Times New Roman"/>
          <w:b/>
          <w:color w:val="auto"/>
          <w:sz w:val="28"/>
          <w:szCs w:val="28"/>
        </w:rPr>
        <w:t>3.3 Explorative Analysen</w:t>
      </w:r>
      <w:bookmarkEnd w:id="29"/>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 aperiodische 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B112C9"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562A51">
        <w:trPr>
          <w:trHeight w:hRule="exact" w:val="284"/>
        </w:trPr>
        <w:tc>
          <w:tcPr>
            <w:tcW w:w="2608" w:type="dxa"/>
            <w:tcBorders>
              <w:top w:val="single" w:sz="4" w:space="0" w:color="auto"/>
            </w:tcBorders>
          </w:tcPr>
          <w:p w:rsidR="00B112C9" w:rsidRPr="000C03D8" w:rsidRDefault="00B112C9" w:rsidP="00562A51">
            <w:pPr>
              <w:spacing w:line="480" w:lineRule="auto"/>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435pt;height:270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w:t>
      </w:r>
      <w:r w:rsidR="00380E63" w:rsidRPr="000C03D8">
        <w:rPr>
          <w:rFonts w:ascii="Times New Roman" w:hAnsi="Times New Roman" w:cs="Times New Roman"/>
          <w:sz w:val="24"/>
          <w:szCs w:val="24"/>
        </w:rPr>
        <w:lastRenderedPageBreak/>
        <w:t xml:space="preserve">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C9653B" w:rsidP="00337758">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Ergebnisse der </w:t>
      </w:r>
      <w:r w:rsidR="00830B98" w:rsidRPr="000C03D8">
        <w:rPr>
          <w:rFonts w:ascii="Times New Roman" w:hAnsi="Times New Roman" w:cs="Times New Roman"/>
          <w:i/>
          <w:sz w:val="24"/>
          <w:szCs w:val="24"/>
        </w:rPr>
        <w:t>F-</w:t>
      </w:r>
      <w:r>
        <w:rPr>
          <w:rFonts w:ascii="Times New Roman" w:hAnsi="Times New Roman" w:cs="Times New Roman"/>
          <w:i/>
          <w:sz w:val="24"/>
          <w:szCs w:val="24"/>
        </w:rPr>
        <w:t>Tests für den Vergleich der</w:t>
      </w:r>
      <w:r w:rsidR="00CB2B9C" w:rsidRPr="000C03D8">
        <w:rPr>
          <w:rFonts w:ascii="Times New Roman" w:hAnsi="Times New Roman" w:cs="Times New Roman"/>
          <w:i/>
          <w:sz w:val="24"/>
          <w:szCs w:val="24"/>
        </w:rPr>
        <w:t xml:space="preserve"> Regressionsm</w:t>
      </w:r>
      <w:r w:rsidR="00830B98" w:rsidRPr="000C03D8">
        <w:rPr>
          <w:rFonts w:ascii="Times New Roman" w:hAnsi="Times New Roman" w:cs="Times New Roman"/>
          <w:i/>
          <w:sz w:val="24"/>
          <w:szCs w:val="24"/>
        </w:rPr>
        <w:t xml:space="preserve">odelle </w:t>
      </w:r>
      <w:r>
        <w:rPr>
          <w:rFonts w:ascii="Times New Roman" w:hAnsi="Times New Roman" w:cs="Times New Roman"/>
          <w:i/>
          <w:sz w:val="24"/>
          <w:szCs w:val="24"/>
        </w:rPr>
        <w:t xml:space="preserve">bei </w:t>
      </w:r>
      <w:r w:rsidR="00830B98" w:rsidRPr="000C03D8">
        <w:rPr>
          <w:rFonts w:ascii="Times New Roman" w:hAnsi="Times New Roman" w:cs="Times New Roman"/>
          <w:i/>
          <w:sz w:val="24"/>
          <w:szCs w:val="24"/>
        </w:rPr>
        <w:t xml:space="preserve">der </w:t>
      </w:r>
      <w:proofErr w:type="spellStart"/>
      <w:r w:rsidR="00830B98" w:rsidRPr="000C03D8">
        <w:rPr>
          <w:rFonts w:ascii="Times New Roman" w:hAnsi="Times New Roman" w:cs="Times New Roman"/>
          <w:i/>
          <w:sz w:val="24"/>
          <w:szCs w:val="24"/>
        </w:rPr>
        <w:t>step</w:t>
      </w:r>
      <w:proofErr w:type="spellEnd"/>
      <w:r w:rsidR="00830B98" w:rsidRPr="000C03D8">
        <w:rPr>
          <w:rFonts w:ascii="Times New Roman" w:hAnsi="Times New Roman" w:cs="Times New Roman"/>
          <w:i/>
          <w:sz w:val="24"/>
          <w:szCs w:val="24"/>
        </w:rPr>
        <w:t>-down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A235A2"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562A51">
        <w:trPr>
          <w:trHeight w:hRule="exact" w:val="284"/>
        </w:trPr>
        <w:tc>
          <w:tcPr>
            <w:tcW w:w="2608" w:type="dxa"/>
            <w:tcBorders>
              <w:top w:val="single" w:sz="4" w:space="0" w:color="auto"/>
            </w:tcBorders>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Borders>
              <w:top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Borders>
              <w:top w:val="single" w:sz="4" w:space="0" w:color="auto"/>
            </w:tcBorders>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 xml:space="preserve">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w:t>
      </w:r>
      <w:r w:rsidR="00C56B62" w:rsidRPr="000C03D8">
        <w:rPr>
          <w:rFonts w:ascii="Times New Roman" w:hAnsi="Times New Roman" w:cs="Times New Roman"/>
          <w:sz w:val="24"/>
          <w:szCs w:val="24"/>
        </w:rPr>
        <w:lastRenderedPageBreak/>
        <w:t xml:space="preserve">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rsidR="00CB2B9C"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53pt;height:280.2pt">
            <v:imagedata r:id="rId21" o:title="Abbildung 14"/>
          </v:shape>
        </w:pict>
      </w: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 xml:space="preserve">est für </w:t>
      </w:r>
      <w:r w:rsidR="006C5A05" w:rsidRPr="000C03D8">
        <w:rPr>
          <w:rFonts w:ascii="Times New Roman" w:hAnsi="Times New Roman" w:cs="Times New Roman"/>
          <w:sz w:val="24"/>
          <w:szCs w:val="24"/>
        </w:rPr>
        <w:lastRenderedPageBreak/>
        <w:t>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w:t>
      </w:r>
      <w:proofErr w:type="spellStart"/>
      <w:r w:rsidR="00CE73A8" w:rsidRPr="000C03D8">
        <w:rPr>
          <w:rFonts w:ascii="Times New Roman" w:hAnsi="Times New Roman" w:cs="Times New Roman"/>
          <w:sz w:val="24"/>
          <w:szCs w:val="24"/>
        </w:rPr>
        <w:t>Boxplots</w:t>
      </w:r>
      <w:proofErr w:type="spellEnd"/>
      <w:r w:rsidR="00CE73A8" w:rsidRPr="000C03D8">
        <w:rPr>
          <w:rFonts w:ascii="Times New Roman" w:hAnsi="Times New Roman" w:cs="Times New Roman"/>
          <w:sz w:val="24"/>
          <w:szCs w:val="24"/>
        </w:rPr>
        <w:t xml:space="preserve">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412FA3" w:rsidRDefault="00412FA3"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für das originale Powerspektrum ohne Abzug der aperiodischen Komponente</w:t>
      </w:r>
    </w:p>
    <w:p w:rsidR="002C2F0B"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4pt;height:261.6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C43452" w:rsidRDefault="00C43452">
      <w:pPr>
        <w:rPr>
          <w:rFonts w:ascii="Times New Roman" w:eastAsiaTheme="majorEastAsia" w:hAnsi="Times New Roman" w:cs="Times New Roman"/>
          <w:b/>
          <w:sz w:val="32"/>
          <w:szCs w:val="32"/>
        </w:rPr>
      </w:pPr>
      <w:r>
        <w:rPr>
          <w:rFonts w:ascii="Times New Roman" w:hAnsi="Times New Roman" w:cs="Times New Roman"/>
          <w:b/>
        </w:rPr>
        <w:br w:type="page"/>
      </w:r>
    </w:p>
    <w:p w:rsidR="00103A37" w:rsidRPr="000C03D8" w:rsidRDefault="00103A37" w:rsidP="00337758">
      <w:pPr>
        <w:pStyle w:val="berschrift1"/>
        <w:spacing w:line="480" w:lineRule="auto"/>
        <w:jc w:val="center"/>
        <w:rPr>
          <w:rFonts w:ascii="Times New Roman" w:hAnsi="Times New Roman" w:cs="Times New Roman"/>
          <w:b/>
          <w:color w:val="auto"/>
        </w:rPr>
      </w:pPr>
      <w:bookmarkStart w:id="30" w:name="_Toc104032893"/>
      <w:r w:rsidRPr="000C03D8">
        <w:rPr>
          <w:rFonts w:ascii="Times New Roman" w:hAnsi="Times New Roman" w:cs="Times New Roman"/>
          <w:b/>
          <w:color w:val="auto"/>
        </w:rPr>
        <w:lastRenderedPageBreak/>
        <w:t>4. Diskussion</w:t>
      </w:r>
      <w:bookmarkEnd w:id="30"/>
    </w:p>
    <w:p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w:t>
      </w:r>
      <w:r w:rsidR="00421F7B">
        <w:rPr>
          <w:rFonts w:ascii="Times New Roman" w:hAnsi="Times New Roman" w:cs="Times New Roman"/>
          <w:sz w:val="24"/>
          <w:szCs w:val="24"/>
        </w:rPr>
        <w:t>entwickelt und etabliert worden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FD74C6">
        <w:rPr>
          <w:rFonts w:ascii="Times New Roman" w:hAnsi="Times New Roman" w:cs="Times New Roman"/>
          <w:sz w:val="24"/>
          <w:szCs w:val="24"/>
        </w:rPr>
        <w:t xml:space="preserve"> </w:t>
      </w:r>
      <w:r w:rsidR="00FD74C6">
        <w:rPr>
          <w:rFonts w:ascii="Times New Roman" w:hAnsi="Times New Roman" w:cs="Times New Roman"/>
          <w:sz w:val="24"/>
          <w:szCs w:val="24"/>
        </w:rPr>
        <w:fldChar w:fldCharType="begin"/>
      </w:r>
      <w:r w:rsidR="00FD74C6">
        <w:rPr>
          <w:rFonts w:ascii="Times New Roman" w:hAnsi="Times New Roman" w:cs="Times New Roman"/>
          <w:sz w:val="24"/>
          <w:szCs w:val="24"/>
        </w:rPr>
        <w:instrText xml:space="preserve"> ADDIN ZOTERO_ITEM CSL_CITATION {"citationID":"p0MKFpTi","properties":{"formattedCitation":"(Deuschl et al., 2006)","plainCitation":"(Deuschl et al., 2006)","noteIndex":0},"citationItems":[{"id":159,"uris":["http://zotero.org/users/local/AhaM3qLx/items/HAA5PMHW"],"itemData":{"id":159,"type":"article-journal","abstract":"BACKGROUND Neurostimulation of the subthalamic nucleus reduces levodopa-related motor complications in advanced Parkinson’s disease. We compared this treatment plus medication with medical management.\nMETHODS In this randomized-pairs trial, we enrolled 156 patients with advanced Parkinson’s disease and severe motor symptoms. The primary end points were the changes from baseline to six months in the quality of life, as assessed by the Parkinson’s Disease Questionnaire (PDQ-39), and the severity of symptoms without medication, according to the Unified Parkinson’s Disease Rating Scale, part III (UPDRS-III).\nRESULTS Pairwise comparisons showed that neurostimulation, as compared with medication alone, caused greater improvements from baseline to six months in the PDQ-39 (50 of 78 pairs, P=0.02) and the UPDRS-III (55 of 78, P&lt;0.001), with mean improvements of 9.5 and 19.6 points, respectively. Neurostimulation resulted in improvements of 24 to 38 percent in the PDQ-39 subscales for mobility, activities of daily living, emotional well-being, stigma, and bodily discomfort. Serious adverse events were more common with neurostimulation than with medication alone (13 percent vs. 4 percent, P&lt;0.04) and included a fatal intracerebral hemorrhage. The overall frequency of adverse events was higher in the medication group (64 percent vs. 50 percent, P=0.08).\nCONCLUSIONS In this six-month study of patients under 75 years of age with severe motor complications of Parkinson’s disease, neurostimulation of the subthalamic nucleus was more effective than medical management alone. (ClinicalTrials.gov number, NCT00196911.)","container-title":"n engl j med","language":"en","page":"13","source":"Zotero","title":"A Randomized Trial of Deep-Brain Stimulation for Parkinson's Disease","author":[{"family":"Deuschl","given":"Günther"},{"family":"Krack","given":"Paul"},{"family":"Bötzel","given":"Kai"},{"family":"Dillmann","given":"Ulrich"},{"family":"Gruber","given":"Doreen"},{"family":"Hilker","given":"Rüdiger"},{"family":"Koy","given":"Jan"},{"family":"Lorenz","given":"Delia"},{"family":"Mehdorn","given":"H Maximilian"},{"family":"Oertel","given":"Wolfgang"},{"family":"Reichmann","given":"Heinz"},{"family":"Schneider","given":"Gerd-Helge"},{"family":"Steude","given":"Ulrich"},{"family":"Tronnier","given":"Volker"},{"family":"Wolf","given":"Elisabeth"},{"family":"Voges","given":"Jürgen"}],"issued":{"date-parts":[["2006"]]}}}],"schema":"https://github.com/citation-style-language/schema/raw/master/csl-citation.json"} </w:instrText>
      </w:r>
      <w:r w:rsidR="00FD74C6">
        <w:rPr>
          <w:rFonts w:ascii="Times New Roman" w:hAnsi="Times New Roman" w:cs="Times New Roman"/>
          <w:sz w:val="24"/>
          <w:szCs w:val="24"/>
        </w:rPr>
        <w:fldChar w:fldCharType="separate"/>
      </w:r>
      <w:r w:rsidR="00FD74C6" w:rsidRPr="00FD74C6">
        <w:rPr>
          <w:rFonts w:ascii="Times New Roman" w:hAnsi="Times New Roman" w:cs="Times New Roman"/>
          <w:sz w:val="24"/>
        </w:rPr>
        <w:t>(Deuschl et al., 2006)</w:t>
      </w:r>
      <w:r w:rsidR="00FD74C6">
        <w:rPr>
          <w:rFonts w:ascii="Times New Roman" w:hAnsi="Times New Roman" w:cs="Times New Roman"/>
          <w:sz w:val="24"/>
          <w:szCs w:val="24"/>
        </w:rPr>
        <w:fldChar w:fldCharType="end"/>
      </w:r>
      <w:r w:rsidRPr="000C03D8">
        <w:rPr>
          <w:rFonts w:ascii="Times New Roman" w:hAnsi="Times New Roman" w:cs="Times New Roman"/>
          <w:sz w:val="24"/>
          <w:szCs w:val="24"/>
        </w:rPr>
        <w: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{"citationID":"N0UDNqiR","properties":{"formattedCitation":"(Poewe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r w:rsidR="00A51B3E" w:rsidRPr="000C03D8">
        <w:rPr>
          <w:rFonts w:ascii="Times New Roman" w:hAnsi="Times New Roman" w:cs="Times New Roman"/>
          <w:sz w:val="24"/>
          <w:szCs w:val="24"/>
        </w:rPr>
        <w:t>.</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w:t>
      </w:r>
      <w:proofErr w:type="spellStart"/>
      <w:r w:rsidR="004D5968" w:rsidRPr="000C03D8">
        <w:rPr>
          <w:rFonts w:ascii="Times New Roman" w:hAnsi="Times New Roman" w:cs="Times New Roman"/>
          <w:sz w:val="24"/>
          <w:szCs w:val="24"/>
        </w:rPr>
        <w:t>dorsolaterale</w:t>
      </w:r>
      <w:proofErr w:type="spellEnd"/>
      <w:r w:rsidR="004D5968" w:rsidRPr="000C03D8">
        <w:rPr>
          <w:rFonts w:ascii="Times New Roman" w:hAnsi="Times New Roman" w:cs="Times New Roman"/>
          <w:sz w:val="24"/>
          <w:szCs w:val="24"/>
        </w:rPr>
        <w:t xml:space="preserve"> Bereich des STK 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omotorische Zentrum befindet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{"citationID":"OPPjxVqf","properties":{"formattedCitation":"(Verhagen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4D5968"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{"citationID":"RIG5Vd8t","properties":{"formattedCitation":"(Verhagen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1C7A6F"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 xml:space="preserve">das </w:t>
      </w:r>
      <w:proofErr w:type="spellStart"/>
      <w:r w:rsidR="00BC6D48" w:rsidRPr="000C03D8">
        <w:rPr>
          <w:rFonts w:ascii="Times New Roman" w:hAnsi="Times New Roman" w:cs="Times New Roman"/>
          <w:sz w:val="24"/>
          <w:szCs w:val="24"/>
        </w:rPr>
        <w:t>oszillatorische</w:t>
      </w:r>
      <w:proofErr w:type="spellEnd"/>
      <w:r w:rsidR="00BC6D48" w:rsidRPr="000C03D8">
        <w:rPr>
          <w:rFonts w:ascii="Times New Roman" w:hAnsi="Times New Roman" w:cs="Times New Roman"/>
          <w:sz w:val="24"/>
          <w:szCs w:val="24"/>
        </w:rPr>
        <w:t xml:space="preserv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helfen können</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{"citationID":"3OiBn8pC","properties":{"formattedCitation":"(Thompson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Gut nachgewiesene Zusammenhänge, die für solche Programme bereits verwendet werden, sind die erhöhte Spike-Aktivität und Betapower im STK</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{"citationID":"AFNKC0QI","properties":{"formattedCitation":"(Thompson et al., 2018; Zaidel et al., 2010)","plainCitation":"(Thompson et al., 2018; Zaidel et al., 2010)","noteIndex":0},"citationItems":[{"id":53,"uris":["http://zotero.org/users/local/AhaM3qLx/items/88CCW76M"],"itemData":{"id":53,"type":"article-journal","abstract":"OBJECTIVE 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 Zaidel et al., 2010)</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xml:space="preserve">.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9F71B9">
        <w:rPr>
          <w:rFonts w:ascii="Times New Roman" w:hAnsi="Times New Roman" w:cs="Times New Roman"/>
          <w:sz w:val="24"/>
          <w:szCs w:val="24"/>
        </w:rPr>
        <w:t xml:space="preserve"> neuronalen </w:t>
      </w:r>
      <w:r w:rsidR="005A5DA1">
        <w:rPr>
          <w:rFonts w:ascii="Times New Roman" w:hAnsi="Times New Roman" w:cs="Times New Roman"/>
          <w:sz w:val="24"/>
          <w:szCs w:val="24"/>
        </w:rP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473C73" w:rsidRPr="00473C73" w:rsidRDefault="00473C73" w:rsidP="00473C73">
      <w:pPr>
        <w:pStyle w:val="berschrift2"/>
        <w:spacing w:line="480" w:lineRule="auto"/>
        <w:rPr>
          <w:rFonts w:ascii="Times New Roman" w:hAnsi="Times New Roman" w:cs="Times New Roman"/>
          <w:b/>
          <w:color w:val="auto"/>
          <w:sz w:val="28"/>
          <w:szCs w:val="28"/>
        </w:rPr>
      </w:pPr>
      <w:bookmarkStart w:id="31" w:name="_Toc104032894"/>
      <w:r>
        <w:rPr>
          <w:rFonts w:ascii="Times New Roman" w:hAnsi="Times New Roman" w:cs="Times New Roman"/>
          <w:b/>
          <w:color w:val="auto"/>
          <w:sz w:val="28"/>
          <w:szCs w:val="28"/>
        </w:rPr>
        <w:lastRenderedPageBreak/>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bookmarkEnd w:id="31"/>
    </w:p>
    <w:p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{"citationID":"UFOvDanR","properties":{"formattedCitation":"(Thompson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8F1774" w:rsidRPr="000C03D8">
        <w:rPr>
          <w:rFonts w:ascii="Times New Roman" w:hAnsi="Times New Roman" w:cs="Times New Roman"/>
          <w:sz w:val="24"/>
          <w:szCs w:val="24"/>
        </w:rPr>
        <w:t xml:space="preserve">. Die Betapower wird genutzt, </w:t>
      </w:r>
      <w:r w:rsidR="001324D7" w:rsidRPr="000C03D8">
        <w:rPr>
          <w:rFonts w:ascii="Times New Roman" w:hAnsi="Times New Roman" w:cs="Times New Roman"/>
          <w:sz w:val="24"/>
          <w:szCs w:val="24"/>
        </w:rPr>
        <w:t xml:space="preserve">um die Nähe zum </w:t>
      </w:r>
      <w:proofErr w:type="spellStart"/>
      <w:r w:rsidR="001324D7" w:rsidRPr="000C03D8">
        <w:rPr>
          <w:rFonts w:ascii="Times New Roman" w:hAnsi="Times New Roman" w:cs="Times New Roman"/>
          <w:sz w:val="24"/>
          <w:szCs w:val="24"/>
        </w:rPr>
        <w:t>dorsolateralen</w:t>
      </w:r>
      <w:proofErr w:type="spellEnd"/>
      <w:r w:rsidR="001324D7" w:rsidRPr="000C03D8">
        <w:rPr>
          <w:rFonts w:ascii="Times New Roman" w:hAnsi="Times New Roman" w:cs="Times New Roman"/>
          <w:sz w:val="24"/>
          <w:szCs w:val="24"/>
        </w:rPr>
        <w:t xml:space="preserve"> Bereich des STK zu schätzen</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{"citationID":"9BGGIJQj","properties":{"formattedCitation":"(Thompson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1324D7" w:rsidRPr="000C03D8">
        <w:rPr>
          <w:rFonts w:ascii="Times New Roman" w:hAnsi="Times New Roman" w:cs="Times New Roman"/>
          <w:sz w:val="24"/>
          <w:szCs w:val="24"/>
        </w:rPr>
        <w:t xml:space="preserve">.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in der Nähe 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Die Tatsac</w:t>
      </w:r>
      <w:r w:rsidR="00C341A2">
        <w:rPr>
          <w:rFonts w:ascii="Times New Roman" w:hAnsi="Times New Roman" w:cs="Times New Roman"/>
          <w:sz w:val="24"/>
          <w:szCs w:val="24"/>
        </w:rPr>
        <w:t>he, dass der RMS in der Nähe der</w:t>
      </w:r>
      <w:r w:rsidR="003542BC" w:rsidRPr="000C03D8">
        <w:rPr>
          <w:rFonts w:ascii="Times New Roman" w:hAnsi="Times New Roman" w:cs="Times New Roman"/>
          <w:sz w:val="24"/>
          <w:szCs w:val="24"/>
        </w:rPr>
        <w:t xml:space="preserve"> Zielposition signifikant größer ist als in weiter Entfernung von der Zielposition, war zu erwarten, da diese Information </w:t>
      </w:r>
      <w:r w:rsidR="00C341A2">
        <w:rPr>
          <w:rFonts w:ascii="Times New Roman" w:hAnsi="Times New Roman" w:cs="Times New Roman"/>
          <w:sz w:val="24"/>
          <w:szCs w:val="24"/>
        </w:rPr>
        <w:t xml:space="preserve">bereits </w:t>
      </w:r>
      <w:r w:rsidR="003542BC" w:rsidRPr="000C03D8">
        <w:rPr>
          <w:rFonts w:ascii="Times New Roman" w:hAnsi="Times New Roman" w:cs="Times New Roman"/>
          <w:sz w:val="24"/>
          <w:szCs w:val="24"/>
        </w:rPr>
        <w:t>während der Operation genutzt wird, um zu bestimmen, ob sich die Elektrode im STK befindet</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{"citationID":"MqI7U4H7","properties":{"formattedCitation":"(Thompson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 xml:space="preserve">.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rsidRPr="000C03D8">
        <w:rPr>
          <w:rFonts w:ascii="Times New Roman" w:hAnsi="Times New Roman" w:cs="Times New Roman"/>
          <w:sz w:val="24"/>
          <w:szCs w:val="24"/>
        </w:rPr>
        <w:t>dorsolateralen</w:t>
      </w:r>
      <w:proofErr w:type="spellEnd"/>
      <w:r w:rsidR="003542BC" w:rsidRPr="000C03D8">
        <w:rPr>
          <w:rFonts w:ascii="Times New Roman" w:hAnsi="Times New Roman" w:cs="Times New Roman"/>
          <w:sz w:val="24"/>
          <w:szCs w:val="24"/>
        </w:rPr>
        <w:t xml:space="preserve"> Bereich zu schätzen</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{"citationID":"XjiFONzz","properties":{"formattedCitation":"(Thompson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w:t>
      </w:r>
    </w:p>
    <w:p w:rsidR="003F5D4B" w:rsidRPr="003F5D4B" w:rsidRDefault="003F5D4B" w:rsidP="003F5D4B">
      <w:pPr>
        <w:pStyle w:val="berschrift2"/>
        <w:spacing w:line="480" w:lineRule="auto"/>
        <w:rPr>
          <w:rFonts w:ascii="Times New Roman" w:hAnsi="Times New Roman" w:cs="Times New Roman"/>
          <w:b/>
          <w:color w:val="auto"/>
          <w:sz w:val="28"/>
          <w:szCs w:val="28"/>
        </w:rPr>
      </w:pPr>
      <w:bookmarkStart w:id="32" w:name="_Toc104032895"/>
      <w:r>
        <w:rPr>
          <w:rFonts w:ascii="Times New Roman" w:hAnsi="Times New Roman" w:cs="Times New Roman"/>
          <w:b/>
          <w:color w:val="auto"/>
          <w:sz w:val="28"/>
          <w:szCs w:val="28"/>
        </w:rPr>
        <w:t>4.2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bookmarkEnd w:id="32"/>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lastRenderedPageBreak/>
        <w:fldChar w:fldCharType="begin"/>
      </w:r>
      <w:r w:rsidR="00FF519D">
        <w:rPr>
          <w:rFonts w:ascii="Times New Roman" w:hAnsi="Times New Roman" w:cs="Times New Roman"/>
          <w:sz w:val="24"/>
          <w:szCs w:val="24"/>
        </w:rPr>
        <w:instrText xml:space="preserve"> ADDIN ZOTERO_ITEM CSL_CITATION {"citationID":"G5SO7a6u","properties":{"formattedCitation":"(Donoghue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(Donoghue et al., 2020)</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{"citationID":"MBzJ9B99","properties":{"formattedCitation":"(Gerster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FF519D">
        <w:rPr>
          <w:rFonts w:ascii="Cambria Math" w:hAnsi="Cambria Math" w:cs="Cambria Math"/>
          <w:sz w:val="24"/>
          <w:szCs w:val="24"/>
        </w:rPr>
        <w:instrText>∝</w:instrText>
      </w:r>
      <w:r w:rsidR="00FF519D">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(Gerster et al., 2022)</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0823D8" w:rsidRPr="000823D8" w:rsidRDefault="000823D8" w:rsidP="000823D8">
      <w:pPr>
        <w:pStyle w:val="berschrift2"/>
        <w:spacing w:line="480" w:lineRule="auto"/>
        <w:rPr>
          <w:rFonts w:ascii="Times New Roman" w:hAnsi="Times New Roman" w:cs="Times New Roman"/>
          <w:b/>
          <w:color w:val="auto"/>
          <w:sz w:val="28"/>
          <w:szCs w:val="28"/>
        </w:rPr>
      </w:pPr>
      <w:bookmarkStart w:id="33" w:name="_Toc104032896"/>
      <w:r>
        <w:rPr>
          <w:rFonts w:ascii="Times New Roman" w:hAnsi="Times New Roman" w:cs="Times New Roman"/>
          <w:b/>
          <w:color w:val="auto"/>
          <w:sz w:val="28"/>
          <w:szCs w:val="28"/>
        </w:rPr>
        <w:t>4.3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bookmarkEnd w:id="33"/>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w:t>
      </w:r>
      <w:r w:rsidR="00F31DD7" w:rsidRPr="000C03D8">
        <w:rPr>
          <w:rFonts w:ascii="Times New Roman" w:hAnsi="Times New Roman" w:cs="Times New Roman"/>
          <w:sz w:val="24"/>
          <w:szCs w:val="24"/>
        </w:rPr>
        <w:lastRenderedPageBreak/>
        <w:t>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EF4228" w:rsidRPr="00EF4228" w:rsidRDefault="00EF4228" w:rsidP="00EF4228">
      <w:pPr>
        <w:pStyle w:val="berschrift2"/>
        <w:spacing w:line="480" w:lineRule="auto"/>
        <w:rPr>
          <w:rFonts w:ascii="Times New Roman" w:hAnsi="Times New Roman" w:cs="Times New Roman"/>
          <w:b/>
          <w:color w:val="auto"/>
          <w:sz w:val="28"/>
          <w:szCs w:val="28"/>
        </w:rPr>
      </w:pPr>
      <w:bookmarkStart w:id="34" w:name="_Toc104032897"/>
      <w:r>
        <w:rPr>
          <w:rFonts w:ascii="Times New Roman" w:hAnsi="Times New Roman" w:cs="Times New Roman"/>
          <w:b/>
          <w:color w:val="auto"/>
          <w:sz w:val="28"/>
          <w:szCs w:val="28"/>
        </w:rPr>
        <w:t>4.4</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Limitationen und Stärken</w:t>
      </w:r>
      <w:bookmarkEnd w:id="34"/>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 xml:space="preserve">Das bedeutet, dass durch einen </w:t>
      </w:r>
      <w:r w:rsidR="00E00DBC" w:rsidRPr="000C03D8">
        <w:rPr>
          <w:rFonts w:ascii="Times New Roman" w:hAnsi="Times New Roman" w:cs="Times New Roman"/>
          <w:sz w:val="24"/>
          <w:szCs w:val="24"/>
        </w:rPr>
        <w:lastRenderedPageBreak/>
        <w:t>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D049A4"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331.2pt;height:204.6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C43452" w:rsidRDefault="00C43452" w:rsidP="002470B9">
      <w:pPr>
        <w:tabs>
          <w:tab w:val="left" w:pos="5604"/>
        </w:tabs>
        <w:spacing w:line="480" w:lineRule="auto"/>
        <w:jc w:val="both"/>
        <w:rPr>
          <w:rFonts w:ascii="Times New Roman" w:hAnsi="Times New Roman" w:cs="Times New Roman"/>
          <w:b/>
          <w:sz w:val="24"/>
          <w:szCs w:val="24"/>
        </w:rPr>
      </w:pPr>
    </w:p>
    <w:p w:rsidR="00C43452" w:rsidRDefault="00C43452" w:rsidP="002470B9">
      <w:pPr>
        <w:tabs>
          <w:tab w:val="left" w:pos="6552"/>
        </w:tabs>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17</w:t>
      </w:r>
    </w:p>
    <w:p w:rsidR="006A7F34" w:rsidRPr="000C03D8" w:rsidRDefault="006A7F34"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ohne Bereinigung der Datensätze, die eine schlechte Schätzung gezeigt haben</w:t>
      </w:r>
    </w:p>
    <w:p w:rsidR="006A7F34" w:rsidRPr="000C03D8" w:rsidRDefault="00D049A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455.4pt;height:282pt">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D049A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51.8pt;height:197.4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w:t>
      </w:r>
      <w:r w:rsidR="007E5E91">
        <w:rPr>
          <w:rFonts w:ascii="Times New Roman" w:hAnsi="Times New Roman" w:cs="Times New Roman"/>
          <w:i/>
          <w:sz w:val="24"/>
          <w:szCs w:val="24"/>
        </w:rPr>
        <w:t>he Komponente der Bedingung „fern</w:t>
      </w:r>
      <w:r w:rsidRPr="000C03D8">
        <w:rPr>
          <w:rFonts w:ascii="Times New Roman" w:hAnsi="Times New Roman" w:cs="Times New Roman"/>
          <w:i/>
          <w:sz w:val="24"/>
          <w:szCs w:val="24"/>
        </w:rPr>
        <w:t>“</w:t>
      </w:r>
    </w:p>
    <w:p w:rsidR="009E6828" w:rsidRPr="000C03D8" w:rsidRDefault="00D049A4"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3" type="#_x0000_t75" style="width:459pt;height:202.8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w:t>
      </w:r>
      <w:r w:rsidR="005643EF" w:rsidRPr="000C03D8">
        <w:rPr>
          <w:rFonts w:ascii="Times New Roman" w:hAnsi="Times New Roman" w:cs="Times New Roman"/>
          <w:sz w:val="24"/>
          <w:szCs w:val="24"/>
        </w:rPr>
        <w:lastRenderedPageBreak/>
        <w:t>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w:t>
      </w:r>
      <w:r w:rsidR="00A51FD5">
        <w:rPr>
          <w:rFonts w:ascii="Times New Roman" w:hAnsi="Times New Roman" w:cs="Times New Roman"/>
          <w:sz w:val="24"/>
          <w:szCs w:val="24"/>
        </w:rPr>
        <w:t>er</w:t>
      </w:r>
      <w:r w:rsidR="00B86607" w:rsidRPr="000C03D8">
        <w:rPr>
          <w:rFonts w:ascii="Times New Roman" w:hAnsi="Times New Roman" w:cs="Times New Roman"/>
          <w:sz w:val="24"/>
          <w:szCs w:val="24"/>
        </w:rPr>
        <w:t xml:space="preserve">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B26A1B">
        <w:rPr>
          <w:rFonts w:ascii="Times New Roman" w:hAnsi="Times New Roman" w:cs="Times New Roman"/>
          <w:sz w:val="24"/>
          <w:szCs w:val="24"/>
        </w:rPr>
        <w:t xml:space="preserve">Sowohl durch einen einfachen </w:t>
      </w:r>
      <w:r w:rsidR="00B26A1B" w:rsidRPr="00B26A1B">
        <w:rPr>
          <w:rFonts w:ascii="Times New Roman" w:hAnsi="Times New Roman" w:cs="Times New Roman"/>
          <w:i/>
          <w:sz w:val="24"/>
          <w:szCs w:val="24"/>
        </w:rPr>
        <w:t>t</w:t>
      </w:r>
      <w:r w:rsidR="00B26A1B">
        <w:rPr>
          <w:rFonts w:ascii="Times New Roman" w:hAnsi="Times New Roman" w:cs="Times New Roman"/>
          <w:sz w:val="24"/>
          <w:szCs w:val="24"/>
        </w:rPr>
        <w:t xml:space="preserve">-Test </w:t>
      </w:r>
      <w:r w:rsidR="00D575BA">
        <w:rPr>
          <w:rFonts w:ascii="Times New Roman" w:hAnsi="Times New Roman" w:cs="Times New Roman"/>
          <w:sz w:val="24"/>
          <w:szCs w:val="24"/>
        </w:rPr>
        <w:t>als auch durch ein komplexeres Linear Mixed M</w:t>
      </w:r>
      <w:r w:rsidR="00B26A1B">
        <w:rPr>
          <w:rFonts w:ascii="Times New Roman" w:hAnsi="Times New Roman" w:cs="Times New Roman"/>
          <w:sz w:val="24"/>
          <w:szCs w:val="24"/>
        </w:rPr>
        <w:t>odel konnte mit den vorliegenden Daten erneut gezeigt werden, dass die</w:t>
      </w:r>
      <w:r w:rsidR="00F76F35">
        <w:rPr>
          <w:rFonts w:ascii="Times New Roman" w:hAnsi="Times New Roman" w:cs="Times New Roman"/>
          <w:sz w:val="24"/>
          <w:szCs w:val="24"/>
        </w:rPr>
        <w:t xml:space="preserve"> Spike-Aktivität innerhalb der STK</w:t>
      </w:r>
      <w:r w:rsidR="00B26A1B">
        <w:rPr>
          <w:rFonts w:ascii="Times New Roman" w:hAnsi="Times New Roman" w:cs="Times New Roman"/>
          <w:sz w:val="24"/>
          <w:szCs w:val="24"/>
        </w:rPr>
        <w:t xml:space="preserve"> größer ist als außerhalb</w:t>
      </w:r>
      <w:r w:rsidR="00F371D9">
        <w:rPr>
          <w:rFonts w:ascii="Times New Roman" w:hAnsi="Times New Roman" w:cs="Times New Roman"/>
          <w:sz w:val="24"/>
          <w:szCs w:val="24"/>
        </w:rPr>
        <w:t xml:space="preserve"> der STK</w:t>
      </w:r>
      <w:r w:rsidR="00B26A1B">
        <w:rPr>
          <w:rFonts w:ascii="Times New Roman" w:hAnsi="Times New Roman" w:cs="Times New Roman"/>
          <w:sz w:val="24"/>
          <w:szCs w:val="24"/>
        </w:rPr>
        <w:t xml:space="preserve"> und linear größer wird, wenn die Elektrode sich der Zielposition der </w:t>
      </w:r>
      <w:r w:rsidR="00F76F35">
        <w:rPr>
          <w:rFonts w:ascii="Times New Roman" w:hAnsi="Times New Roman" w:cs="Times New Roman"/>
          <w:sz w:val="24"/>
          <w:szCs w:val="24"/>
        </w:rPr>
        <w:t xml:space="preserve">THS </w:t>
      </w:r>
      <w:r w:rsidR="00B26A1B">
        <w:rPr>
          <w:rFonts w:ascii="Times New Roman" w:hAnsi="Times New Roman" w:cs="Times New Roman"/>
          <w:sz w:val="24"/>
          <w:szCs w:val="24"/>
        </w:rPr>
        <w:t xml:space="preserve">nähert. Es wurde entschieden, </w:t>
      </w:r>
      <w:r w:rsidR="00B26A1B" w:rsidRPr="00F76F35">
        <w:rPr>
          <w:rFonts w:ascii="Times New Roman" w:hAnsi="Times New Roman" w:cs="Times New Roman"/>
          <w:i/>
          <w:sz w:val="24"/>
          <w:szCs w:val="24"/>
        </w:rPr>
        <w:t>t</w:t>
      </w:r>
      <w:r w:rsidR="00B26A1B">
        <w:rPr>
          <w:rFonts w:ascii="Times New Roman" w:hAnsi="Times New Roman" w:cs="Times New Roman"/>
          <w:sz w:val="24"/>
          <w:szCs w:val="24"/>
        </w:rPr>
        <w:t>-Tests zu verwenden, um zu überprüfen, ob der einfache Unterschied</w:t>
      </w:r>
      <w:r w:rsidR="00F76F35">
        <w:rPr>
          <w:rFonts w:ascii="Times New Roman" w:hAnsi="Times New Roman" w:cs="Times New Roman"/>
          <w:sz w:val="24"/>
          <w:szCs w:val="24"/>
        </w:rPr>
        <w:t xml:space="preserve"> zwischen der Elektrode innerhalb der STK und der Elektrode außerhalb der STK auch für andere noch nie untersuchte Fälle zu finden ist.</w:t>
      </w:r>
      <w:r w:rsidR="00F371D9">
        <w:rPr>
          <w:rFonts w:ascii="Times New Roman" w:hAnsi="Times New Roman" w:cs="Times New Roman"/>
          <w:sz w:val="24"/>
          <w:szCs w:val="24"/>
        </w:rPr>
        <w:t xml:space="preserve"> Im Zusammenhang mit </w:t>
      </w:r>
      <w:r w:rsidR="003C570D">
        <w:rPr>
          <w:rFonts w:ascii="Times New Roman" w:hAnsi="Times New Roman" w:cs="Times New Roman"/>
          <w:sz w:val="24"/>
          <w:szCs w:val="24"/>
        </w:rPr>
        <w:t xml:space="preserve">THS </w:t>
      </w:r>
      <w:r w:rsidR="003C570D">
        <w:rPr>
          <w:rFonts w:ascii="Times New Roman" w:hAnsi="Times New Roman" w:cs="Times New Roman"/>
          <w:sz w:val="24"/>
          <w:szCs w:val="24"/>
        </w:rPr>
        <w:lastRenderedPageBreak/>
        <w:t>wurde</w:t>
      </w:r>
      <w:r w:rsidR="00F76F35">
        <w:rPr>
          <w:rFonts w:ascii="Times New Roman" w:hAnsi="Times New Roman" w:cs="Times New Roman"/>
          <w:sz w:val="24"/>
          <w:szCs w:val="24"/>
        </w:rPr>
        <w:t xml:space="preserve"> </w:t>
      </w:r>
      <w:r w:rsidR="003C570D">
        <w:rPr>
          <w:rFonts w:ascii="Times New Roman" w:hAnsi="Times New Roman" w:cs="Times New Roman"/>
          <w:sz w:val="24"/>
          <w:szCs w:val="24"/>
        </w:rPr>
        <w:t>d</w:t>
      </w:r>
      <w:r w:rsidR="00F371D9">
        <w:rPr>
          <w:rFonts w:ascii="Times New Roman" w:hAnsi="Times New Roman" w:cs="Times New Roman"/>
          <w:sz w:val="24"/>
          <w:szCs w:val="24"/>
        </w:rPr>
        <w:t>ie B</w:t>
      </w:r>
      <w:r w:rsidR="003C570D">
        <w:rPr>
          <w:rFonts w:ascii="Times New Roman" w:hAnsi="Times New Roman" w:cs="Times New Roman"/>
          <w:sz w:val="24"/>
          <w:szCs w:val="24"/>
        </w:rPr>
        <w:t>etapower</w:t>
      </w:r>
      <w:r w:rsidR="00F371D9">
        <w:rPr>
          <w:rFonts w:ascii="Times New Roman" w:hAnsi="Times New Roman" w:cs="Times New Roman"/>
          <w:sz w:val="24"/>
          <w:szCs w:val="24"/>
        </w:rPr>
        <w:t xml:space="preserve"> noch nie getrennt von der aperiodischen Komponente betrachtet und die aperiodische Komponente selbst </w:t>
      </w:r>
      <w:r w:rsidR="003C570D">
        <w:rPr>
          <w:rFonts w:ascii="Times New Roman" w:hAnsi="Times New Roman" w:cs="Times New Roman"/>
          <w:sz w:val="24"/>
          <w:szCs w:val="24"/>
        </w:rPr>
        <w:t xml:space="preserve">wurde </w:t>
      </w:r>
      <w:r w:rsidR="00EF2271">
        <w:rPr>
          <w:rFonts w:ascii="Times New Roman" w:hAnsi="Times New Roman" w:cs="Times New Roman"/>
          <w:sz w:val="24"/>
          <w:szCs w:val="24"/>
        </w:rPr>
        <w:t xml:space="preserve">grundsätzlich </w:t>
      </w:r>
      <w:r w:rsidR="00D575BA">
        <w:rPr>
          <w:rFonts w:ascii="Times New Roman" w:hAnsi="Times New Roman" w:cs="Times New Roman"/>
          <w:sz w:val="24"/>
          <w:szCs w:val="24"/>
        </w:rPr>
        <w:t>nicht betrachtet. Dass mittels Linear Mixed M</w:t>
      </w:r>
      <w:r w:rsidR="00EF2271">
        <w:rPr>
          <w:rFonts w:ascii="Times New Roman" w:hAnsi="Times New Roman" w:cs="Times New Roman"/>
          <w:sz w:val="24"/>
          <w:szCs w:val="24"/>
        </w:rPr>
        <w:t xml:space="preserve">odel ein negativer Zusammenhang zwischen aperiodischem Exponenten und Tiefe der Elektrode gefunden werden konnte, spricht dafür, dass die Berechnung der aperiodischen Komponente eventuell nicht komplett fehlgeschlagen ist, da </w:t>
      </w:r>
      <w:r w:rsidR="00D575BA">
        <w:rPr>
          <w:rFonts w:ascii="Times New Roman" w:hAnsi="Times New Roman" w:cs="Times New Roman"/>
          <w:sz w:val="24"/>
          <w:szCs w:val="24"/>
        </w:rPr>
        <w:t>dies ein Befund ist, der im A</w:t>
      </w:r>
      <w:r w:rsidR="00EF2271">
        <w:rPr>
          <w:rFonts w:ascii="Times New Roman" w:hAnsi="Times New Roman" w:cs="Times New Roman"/>
          <w:sz w:val="24"/>
          <w:szCs w:val="24"/>
        </w:rPr>
        <w:t xml:space="preserve">llgemeinen schon Mal gezeigt werden konnte </w:t>
      </w:r>
      <w:r w:rsidR="00EF2271">
        <w:rPr>
          <w:rFonts w:ascii="Times New Roman" w:hAnsi="Times New Roman" w:cs="Times New Roman"/>
          <w:sz w:val="24"/>
          <w:szCs w:val="24"/>
        </w:rPr>
        <w:fldChar w:fldCharType="begin"/>
      </w:r>
      <w:r w:rsidR="00EF2271">
        <w:rPr>
          <w:rFonts w:ascii="Times New Roman" w:hAnsi="Times New Roman" w:cs="Times New Roman"/>
          <w:sz w:val="24"/>
          <w:szCs w:val="24"/>
        </w:rPr>
        <w:instrText xml:space="preserve"> ADDIN ZOTERO_ITEM CSL_CITATION {"citationID":"TAnpv7zB","properties":{"formattedCitation":"(Halgren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EF2271">
        <w:rPr>
          <w:rFonts w:ascii="Times New Roman" w:hAnsi="Times New Roman" w:cs="Times New Roman"/>
          <w:sz w:val="24"/>
          <w:szCs w:val="24"/>
        </w:rPr>
        <w:fldChar w:fldCharType="separate"/>
      </w:r>
      <w:r w:rsidR="00EF2271" w:rsidRPr="00EF2271">
        <w:rPr>
          <w:rFonts w:ascii="Times New Roman" w:hAnsi="Times New Roman" w:cs="Times New Roman"/>
          <w:sz w:val="24"/>
        </w:rPr>
        <w:t>(Halgren et al., 2021)</w:t>
      </w:r>
      <w:r w:rsidR="00EF2271">
        <w:rPr>
          <w:rFonts w:ascii="Times New Roman" w:hAnsi="Times New Roman" w:cs="Times New Roman"/>
          <w:sz w:val="24"/>
          <w:szCs w:val="24"/>
        </w:rPr>
        <w:fldChar w:fldCharType="end"/>
      </w:r>
      <w:r w:rsidR="00EF2271">
        <w:rPr>
          <w:rFonts w:ascii="Times New Roman" w:hAnsi="Times New Roman" w:cs="Times New Roman"/>
          <w:sz w:val="24"/>
          <w:szCs w:val="24"/>
        </w:rPr>
        <w:t>. Auch wenn dieser Zusammenhang wieder verschwindet, wenn weitere Faktoren in das Regressionsmodell hinzugefügt werden, scheint der Zusammenhang, dass die Betapower innerhalb der STK größer ist als außerhalb der STK, relativ inkonsistent zu sein. Es besteht die Möglichkeit, dass die bisherigen Befunde zu diesem Bereich nur bedingt zutreffen. Die vorliegende Studie</w:t>
      </w:r>
      <w:r w:rsidRPr="000C03D8">
        <w:rPr>
          <w:rFonts w:ascii="Times New Roman" w:hAnsi="Times New Roman" w:cs="Times New Roman"/>
          <w:sz w:val="24"/>
          <w:szCs w:val="24"/>
        </w:rPr>
        <w:t xml:space="preserve"> bildet eine gute Grundlage mit einem neuen, ähnlich großen 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Zusammenhang sichtbar gewesen ist, liegt es nahe, dass mit einem </w:t>
      </w:r>
      <w:r w:rsidR="00D575BA">
        <w:rPr>
          <w:rFonts w:ascii="Times New Roman" w:hAnsi="Times New Roman" w:cs="Times New Roman"/>
          <w:sz w:val="24"/>
          <w:szCs w:val="24"/>
        </w:rPr>
        <w:t xml:space="preserve">besseren </w:t>
      </w:r>
      <w:r w:rsidR="0000363B" w:rsidRPr="000C03D8">
        <w:rPr>
          <w:rFonts w:ascii="Times New Roman" w:hAnsi="Times New Roman" w:cs="Times New Roman"/>
          <w:sz w:val="24"/>
          <w:szCs w:val="24"/>
        </w:rPr>
        <w:t xml:space="preserve">FOOOF-Algorithmus </w:t>
      </w:r>
      <w:r w:rsidR="00CC6B29" w:rsidRPr="000C03D8">
        <w:rPr>
          <w:rFonts w:ascii="Times New Roman" w:hAnsi="Times New Roman" w:cs="Times New Roman"/>
          <w:sz w:val="24"/>
          <w:szCs w:val="24"/>
        </w:rPr>
        <w:t xml:space="preserve">vielleicht </w:t>
      </w:r>
      <w:r w:rsidR="00EF2271">
        <w:rPr>
          <w:rFonts w:ascii="Times New Roman" w:hAnsi="Times New Roman" w:cs="Times New Roman"/>
          <w:sz w:val="24"/>
          <w:szCs w:val="24"/>
        </w:rPr>
        <w:t>genauere</w:t>
      </w:r>
      <w:r w:rsidR="003C64AC" w:rsidRPr="000C03D8">
        <w:rPr>
          <w:rFonts w:ascii="Times New Roman" w:hAnsi="Times New Roman" w:cs="Times New Roman"/>
          <w:sz w:val="24"/>
          <w:szCs w:val="24"/>
        </w:rPr>
        <w:t xml:space="preserv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w:t>
      </w:r>
      <w:r w:rsidR="008D44FD">
        <w:rPr>
          <w:rFonts w:ascii="Times New Roman" w:hAnsi="Times New Roman" w:cs="Times New Roman"/>
          <w:sz w:val="24"/>
          <w:szCs w:val="24"/>
        </w:rPr>
        <w:t>ein möglicher Einflussfaktor. Aber auch die Zusammenhänge zu den unterschiedlichen Symptomen von Morbus Parkinson sollten untersucht werden, um zu einer individuelleren Behandlung beizutragen.</w:t>
      </w:r>
      <w:r w:rsidR="00BA0AF1">
        <w:rPr>
          <w:rFonts w:ascii="Times New Roman" w:hAnsi="Times New Roman" w:cs="Times New Roman"/>
          <w:sz w:val="24"/>
          <w:szCs w:val="24"/>
        </w:rPr>
        <w:t xml:space="preserve"> Außerdem entspricht die Zielposition, die vor der OP berechnet wurde, nicht zwangsläufig exakt der Position, in der die Elektrode letztendlich implantiert wurde. Die Information, an welcher Position die Elektrode final implantiert wurde, könnte ebenfalls weitere Fragestellungen eröffnen.</w:t>
      </w:r>
    </w:p>
    <w:p w:rsidR="00F77CBB" w:rsidRDefault="00F77CBB">
      <w:pPr>
        <w:rPr>
          <w:rFonts w:ascii="Times New Roman" w:eastAsiaTheme="majorEastAsia" w:hAnsi="Times New Roman" w:cs="Times New Roman"/>
          <w:b/>
          <w:sz w:val="32"/>
          <w:szCs w:val="32"/>
        </w:rPr>
      </w:pPr>
      <w:r>
        <w:rPr>
          <w:rFonts w:ascii="Times New Roman" w:hAnsi="Times New Roman" w:cs="Times New Roman"/>
          <w:b/>
        </w:rPr>
        <w:br w:type="page"/>
      </w:r>
    </w:p>
    <w:p w:rsidR="003B4106" w:rsidRPr="000C03D8" w:rsidRDefault="003B4106" w:rsidP="00337758">
      <w:pPr>
        <w:pStyle w:val="berschrift1"/>
        <w:spacing w:line="480" w:lineRule="auto"/>
        <w:jc w:val="center"/>
        <w:rPr>
          <w:rFonts w:ascii="Times New Roman" w:hAnsi="Times New Roman" w:cs="Times New Roman"/>
          <w:b/>
          <w:color w:val="auto"/>
        </w:rPr>
      </w:pPr>
      <w:bookmarkStart w:id="35" w:name="_Toc104032898"/>
      <w:r w:rsidRPr="000C03D8">
        <w:rPr>
          <w:rFonts w:ascii="Times New Roman" w:hAnsi="Times New Roman" w:cs="Times New Roman"/>
          <w:b/>
          <w:color w:val="auto"/>
        </w:rPr>
        <w:lastRenderedPageBreak/>
        <w:t>Fazit</w:t>
      </w:r>
      <w:bookmarkEnd w:id="35"/>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D50B37">
      <w:pPr>
        <w:pStyle w:val="berschrift1"/>
        <w:spacing w:line="480" w:lineRule="auto"/>
        <w:jc w:val="center"/>
        <w:rPr>
          <w:rFonts w:ascii="Times New Roman" w:hAnsi="Times New Roman" w:cs="Times New Roman"/>
          <w:b/>
          <w:color w:val="auto"/>
        </w:rPr>
      </w:pPr>
      <w:bookmarkStart w:id="36" w:name="_Toc10403289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36"/>
    </w:p>
    <w:p w:rsidR="00D50B37" w:rsidRPr="00D50B37" w:rsidRDefault="00D26C2C"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fldChar w:fldCharType="begin"/>
      </w:r>
      <w:r w:rsidR="00D556BB" w:rsidRPr="00D049A4">
        <w:rPr>
          <w:rFonts w:ascii="Times New Roman" w:hAnsi="Times New Roman" w:cs="Times New Roman"/>
          <w:sz w:val="24"/>
          <w:szCs w:val="24"/>
        </w:rPr>
        <w:instrText xml:space="preserve"> ADDIN ZOTERO_BIBL {"uncited":[],"omitted":[],"custom":[]} CSL_BIBLIOGRAPHY </w:instrText>
      </w:r>
      <w:r w:rsidRPr="00D50B37">
        <w:rPr>
          <w:rFonts w:ascii="Times New Roman" w:hAnsi="Times New Roman" w:cs="Times New Roman"/>
          <w:sz w:val="24"/>
          <w:szCs w:val="24"/>
          <w:lang w:val="en-US"/>
        </w:rPr>
        <w:fldChar w:fldCharType="separate"/>
      </w:r>
      <w:r w:rsidR="00D50B37" w:rsidRPr="00D049A4">
        <w:rPr>
          <w:rFonts w:ascii="Times New Roman" w:hAnsi="Times New Roman" w:cs="Times New Roman"/>
          <w:sz w:val="24"/>
          <w:szCs w:val="24"/>
        </w:rPr>
        <w:t xml:space="preserve">Abosch, A., Timmermann, L., Bartley, S., Rietkerk, H. G., Whiting, D., Connolly, P. J., Lanctin, D., &amp; Hariz, M. I. (2013). </w:t>
      </w:r>
      <w:r w:rsidR="00D50B37" w:rsidRPr="00D50B37">
        <w:rPr>
          <w:rFonts w:ascii="Times New Roman" w:hAnsi="Times New Roman" w:cs="Times New Roman"/>
          <w:sz w:val="24"/>
          <w:szCs w:val="24"/>
          <w:lang w:val="en-US"/>
        </w:rPr>
        <w:t xml:space="preserve">An International Survey of Deep Brain Stimulation Procedural Steps. </w:t>
      </w:r>
      <w:r w:rsidR="00D50B37" w:rsidRPr="00D50B37">
        <w:rPr>
          <w:rFonts w:ascii="Times New Roman" w:hAnsi="Times New Roman" w:cs="Times New Roman"/>
          <w:i/>
          <w:iCs/>
          <w:sz w:val="24"/>
          <w:szCs w:val="24"/>
          <w:lang w:val="en-US"/>
        </w:rPr>
        <w:t>Stereotactic and Functional Neurosurgery</w:t>
      </w:r>
      <w:r w:rsidR="00D50B37" w:rsidRPr="00D50B37">
        <w:rPr>
          <w:rFonts w:ascii="Times New Roman" w:hAnsi="Times New Roman" w:cs="Times New Roman"/>
          <w:sz w:val="24"/>
          <w:szCs w:val="24"/>
          <w:lang w:val="en-US"/>
        </w:rPr>
        <w:t xml:space="preserve">, </w:t>
      </w:r>
      <w:r w:rsidR="00D50B37" w:rsidRPr="00D50B37">
        <w:rPr>
          <w:rFonts w:ascii="Times New Roman" w:hAnsi="Times New Roman" w:cs="Times New Roman"/>
          <w:i/>
          <w:iCs/>
          <w:sz w:val="24"/>
          <w:szCs w:val="24"/>
          <w:lang w:val="en-US"/>
        </w:rPr>
        <w:t>91</w:t>
      </w:r>
      <w:r w:rsidR="00D50B37" w:rsidRPr="00D50B37">
        <w:rPr>
          <w:rFonts w:ascii="Times New Roman" w:hAnsi="Times New Roman" w:cs="Times New Roman"/>
          <w:sz w:val="24"/>
          <w:szCs w:val="24"/>
          <w:lang w:val="en-US"/>
        </w:rPr>
        <w:t>(1), 1–11. https://doi.org/10.1159/000343207</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Balestrino, R., &amp; Schapira, A. H. V. (2020). Parkinson disease. </w:t>
      </w:r>
      <w:r w:rsidRPr="00D50B37">
        <w:rPr>
          <w:rFonts w:ascii="Times New Roman" w:hAnsi="Times New Roman" w:cs="Times New Roman"/>
          <w:i/>
          <w:iCs/>
          <w:sz w:val="24"/>
          <w:szCs w:val="24"/>
          <w:lang w:val="en-US"/>
        </w:rPr>
        <w:t>European Journal of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27</w:t>
      </w:r>
      <w:r w:rsidRPr="00D50B37">
        <w:rPr>
          <w:rFonts w:ascii="Times New Roman" w:hAnsi="Times New Roman" w:cs="Times New Roman"/>
          <w:sz w:val="24"/>
          <w:szCs w:val="24"/>
          <w:lang w:val="en-US"/>
        </w:rPr>
        <w:t>(1), 27–42. https://doi.org/10.1111/ene.14108</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Bates, D., Mächler, M., Bolker, B., &amp; Walker, S. (2015). </w:t>
      </w:r>
      <w:r w:rsidRPr="00D50B37">
        <w:rPr>
          <w:rFonts w:ascii="Times New Roman" w:hAnsi="Times New Roman" w:cs="Times New Roman"/>
          <w:sz w:val="24"/>
          <w:szCs w:val="24"/>
          <w:lang w:val="en-US"/>
        </w:rPr>
        <w:t xml:space="preserve">Fitting Linear Mixed-Effects Models Using </w:t>
      </w:r>
      <w:r w:rsidRPr="00D50B37">
        <w:rPr>
          <w:rFonts w:ascii="Times New Roman" w:hAnsi="Times New Roman" w:cs="Times New Roman"/>
          <w:b/>
          <w:bCs/>
          <w:sz w:val="24"/>
          <w:szCs w:val="24"/>
          <w:lang w:val="en-US"/>
        </w:rPr>
        <w:t>lme4</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Journal of Statistical Software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67</w:t>
      </w:r>
      <w:r w:rsidRPr="00D50B37">
        <w:rPr>
          <w:rFonts w:ascii="Times New Roman" w:hAnsi="Times New Roman" w:cs="Times New Roman"/>
          <w:sz w:val="24"/>
          <w:szCs w:val="24"/>
          <w:lang w:val="en-US"/>
        </w:rPr>
        <w:t>(1). https://doi.org/10.18637/jss.v067.i01</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Benabid, A. L., Chabardes, S., Mitrofanis, J., &amp; Pollak, P. (2009). </w:t>
      </w:r>
      <w:r w:rsidRPr="00D50B37">
        <w:rPr>
          <w:rFonts w:ascii="Times New Roman" w:hAnsi="Times New Roman" w:cs="Times New Roman"/>
          <w:i/>
          <w:iCs/>
          <w:sz w:val="24"/>
          <w:szCs w:val="24"/>
          <w:lang w:val="en-US"/>
        </w:rPr>
        <w:t>Deep brain stimulation of the subthalamic nucleus for the treatment of Parkinson’s disease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8</w:t>
      </w:r>
      <w:r w:rsidRPr="00D50B37">
        <w:rPr>
          <w:rFonts w:ascii="Times New Roman" w:hAnsi="Times New Roman" w:cs="Times New Roman"/>
          <w:sz w:val="24"/>
          <w:szCs w:val="24"/>
          <w:lang w:val="en-US"/>
        </w:rPr>
        <w:t>, 15.</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Benabid A., Pollak P., Louveau A., Henry S., &amp; de Rougmont J. (1987). Combined (thalamotomy and stimulation) stereotactic surgery of the VIM thalamic nucleus for bilateral Parkinson disease. </w:t>
      </w:r>
      <w:r w:rsidRPr="00D50B37">
        <w:rPr>
          <w:rFonts w:ascii="Times New Roman" w:hAnsi="Times New Roman" w:cs="Times New Roman"/>
          <w:i/>
          <w:iCs/>
          <w:sz w:val="24"/>
          <w:szCs w:val="24"/>
          <w:lang w:val="en-US"/>
        </w:rPr>
        <w:t>Stereotactic and Functional Neurosurgery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50</w:t>
      </w:r>
      <w:r w:rsidRPr="00D50B37">
        <w:rPr>
          <w:rFonts w:ascii="Times New Roman" w:hAnsi="Times New Roman" w:cs="Times New Roman"/>
          <w:sz w:val="24"/>
          <w:szCs w:val="24"/>
          <w:lang w:val="en-US"/>
        </w:rPr>
        <w:t>(1–6), 344–346. https://doi.org/10.1159/000100803</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Bloem, B. R., Okun, M. S., &amp; Klein, C. (2021). Parkinson’s disease. </w:t>
      </w:r>
      <w:r w:rsidRPr="00D50B37">
        <w:rPr>
          <w:rFonts w:ascii="Times New Roman" w:hAnsi="Times New Roman" w:cs="Times New Roman"/>
          <w:i/>
          <w:iCs/>
          <w:sz w:val="24"/>
          <w:szCs w:val="24"/>
          <w:lang w:val="en-US"/>
        </w:rPr>
        <w:t>The Lancet</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397</w:t>
      </w:r>
      <w:r w:rsidRPr="00D50B37">
        <w:rPr>
          <w:rFonts w:ascii="Times New Roman" w:hAnsi="Times New Roman" w:cs="Times New Roman"/>
          <w:sz w:val="24"/>
          <w:szCs w:val="24"/>
          <w:lang w:val="en-US"/>
        </w:rPr>
        <w:t>(10291), 2284–2303. https://doi.org/10.1016/S0140-6736(21)00218-X</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Bologna, M., Guerra, A., Paparella, G., Giordo, L., Alunni Fegatelli, D., Vestri, A. R., Rothwell, J. C., &amp; Berardelli, A. (2018). Neurophysiological correlates of bradykinesia in Parkinson’s disease. </w:t>
      </w:r>
      <w:r w:rsidRPr="00D50B37">
        <w:rPr>
          <w:rFonts w:ascii="Times New Roman" w:hAnsi="Times New Roman" w:cs="Times New Roman"/>
          <w:i/>
          <w:iCs/>
          <w:sz w:val="24"/>
          <w:szCs w:val="24"/>
          <w:lang w:val="en-US"/>
        </w:rPr>
        <w:t>Brain</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141</w:t>
      </w:r>
      <w:r w:rsidRPr="00D50B37">
        <w:rPr>
          <w:rFonts w:ascii="Times New Roman" w:hAnsi="Times New Roman" w:cs="Times New Roman"/>
          <w:sz w:val="24"/>
          <w:szCs w:val="24"/>
          <w:lang w:val="en-US"/>
        </w:rPr>
        <w:t>(8), 2432–2444. https://doi.org/10.1093/brain/awy155</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Buzsáki, G., Anastassiou, C. A., &amp; Koch, C. (2012). </w:t>
      </w:r>
      <w:r w:rsidRPr="00D50B37">
        <w:rPr>
          <w:rFonts w:ascii="Times New Roman" w:hAnsi="Times New Roman" w:cs="Times New Roman"/>
          <w:sz w:val="24"/>
          <w:szCs w:val="24"/>
          <w:lang w:val="en-US"/>
        </w:rPr>
        <w:t xml:space="preserve">The origin of extracellular fields and currents—EEG, ECoG, LFP and spikes. </w:t>
      </w:r>
      <w:r w:rsidRPr="00D50B37">
        <w:rPr>
          <w:rFonts w:ascii="Times New Roman" w:hAnsi="Times New Roman" w:cs="Times New Roman"/>
          <w:i/>
          <w:iCs/>
          <w:sz w:val="24"/>
          <w:szCs w:val="24"/>
          <w:lang w:val="en-US"/>
        </w:rPr>
        <w:t>Nature Reviews Neuroscience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13</w:t>
      </w:r>
      <w:r w:rsidRPr="00D50B37">
        <w:rPr>
          <w:rFonts w:ascii="Times New Roman" w:hAnsi="Times New Roman" w:cs="Times New Roman"/>
          <w:sz w:val="24"/>
          <w:szCs w:val="24"/>
          <w:lang w:val="en-US"/>
        </w:rPr>
        <w:t>(6), 407–420. https://doi.org/10.1038/nrn3241</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lastRenderedPageBreak/>
        <w:t xml:space="preserve">Chaudhuri, K. R., &amp; Naidu, Y. (2008). Early Parkinson’s disease and non-motor issues. </w:t>
      </w:r>
      <w:r w:rsidRPr="00D50B37">
        <w:rPr>
          <w:rFonts w:ascii="Times New Roman" w:hAnsi="Times New Roman" w:cs="Times New Roman"/>
          <w:i/>
          <w:iCs/>
          <w:sz w:val="24"/>
          <w:szCs w:val="24"/>
          <w:lang w:val="en-US"/>
        </w:rPr>
        <w:t>Journal of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255</w:t>
      </w:r>
      <w:r w:rsidRPr="00D50B37">
        <w:rPr>
          <w:rFonts w:ascii="Times New Roman" w:hAnsi="Times New Roman" w:cs="Times New Roman"/>
          <w:sz w:val="24"/>
          <w:szCs w:val="24"/>
          <w:lang w:val="en-US"/>
        </w:rPr>
        <w:t>(S5), 33–38. https://doi.org/10.1007/s00415-008-5006-1</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Chaudhuri, K. R., Prieto-Jurcynska, C., Naidu, Y., Mitra, T., Frades-Payo, B., Tluk, S., Ruessmann, A., Odin, P., Macphee, G., Stocchi, F., Ondo, W., Sethi, K., Schapira, A. H. V., Castrillo, J. C. M., &amp; Martinez-Martin, P. (2010). The nondeclaration of nonmotor symptoms of Parkinson’s disease to health care professionals: An international study using the nonmotor symptoms questionnaire. </w:t>
      </w:r>
      <w:r w:rsidRPr="00D50B37">
        <w:rPr>
          <w:rFonts w:ascii="Times New Roman" w:hAnsi="Times New Roman" w:cs="Times New Roman"/>
          <w:i/>
          <w:iCs/>
          <w:sz w:val="24"/>
          <w:szCs w:val="24"/>
          <w:lang w:val="en-US"/>
        </w:rPr>
        <w:t>Movement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25</w:t>
      </w:r>
      <w:r w:rsidRPr="00D50B37">
        <w:rPr>
          <w:rFonts w:ascii="Times New Roman" w:hAnsi="Times New Roman" w:cs="Times New Roman"/>
          <w:sz w:val="24"/>
          <w:szCs w:val="24"/>
          <w:lang w:val="en-US"/>
        </w:rPr>
        <w:t>(6), 704–709. https://doi.org/10.1002/mds.22868</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Chaudhuri, K. R., &amp; Schapira, A. H. (2009). Non-motor symptoms of Parkinson’s disease: Dopaminergic pathophysiology and treatment. </w:t>
      </w:r>
      <w:r w:rsidRPr="00D50B37">
        <w:rPr>
          <w:rFonts w:ascii="Times New Roman" w:hAnsi="Times New Roman" w:cs="Times New Roman"/>
          <w:i/>
          <w:iCs/>
          <w:sz w:val="24"/>
          <w:szCs w:val="24"/>
          <w:lang w:val="en-US"/>
        </w:rPr>
        <w:t>The Lancet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8</w:t>
      </w:r>
      <w:r w:rsidRPr="00D50B37">
        <w:rPr>
          <w:rFonts w:ascii="Times New Roman" w:hAnsi="Times New Roman" w:cs="Times New Roman"/>
          <w:sz w:val="24"/>
          <w:szCs w:val="24"/>
          <w:lang w:val="en-US"/>
        </w:rPr>
        <w:t>(5), 464–474. https://doi.org/10.1016/S1474-4422(09)70068-7</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Cohen, M. X. (2020). </w:t>
      </w:r>
      <w:r w:rsidRPr="00D50B37">
        <w:rPr>
          <w:rFonts w:ascii="Times New Roman" w:hAnsi="Times New Roman" w:cs="Times New Roman"/>
          <w:i/>
          <w:iCs/>
          <w:sz w:val="24"/>
          <w:szCs w:val="24"/>
          <w:lang w:val="en-US"/>
        </w:rPr>
        <w:t>A data-driven method to identify frequency boundaries in multichannel electrophysiology data</w:t>
      </w:r>
      <w:r w:rsidRPr="00D50B37">
        <w:rPr>
          <w:rFonts w:ascii="Times New Roman" w:hAnsi="Times New Roman" w:cs="Times New Roman"/>
          <w:sz w:val="24"/>
          <w:szCs w:val="24"/>
          <w:lang w:val="en-US"/>
        </w:rPr>
        <w:t xml:space="preserve"> [Preprint]. Neuroscience. https://doi.org/10.1101/2020.07.09.195784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Cole, S. R., van der Meij, R., Peterson, E. J., de Hemptinne, C., Starr, P. A., &amp; Voytek, B. (2017). Nonsinusoidal Beta Oscillations Reflect Cortical Pathophysiology in Parkinson’s Disease. </w:t>
      </w:r>
      <w:r w:rsidRPr="00D50B37">
        <w:rPr>
          <w:rFonts w:ascii="Times New Roman" w:hAnsi="Times New Roman" w:cs="Times New Roman"/>
          <w:i/>
          <w:iCs/>
          <w:sz w:val="24"/>
          <w:szCs w:val="24"/>
          <w:lang w:val="en-US"/>
        </w:rPr>
        <w:t>The Journal of Neuroscience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37</w:t>
      </w:r>
      <w:r w:rsidRPr="00D50B37">
        <w:rPr>
          <w:rFonts w:ascii="Times New Roman" w:hAnsi="Times New Roman" w:cs="Times New Roman"/>
          <w:sz w:val="24"/>
          <w:szCs w:val="24"/>
          <w:lang w:val="en-US"/>
        </w:rPr>
        <w:t>(18), 4830–4840. https://doi.org/10.1523/JNEUROSCI.2208-16.2017</w:t>
      </w:r>
    </w:p>
    <w:p w:rsidR="00D50B37" w:rsidRPr="00D50B37" w:rsidRDefault="00D50B37" w:rsidP="00D50B37">
      <w:pPr>
        <w:pStyle w:val="Literaturverzeichnis"/>
        <w:rPr>
          <w:rFonts w:ascii="Times New Roman" w:hAnsi="Times New Roman" w:cs="Times New Roman"/>
          <w:sz w:val="24"/>
          <w:szCs w:val="24"/>
        </w:rPr>
      </w:pPr>
      <w:r w:rsidRPr="00D50B37">
        <w:rPr>
          <w:rFonts w:ascii="Times New Roman" w:hAnsi="Times New Roman" w:cs="Times New Roman"/>
          <w:sz w:val="24"/>
          <w:szCs w:val="24"/>
          <w:lang w:val="en-US"/>
        </w:rPr>
        <w:t xml:space="preserve">Cooper, J. A., Sagar, H. J., Tidswell, P., &amp; Jordan, N. (1994). Slowed central processing in simple and go/no-go reaction time tasks in Parkinson’s disease. </w:t>
      </w:r>
      <w:r w:rsidRPr="00D50B37">
        <w:rPr>
          <w:rFonts w:ascii="Times New Roman" w:hAnsi="Times New Roman" w:cs="Times New Roman"/>
          <w:i/>
          <w:iCs/>
          <w:sz w:val="24"/>
          <w:szCs w:val="24"/>
        </w:rPr>
        <w:t>Brain</w:t>
      </w:r>
      <w:r w:rsidRPr="00D50B37">
        <w:rPr>
          <w:rFonts w:ascii="Times New Roman" w:hAnsi="Times New Roman" w:cs="Times New Roman"/>
          <w:sz w:val="24"/>
          <w:szCs w:val="24"/>
        </w:rPr>
        <w:t xml:space="preserve">, </w:t>
      </w:r>
      <w:r w:rsidRPr="00D50B37">
        <w:rPr>
          <w:rFonts w:ascii="Times New Roman" w:hAnsi="Times New Roman" w:cs="Times New Roman"/>
          <w:i/>
          <w:iCs/>
          <w:sz w:val="24"/>
          <w:szCs w:val="24"/>
        </w:rPr>
        <w:t>117</w:t>
      </w:r>
      <w:r w:rsidRPr="00D50B37">
        <w:rPr>
          <w:rFonts w:ascii="Times New Roman" w:hAnsi="Times New Roman" w:cs="Times New Roman"/>
          <w:sz w:val="24"/>
          <w:szCs w:val="24"/>
        </w:rPr>
        <w:t>(3), 517–529. https://doi.org/10.1093/brain/117.3.517</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Dembek, T. A., Roediger, J., Horn, A., Reker, P., Oehrn, C., Dafsari, H. S., Li, N., Kühn, A. A., Fink, G. R., Visser‐Vandewalle, V., Barbe, M. T., &amp; Timmermann, L. (2019). </w:t>
      </w:r>
      <w:r w:rsidRPr="00D50B37">
        <w:rPr>
          <w:rFonts w:ascii="Times New Roman" w:hAnsi="Times New Roman" w:cs="Times New Roman"/>
          <w:sz w:val="24"/>
          <w:szCs w:val="24"/>
          <w:lang w:val="en-US"/>
        </w:rPr>
        <w:t xml:space="preserve">Probabilistic sweet spots predict motor outcome for deep brain stimulation in Parkinson disease. </w:t>
      </w:r>
      <w:r w:rsidRPr="00D50B37">
        <w:rPr>
          <w:rFonts w:ascii="Times New Roman" w:hAnsi="Times New Roman" w:cs="Times New Roman"/>
          <w:i/>
          <w:iCs/>
          <w:sz w:val="24"/>
          <w:szCs w:val="24"/>
          <w:lang w:val="en-US"/>
        </w:rPr>
        <w:t>Annals of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86</w:t>
      </w:r>
      <w:r w:rsidRPr="00D50B37">
        <w:rPr>
          <w:rFonts w:ascii="Times New Roman" w:hAnsi="Times New Roman" w:cs="Times New Roman"/>
          <w:sz w:val="24"/>
          <w:szCs w:val="24"/>
          <w:lang w:val="en-US"/>
        </w:rPr>
        <w:t>(4), 527–538. https://doi.org/10.1002/ana.25567</w:t>
      </w:r>
    </w:p>
    <w:p w:rsidR="00D50B37" w:rsidRPr="00D50B37" w:rsidRDefault="00D50B37" w:rsidP="00D50B37">
      <w:pPr>
        <w:pStyle w:val="Literaturverzeichnis"/>
        <w:rPr>
          <w:rFonts w:ascii="Times New Roman" w:hAnsi="Times New Roman" w:cs="Times New Roman"/>
          <w:sz w:val="24"/>
          <w:szCs w:val="24"/>
        </w:rPr>
      </w:pPr>
      <w:r w:rsidRPr="00D50B37">
        <w:rPr>
          <w:rFonts w:ascii="Times New Roman" w:hAnsi="Times New Roman" w:cs="Times New Roman"/>
          <w:sz w:val="24"/>
          <w:szCs w:val="24"/>
          <w:lang w:val="en-US"/>
        </w:rPr>
        <w:lastRenderedPageBreak/>
        <w:t xml:space="preserve">Deuschl, G., &amp; Agid, Y. (2013). Subthalamic neurostimulation for Parkinson’s disease with early fluctuations: Balancing the risks and benefits. </w:t>
      </w:r>
      <w:r w:rsidRPr="00D50B37">
        <w:rPr>
          <w:rFonts w:ascii="Times New Roman" w:hAnsi="Times New Roman" w:cs="Times New Roman"/>
          <w:i/>
          <w:iCs/>
          <w:sz w:val="24"/>
          <w:szCs w:val="24"/>
        </w:rPr>
        <w:t>The Lancet Neurology</w:t>
      </w:r>
      <w:r w:rsidRPr="00D50B37">
        <w:rPr>
          <w:rFonts w:ascii="Times New Roman" w:hAnsi="Times New Roman" w:cs="Times New Roman"/>
          <w:sz w:val="24"/>
          <w:szCs w:val="24"/>
        </w:rPr>
        <w:t xml:space="preserve">, </w:t>
      </w:r>
      <w:r w:rsidRPr="00D50B37">
        <w:rPr>
          <w:rFonts w:ascii="Times New Roman" w:hAnsi="Times New Roman" w:cs="Times New Roman"/>
          <w:i/>
          <w:iCs/>
          <w:sz w:val="24"/>
          <w:szCs w:val="24"/>
        </w:rPr>
        <w:t>12</w:t>
      </w:r>
      <w:r w:rsidRPr="00D50B37">
        <w:rPr>
          <w:rFonts w:ascii="Times New Roman" w:hAnsi="Times New Roman" w:cs="Times New Roman"/>
          <w:sz w:val="24"/>
          <w:szCs w:val="24"/>
        </w:rPr>
        <w:t>(10), 1025–1034. https://doi.org/10.1016/S1474-4422(13)70151-0</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Deuschl, G., Krack, P., Bötzel, K., Dillmann, U., Gruber, D., Hilker, R., Koy, J., Lorenz, D., Mehdorn, H. M., Oertel, W., Reichmann, H., Schneider, G.-H., Steude, U., Tronnier, V., Wolf, E., &amp; Voges, J. (2006). </w:t>
      </w:r>
      <w:r w:rsidRPr="00D50B37">
        <w:rPr>
          <w:rFonts w:ascii="Times New Roman" w:hAnsi="Times New Roman" w:cs="Times New Roman"/>
          <w:sz w:val="24"/>
          <w:szCs w:val="24"/>
          <w:lang w:val="en-US"/>
        </w:rPr>
        <w:t xml:space="preserve">A Randomized Trial of Deep-Brain Stimulation for Parkinson’s Disease. </w:t>
      </w:r>
      <w:r w:rsidRPr="00D50B37">
        <w:rPr>
          <w:rFonts w:ascii="Times New Roman" w:hAnsi="Times New Roman" w:cs="Times New Roman"/>
          <w:i/>
          <w:iCs/>
          <w:sz w:val="24"/>
          <w:szCs w:val="24"/>
          <w:lang w:val="en-US"/>
        </w:rPr>
        <w:t>N Engl j Med</w:t>
      </w:r>
      <w:r w:rsidRPr="00D50B37">
        <w:rPr>
          <w:rFonts w:ascii="Times New Roman" w:hAnsi="Times New Roman" w:cs="Times New Roman"/>
          <w:sz w:val="24"/>
          <w:szCs w:val="24"/>
          <w:lang w:val="en-US"/>
        </w:rPr>
        <w:t>, 13.</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Donoghue, T., Haller, M., Peterson, E. J., Varma, P., Sebastian, P., Gao, R., Noto, T., Lara, A. H., Wallis, J. D., Knight, R. T., Shestyuk, A., &amp; Voytek, B. (2020). Parameterizing neural power spectra into periodic and aperiodic components. </w:t>
      </w:r>
      <w:r w:rsidRPr="00D50B37">
        <w:rPr>
          <w:rFonts w:ascii="Times New Roman" w:hAnsi="Times New Roman" w:cs="Times New Roman"/>
          <w:i/>
          <w:iCs/>
          <w:sz w:val="24"/>
          <w:szCs w:val="24"/>
          <w:lang w:val="en-US"/>
        </w:rPr>
        <w:t>Nature Neuroscience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23</w:t>
      </w:r>
      <w:r w:rsidRPr="00D50B37">
        <w:rPr>
          <w:rFonts w:ascii="Times New Roman" w:hAnsi="Times New Roman" w:cs="Times New Roman"/>
          <w:sz w:val="24"/>
          <w:szCs w:val="24"/>
          <w:lang w:val="en-US"/>
        </w:rPr>
        <w:t>(12), 1655–1665. https://doi.org/10.1038/s41593-020-00744-x</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D50B37">
        <w:rPr>
          <w:rFonts w:ascii="Times New Roman" w:hAnsi="Times New Roman" w:cs="Times New Roman"/>
          <w:i/>
          <w:iCs/>
          <w:sz w:val="24"/>
          <w:szCs w:val="24"/>
          <w:lang w:val="en-US"/>
        </w:rPr>
        <w:t>The Lancet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17</w:t>
      </w:r>
      <w:r w:rsidRPr="00D50B37">
        <w:rPr>
          <w:rFonts w:ascii="Times New Roman" w:hAnsi="Times New Roman" w:cs="Times New Roman"/>
          <w:sz w:val="24"/>
          <w:szCs w:val="24"/>
          <w:lang w:val="en-US"/>
        </w:rPr>
        <w:t>(11), 939–953. https://doi.org/10.1016/S1474-4422(18)30295-3</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Dorsey, E. R., Sherer, T., Okun, M. S., &amp; Bloem, B. R. (2018). The Emerging Evidence of the Parkinson Pandemic. </w:t>
      </w:r>
      <w:r w:rsidRPr="00D50B37">
        <w:rPr>
          <w:rFonts w:ascii="Times New Roman" w:hAnsi="Times New Roman" w:cs="Times New Roman"/>
          <w:i/>
          <w:iCs/>
          <w:sz w:val="24"/>
          <w:szCs w:val="24"/>
          <w:lang w:val="en-US"/>
        </w:rPr>
        <w:t>Journal of Parkinson’s Disease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8</w:t>
      </w:r>
      <w:r w:rsidRPr="00D50B37">
        <w:rPr>
          <w:rFonts w:ascii="Times New Roman" w:hAnsi="Times New Roman" w:cs="Times New Roman"/>
          <w:sz w:val="24"/>
          <w:szCs w:val="24"/>
          <w:lang w:val="en-US"/>
        </w:rPr>
        <w:t>(s1), S3–S8. https://doi.org/10.3233/JPD-181474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Fahn, S., Elton, R., &amp; Members of the UPDRS Development Committee. (1987). UNIFIED PARKINSON’S DISEASE RATING SCALE. In S. Fahn, Marsden C., Goldstein M., &amp; Calne D. (Hrsg.), </w:t>
      </w:r>
      <w:r w:rsidRPr="00D50B37">
        <w:rPr>
          <w:rFonts w:ascii="Times New Roman" w:hAnsi="Times New Roman" w:cs="Times New Roman"/>
          <w:i/>
          <w:iCs/>
          <w:sz w:val="24"/>
          <w:szCs w:val="24"/>
          <w:lang w:val="en-US"/>
        </w:rPr>
        <w:t>Recent Developments in Parkinson’s Disease</w:t>
      </w:r>
      <w:r w:rsidRPr="00D50B37">
        <w:rPr>
          <w:rFonts w:ascii="Times New Roman" w:hAnsi="Times New Roman" w:cs="Times New Roman"/>
          <w:sz w:val="24"/>
          <w:szCs w:val="24"/>
          <w:lang w:val="en-US"/>
        </w:rPr>
        <w:t xml:space="preserve"> (Bd. 2, S. 153–163). Macmillan Healthcare Information.</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lastRenderedPageBreak/>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D50B37">
        <w:rPr>
          <w:rFonts w:ascii="Times New Roman" w:hAnsi="Times New Roman" w:cs="Times New Roman"/>
          <w:i/>
          <w:iCs/>
          <w:sz w:val="24"/>
          <w:szCs w:val="24"/>
          <w:lang w:val="en-US"/>
        </w:rPr>
        <w:t>The Lancet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16</w:t>
      </w:r>
      <w:r w:rsidRPr="00D50B37">
        <w:rPr>
          <w:rFonts w:ascii="Times New Roman" w:hAnsi="Times New Roman" w:cs="Times New Roman"/>
          <w:sz w:val="24"/>
          <w:szCs w:val="24"/>
          <w:lang w:val="en-US"/>
        </w:rPr>
        <w:t>(11), 877–897. https://doi.org/10.1016/S1474-4422(17)30299-5</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D50B37">
        <w:rPr>
          <w:rFonts w:ascii="Times New Roman" w:hAnsi="Times New Roman" w:cs="Times New Roman"/>
          <w:i/>
          <w:iCs/>
          <w:sz w:val="24"/>
          <w:szCs w:val="24"/>
          <w:lang w:val="en-US"/>
        </w:rPr>
        <w:t>Movement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26</w:t>
      </w:r>
      <w:r w:rsidRPr="00D50B37">
        <w:rPr>
          <w:rFonts w:ascii="Times New Roman" w:hAnsi="Times New Roman" w:cs="Times New Roman"/>
          <w:sz w:val="24"/>
          <w:szCs w:val="24"/>
          <w:lang w:val="en-US"/>
        </w:rPr>
        <w:t>(S3), S2–S41. https://doi.org/10.1002/mds.23829</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Gerster, M., Waterstraat, G., Litvak, V., Lehnertz, K., Schnitzler, A., Florin, E., Curio, G., &amp; Nikulin, V. (2022). Separating Neural Oscillations from Aperiodic 1/f Activity: Challenges and Recommendations. </w:t>
      </w:r>
      <w:r w:rsidRPr="00D50B37">
        <w:rPr>
          <w:rFonts w:ascii="Times New Roman" w:hAnsi="Times New Roman" w:cs="Times New Roman"/>
          <w:i/>
          <w:iCs/>
          <w:sz w:val="24"/>
          <w:szCs w:val="24"/>
          <w:lang w:val="en-US"/>
        </w:rPr>
        <w:t>Neuroinformatics</w:t>
      </w:r>
      <w:r w:rsidRPr="00D50B37">
        <w:rPr>
          <w:rFonts w:ascii="Times New Roman" w:hAnsi="Times New Roman" w:cs="Times New Roman"/>
          <w:sz w:val="24"/>
          <w:szCs w:val="24"/>
          <w:lang w:val="en-US"/>
        </w:rPr>
        <w:t>. https://doi.org/10.1007/s12021-022-09581-8</w:t>
      </w:r>
    </w:p>
    <w:p w:rsidR="00D50B37" w:rsidRPr="00D50B37" w:rsidRDefault="00D50B37" w:rsidP="00D50B37">
      <w:pPr>
        <w:pStyle w:val="Literaturverzeichnis"/>
        <w:rPr>
          <w:rFonts w:ascii="Times New Roman" w:hAnsi="Times New Roman" w:cs="Times New Roman"/>
          <w:sz w:val="24"/>
          <w:szCs w:val="24"/>
        </w:rPr>
      </w:pPr>
      <w:r w:rsidRPr="00D50B37">
        <w:rPr>
          <w:rFonts w:ascii="Times New Roman" w:hAnsi="Times New Roman" w:cs="Times New Roman"/>
          <w:sz w:val="24"/>
          <w:szCs w:val="24"/>
          <w:lang w:val="en-US"/>
        </w:rPr>
        <w:t xml:space="preserve">Giesbrecht, F. G., &amp; Burns, J. C. (1985). Two-Stage Analysis Based on a Mixed Model: Large-Sample Asymptotic Theory and Small-Sample Simulation Results. </w:t>
      </w:r>
      <w:r w:rsidRPr="00D50B37">
        <w:rPr>
          <w:rFonts w:ascii="Times New Roman" w:hAnsi="Times New Roman" w:cs="Times New Roman"/>
          <w:i/>
          <w:iCs/>
          <w:sz w:val="24"/>
          <w:szCs w:val="24"/>
        </w:rPr>
        <w:t>Biometrics</w:t>
      </w:r>
      <w:r w:rsidRPr="00D50B37">
        <w:rPr>
          <w:rFonts w:ascii="Times New Roman" w:hAnsi="Times New Roman" w:cs="Times New Roman"/>
          <w:sz w:val="24"/>
          <w:szCs w:val="24"/>
        </w:rPr>
        <w:t xml:space="preserve">, </w:t>
      </w:r>
      <w:r w:rsidRPr="00D50B37">
        <w:rPr>
          <w:rFonts w:ascii="Times New Roman" w:hAnsi="Times New Roman" w:cs="Times New Roman"/>
          <w:i/>
          <w:iCs/>
          <w:sz w:val="24"/>
          <w:szCs w:val="24"/>
        </w:rPr>
        <w:t>41</w:t>
      </w:r>
      <w:r w:rsidRPr="00D50B37">
        <w:rPr>
          <w:rFonts w:ascii="Times New Roman" w:hAnsi="Times New Roman" w:cs="Times New Roman"/>
          <w:sz w:val="24"/>
          <w:szCs w:val="24"/>
        </w:rPr>
        <w:t>(2), 477. https://doi.org/10.2307/2530872</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Giovannoni, G., van Schalkwyk, J., Fritz, V. U., &amp; Lees, A. J. (1999). </w:t>
      </w:r>
      <w:r w:rsidRPr="00D50B37">
        <w:rPr>
          <w:rFonts w:ascii="Times New Roman" w:hAnsi="Times New Roman" w:cs="Times New Roman"/>
          <w:sz w:val="24"/>
          <w:szCs w:val="24"/>
          <w:lang w:val="en-US"/>
        </w:rPr>
        <w:t xml:space="preserve">Bradykinesia akinesia inco-ordination test (BRAIN TEST): An objective computerised assessment of upper limb motor function. </w:t>
      </w:r>
      <w:r w:rsidRPr="00D50B37">
        <w:rPr>
          <w:rFonts w:ascii="Times New Roman" w:hAnsi="Times New Roman" w:cs="Times New Roman"/>
          <w:i/>
          <w:iCs/>
          <w:sz w:val="24"/>
          <w:szCs w:val="24"/>
          <w:lang w:val="en-US"/>
        </w:rPr>
        <w:t>Journal of Neurology, Neurosurgery &amp; Psychiatry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67</w:t>
      </w:r>
      <w:r w:rsidRPr="00D50B37">
        <w:rPr>
          <w:rFonts w:ascii="Times New Roman" w:hAnsi="Times New Roman" w:cs="Times New Roman"/>
          <w:sz w:val="24"/>
          <w:szCs w:val="24"/>
          <w:lang w:val="en-US"/>
        </w:rPr>
        <w:t>(5), 624–629. https://doi.org/10.1136/jnnp.67.5.624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Goetz, C. G., Tilley, B. C., Shaftman, S. R., Stebbins, G. T., Fahn, S., Martinez-Martin, P., Poewe, W., Sampaio, C., Stern, M. B., Dodel, R., Dubois, B., Holloway, R., Jankovic, </w:t>
      </w:r>
      <w:r w:rsidRPr="00D50B37">
        <w:rPr>
          <w:rFonts w:ascii="Times New Roman" w:hAnsi="Times New Roman" w:cs="Times New Roman"/>
          <w:sz w:val="24"/>
          <w:szCs w:val="24"/>
          <w:lang w:val="en-US"/>
        </w:rPr>
        <w:lastRenderedPageBreak/>
        <w:t xml:space="preserve">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D50B37">
        <w:rPr>
          <w:rFonts w:ascii="Times New Roman" w:hAnsi="Times New Roman" w:cs="Times New Roman"/>
          <w:i/>
          <w:iCs/>
          <w:sz w:val="24"/>
          <w:szCs w:val="24"/>
          <w:lang w:val="en-US"/>
        </w:rPr>
        <w:t>Movement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23</w:t>
      </w:r>
      <w:r w:rsidRPr="00D50B37">
        <w:rPr>
          <w:rFonts w:ascii="Times New Roman" w:hAnsi="Times New Roman" w:cs="Times New Roman"/>
          <w:sz w:val="24"/>
          <w:szCs w:val="24"/>
          <w:lang w:val="en-US"/>
        </w:rPr>
        <w:t>(15), 2129–2170. https://doi.org/10.1002/mds.22340</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Gómez-Esteban, J. C., Zarranz, J. J., Lezcano, E., Tijero, B., Luna, A., Velasco, F., Rouco, I., &amp; Garamendi, I. (2007). Influence of Motor Symptoms upon the Quality of Life of Patients with Parkinson’s Disease. </w:t>
      </w:r>
      <w:r w:rsidRPr="00D50B37">
        <w:rPr>
          <w:rFonts w:ascii="Times New Roman" w:hAnsi="Times New Roman" w:cs="Times New Roman"/>
          <w:i/>
          <w:iCs/>
          <w:sz w:val="24"/>
          <w:szCs w:val="24"/>
          <w:lang w:val="en-US"/>
        </w:rPr>
        <w:t>European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57</w:t>
      </w:r>
      <w:r w:rsidRPr="00D50B37">
        <w:rPr>
          <w:rFonts w:ascii="Times New Roman" w:hAnsi="Times New Roman" w:cs="Times New Roman"/>
          <w:sz w:val="24"/>
          <w:szCs w:val="24"/>
          <w:lang w:val="en-US"/>
        </w:rPr>
        <w:t>(3), 161–165. https://doi.org/10.1159/000098468</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Halgren, M., Kang, R., Voytek, B., Ulbert, I., Fabo, D., Eross, L., Wittner, L., Madsen, J., Doyle, W. K., Devinsky, O., Halgren, E., Harnett, M. T., &amp; Cash, S. S. (2021). </w:t>
      </w:r>
      <w:r w:rsidRPr="00D50B37">
        <w:rPr>
          <w:rFonts w:ascii="Times New Roman" w:hAnsi="Times New Roman" w:cs="Times New Roman"/>
          <w:i/>
          <w:iCs/>
          <w:sz w:val="24"/>
          <w:szCs w:val="24"/>
          <w:lang w:val="en-US"/>
        </w:rPr>
        <w:t>The timescale and magnitude of 1/f aperiodic activity decrease with cortical depth in humans, macaques, and mice</w:t>
      </w:r>
      <w:r w:rsidRPr="00D50B37">
        <w:rPr>
          <w:rFonts w:ascii="Times New Roman" w:hAnsi="Times New Roman" w:cs="Times New Roman"/>
          <w:sz w:val="24"/>
          <w:szCs w:val="24"/>
          <w:lang w:val="en-US"/>
        </w:rPr>
        <w:t xml:space="preserve"> [Preprint]. Neuroscience. https://doi.org/10.1101/2021.07.28.454235</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He, S., Debarros, J., Khawaldeh, S., Pogosyan, A., Mostofi, A., Baig, F., Pereira, E., Brown, P., &amp; Tan, H. (2020). Closed-loop DBS triggered by real-time movement and tremor decoding based on thalamic LFPs for essential tremor. </w:t>
      </w:r>
      <w:r w:rsidRPr="00D50B37">
        <w:rPr>
          <w:rFonts w:ascii="Times New Roman" w:hAnsi="Times New Roman" w:cs="Times New Roman"/>
          <w:i/>
          <w:iCs/>
          <w:sz w:val="24"/>
          <w:szCs w:val="24"/>
          <w:lang w:val="en-US"/>
        </w:rPr>
        <w:t>2020 42nd Annual International Conference of the IEEE Engineering in Medicine &amp; Biology Society (EMBC)</w:t>
      </w:r>
      <w:r w:rsidRPr="00D50B37">
        <w:rPr>
          <w:rFonts w:ascii="Times New Roman" w:hAnsi="Times New Roman" w:cs="Times New Roman"/>
          <w:sz w:val="24"/>
          <w:szCs w:val="24"/>
          <w:lang w:val="en-US"/>
        </w:rPr>
        <w:t>, 3602–3605. https://doi.org/10.1109/EMBC44109.2020.9175433</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Helmich, R. C. (2018). The cerebral basis of Parkinsonian tremor: A network perspective. </w:t>
      </w:r>
      <w:r w:rsidRPr="00D50B37">
        <w:rPr>
          <w:rFonts w:ascii="Times New Roman" w:hAnsi="Times New Roman" w:cs="Times New Roman"/>
          <w:i/>
          <w:iCs/>
          <w:sz w:val="24"/>
          <w:szCs w:val="24"/>
          <w:lang w:val="en-US"/>
        </w:rPr>
        <w:t>Movement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33</w:t>
      </w:r>
      <w:r w:rsidRPr="00D50B37">
        <w:rPr>
          <w:rFonts w:ascii="Times New Roman" w:hAnsi="Times New Roman" w:cs="Times New Roman"/>
          <w:sz w:val="24"/>
          <w:szCs w:val="24"/>
          <w:lang w:val="en-US"/>
        </w:rPr>
        <w:t>(2), 219–231. https://doi.org/10.1002/mds.27224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Helmich, R., &amp; Dirkx, M. (2017). Pathophysiology and Management of Parkinsonian Tremor. </w:t>
      </w:r>
      <w:r w:rsidRPr="00D50B37">
        <w:rPr>
          <w:rFonts w:ascii="Times New Roman" w:hAnsi="Times New Roman" w:cs="Times New Roman"/>
          <w:i/>
          <w:iCs/>
          <w:sz w:val="24"/>
          <w:szCs w:val="24"/>
          <w:lang w:val="en-US"/>
        </w:rPr>
        <w:t>Seminars in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37</w:t>
      </w:r>
      <w:r w:rsidRPr="00D50B37">
        <w:rPr>
          <w:rFonts w:ascii="Times New Roman" w:hAnsi="Times New Roman" w:cs="Times New Roman"/>
          <w:sz w:val="24"/>
          <w:szCs w:val="24"/>
          <w:lang w:val="en-US"/>
        </w:rPr>
        <w:t>(02), 127–134. https://doi.org/10.1055/s-0037-1601558</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Herreras, O. (2016). Local Field Potentials: Myths and Misunderstandings. </w:t>
      </w:r>
      <w:r w:rsidRPr="00D50B37">
        <w:rPr>
          <w:rFonts w:ascii="Times New Roman" w:hAnsi="Times New Roman" w:cs="Times New Roman"/>
          <w:i/>
          <w:iCs/>
          <w:sz w:val="24"/>
          <w:szCs w:val="24"/>
          <w:lang w:val="en-US"/>
        </w:rPr>
        <w:t>Frontiers in Neural Circuits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10</w:t>
      </w:r>
      <w:r w:rsidRPr="00D50B37">
        <w:rPr>
          <w:rFonts w:ascii="Times New Roman" w:hAnsi="Times New Roman" w:cs="Times New Roman"/>
          <w:sz w:val="24"/>
          <w:szCs w:val="24"/>
          <w:lang w:val="en-US"/>
        </w:rPr>
        <w:t>. https://doi.org/10.3389/fncir.2016.00101</w:t>
      </w:r>
    </w:p>
    <w:p w:rsidR="00D50B37" w:rsidRPr="00D50B37" w:rsidRDefault="00D50B37" w:rsidP="00D50B37">
      <w:pPr>
        <w:pStyle w:val="Literaturverzeichnis"/>
        <w:rPr>
          <w:rFonts w:ascii="Times New Roman" w:hAnsi="Times New Roman" w:cs="Times New Roman"/>
          <w:sz w:val="24"/>
          <w:szCs w:val="24"/>
        </w:rPr>
      </w:pPr>
      <w:r w:rsidRPr="00D50B37">
        <w:rPr>
          <w:rFonts w:ascii="Times New Roman" w:hAnsi="Times New Roman" w:cs="Times New Roman"/>
          <w:sz w:val="24"/>
          <w:szCs w:val="24"/>
          <w:lang w:val="en-US"/>
        </w:rPr>
        <w:lastRenderedPageBreak/>
        <w:t xml:space="preserve">Hess, C., &amp; Hallett, M. (2017). The Phenomenology of Parkinson’s Disease. </w:t>
      </w:r>
      <w:r w:rsidRPr="00D50B37">
        <w:rPr>
          <w:rFonts w:ascii="Times New Roman" w:hAnsi="Times New Roman" w:cs="Times New Roman"/>
          <w:i/>
          <w:iCs/>
          <w:sz w:val="24"/>
          <w:szCs w:val="24"/>
        </w:rPr>
        <w:t>Seminars in Neurology</w:t>
      </w:r>
      <w:r w:rsidRPr="00D50B37">
        <w:rPr>
          <w:rFonts w:ascii="Times New Roman" w:hAnsi="Times New Roman" w:cs="Times New Roman"/>
          <w:sz w:val="24"/>
          <w:szCs w:val="24"/>
        </w:rPr>
        <w:t xml:space="preserve">, </w:t>
      </w:r>
      <w:r w:rsidRPr="00D50B37">
        <w:rPr>
          <w:rFonts w:ascii="Times New Roman" w:hAnsi="Times New Roman" w:cs="Times New Roman"/>
          <w:i/>
          <w:iCs/>
          <w:sz w:val="24"/>
          <w:szCs w:val="24"/>
        </w:rPr>
        <w:t>37</w:t>
      </w:r>
      <w:r w:rsidRPr="00D50B37">
        <w:rPr>
          <w:rFonts w:ascii="Times New Roman" w:hAnsi="Times New Roman" w:cs="Times New Roman"/>
          <w:sz w:val="24"/>
          <w:szCs w:val="24"/>
        </w:rPr>
        <w:t>(02), 109–117. https://doi.org/10.1055/s-0037-1601869</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Horn, A., Neumann, W.-J., Degen, K., Schneider, G.-H., &amp; Kühn, A. A. (2017). </w:t>
      </w:r>
      <w:r w:rsidRPr="00D50B37">
        <w:rPr>
          <w:rFonts w:ascii="Times New Roman" w:hAnsi="Times New Roman" w:cs="Times New Roman"/>
          <w:sz w:val="24"/>
          <w:szCs w:val="24"/>
          <w:lang w:val="en-US"/>
        </w:rPr>
        <w:t xml:space="preserve">Toward an electrophysiological “sweet spot” for deep brain stimulation in the subthalamic nucleus: Subcortical Mapping of Beta Band Activity in Parkinson’s Disease. </w:t>
      </w:r>
      <w:r w:rsidRPr="00D50B37">
        <w:rPr>
          <w:rFonts w:ascii="Times New Roman" w:hAnsi="Times New Roman" w:cs="Times New Roman"/>
          <w:i/>
          <w:iCs/>
          <w:sz w:val="24"/>
          <w:szCs w:val="24"/>
          <w:lang w:val="en-US"/>
        </w:rPr>
        <w:t>Human Brain Mapping</w:t>
      </w:r>
      <w:r w:rsidRPr="00D50B37">
        <w:rPr>
          <w:rFonts w:ascii="Times New Roman" w:hAnsi="Times New Roman" w:cs="Times New Roman"/>
          <w:sz w:val="24"/>
          <w:szCs w:val="24"/>
          <w:lang w:val="en-US"/>
        </w:rPr>
        <w:t>. https://doi.org/10.1002/hbm.23594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Jankovic, J. (2008). Parkinson’s disease: Clinical features and diagnosis. </w:t>
      </w:r>
      <w:r w:rsidRPr="00D50B37">
        <w:rPr>
          <w:rFonts w:ascii="Times New Roman" w:hAnsi="Times New Roman" w:cs="Times New Roman"/>
          <w:i/>
          <w:iCs/>
          <w:sz w:val="24"/>
          <w:szCs w:val="24"/>
          <w:lang w:val="en-US"/>
        </w:rPr>
        <w:t>Journal of Neurology, Neurosurgery &amp; Psychiatry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79</w:t>
      </w:r>
      <w:r w:rsidRPr="00D50B37">
        <w:rPr>
          <w:rFonts w:ascii="Times New Roman" w:hAnsi="Times New Roman" w:cs="Times New Roman"/>
          <w:sz w:val="24"/>
          <w:szCs w:val="24"/>
          <w:lang w:val="en-US"/>
        </w:rPr>
        <w:t>(4), 368–376. https://doi.org/10.1136/jnnp.2007.131045</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Koirala, N., Serrano, L., Paschen, S., Falk, D., Anwar, A. R., Kuravi, P., Deuschl, G., Groppa, S., &amp; Muthuraman, M. (2020). Mapping of subthalamic nucleus using microelectrode recordings during deep brain stimulation. </w:t>
      </w:r>
      <w:r w:rsidRPr="00D50B37">
        <w:rPr>
          <w:rFonts w:ascii="Times New Roman" w:hAnsi="Times New Roman" w:cs="Times New Roman"/>
          <w:i/>
          <w:iCs/>
          <w:sz w:val="24"/>
          <w:szCs w:val="24"/>
          <w:lang w:val="en-US"/>
        </w:rPr>
        <w:t>Scientific Reports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10</w:t>
      </w:r>
      <w:r w:rsidRPr="00D50B37">
        <w:rPr>
          <w:rFonts w:ascii="Times New Roman" w:hAnsi="Times New Roman" w:cs="Times New Roman"/>
          <w:sz w:val="24"/>
          <w:szCs w:val="24"/>
          <w:lang w:val="en-US"/>
        </w:rPr>
        <w:t>(1), 19241. https://doi.org/10.1038/s41598-020-74196-5</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for multiple system atrophy. </w:t>
      </w:r>
      <w:r w:rsidRPr="00D50B37">
        <w:rPr>
          <w:rFonts w:ascii="Times New Roman" w:hAnsi="Times New Roman" w:cs="Times New Roman"/>
          <w:i/>
          <w:iCs/>
          <w:sz w:val="24"/>
          <w:szCs w:val="24"/>
          <w:lang w:val="en-US"/>
        </w:rPr>
        <w:t>Movement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23</w:t>
      </w:r>
      <w:r w:rsidRPr="00D50B37">
        <w:rPr>
          <w:rFonts w:ascii="Times New Roman" w:hAnsi="Times New Roman" w:cs="Times New Roman"/>
          <w:sz w:val="24"/>
          <w:szCs w:val="24"/>
          <w:lang w:val="en-US"/>
        </w:rPr>
        <w:t>(8), 1093–1099. https://doi.org/10.1002/mds.21992</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Kühn, A. A., Kupsch, A., Schneider, G.-H., &amp; Brown, P. (2006). </w:t>
      </w:r>
      <w:r w:rsidRPr="00D50B37">
        <w:rPr>
          <w:rFonts w:ascii="Times New Roman" w:hAnsi="Times New Roman" w:cs="Times New Roman"/>
          <w:sz w:val="24"/>
          <w:szCs w:val="24"/>
          <w:lang w:val="en-US"/>
        </w:rPr>
        <w:t xml:space="preserve">Reduction in subthalamic 8-35 Hz oscillatory activity correlates with clinical improvement in Parkinson’s disease: STN activity and motor improvement. </w:t>
      </w:r>
      <w:r w:rsidRPr="00D50B37">
        <w:rPr>
          <w:rFonts w:ascii="Times New Roman" w:hAnsi="Times New Roman" w:cs="Times New Roman"/>
          <w:i/>
          <w:iCs/>
          <w:sz w:val="24"/>
          <w:szCs w:val="24"/>
          <w:lang w:val="en-US"/>
        </w:rPr>
        <w:t>European Journal of Neuroscience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23</w:t>
      </w:r>
      <w:r w:rsidRPr="00D50B37">
        <w:rPr>
          <w:rFonts w:ascii="Times New Roman" w:hAnsi="Times New Roman" w:cs="Times New Roman"/>
          <w:sz w:val="24"/>
          <w:szCs w:val="24"/>
          <w:lang w:val="en-US"/>
        </w:rPr>
        <w:t>(7), 1956–1960. https://doi.org/10.1111/j.1460-9568.2006.04717.x</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lastRenderedPageBreak/>
        <w:t xml:space="preserve">Kutukcu, Y., Marks, W. J., Goodin, D. S., &amp; Aminoff, M. J. (1999). Simple and choice reaction time in Parkinson’s disease. </w:t>
      </w:r>
      <w:r w:rsidRPr="00D50B37">
        <w:rPr>
          <w:rFonts w:ascii="Times New Roman" w:hAnsi="Times New Roman" w:cs="Times New Roman"/>
          <w:i/>
          <w:iCs/>
          <w:sz w:val="24"/>
          <w:szCs w:val="24"/>
          <w:lang w:val="en-US"/>
        </w:rPr>
        <w:t>Brain Research</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815</w:t>
      </w:r>
      <w:r w:rsidRPr="00D50B37">
        <w:rPr>
          <w:rFonts w:ascii="Times New Roman" w:hAnsi="Times New Roman" w:cs="Times New Roman"/>
          <w:sz w:val="24"/>
          <w:szCs w:val="24"/>
          <w:lang w:val="en-US"/>
        </w:rPr>
        <w:t>(2), 367–372. https://doi.org/10.1016/S0006-8993(98)01060-9</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Kuznetsova, A., Brockhoff, P. B., &amp; Christensen, R. H. B. (2017). </w:t>
      </w:r>
      <w:r w:rsidRPr="00D50B37">
        <w:rPr>
          <w:rFonts w:ascii="Times New Roman" w:hAnsi="Times New Roman" w:cs="Times New Roman"/>
          <w:b/>
          <w:bCs/>
          <w:sz w:val="24"/>
          <w:szCs w:val="24"/>
          <w:lang w:val="en-US"/>
        </w:rPr>
        <w:t>lmerTest</w:t>
      </w:r>
      <w:r w:rsidRPr="00D50B37">
        <w:rPr>
          <w:rFonts w:ascii="Times New Roman" w:hAnsi="Times New Roman" w:cs="Times New Roman"/>
          <w:sz w:val="24"/>
          <w:szCs w:val="24"/>
          <w:lang w:val="en-US"/>
        </w:rPr>
        <w:t xml:space="preserve"> Package: Tests in Linear Mixed Effects Models. </w:t>
      </w:r>
      <w:r w:rsidRPr="00D50B37">
        <w:rPr>
          <w:rFonts w:ascii="Times New Roman" w:hAnsi="Times New Roman" w:cs="Times New Roman"/>
          <w:i/>
          <w:iCs/>
          <w:sz w:val="24"/>
          <w:szCs w:val="24"/>
          <w:lang w:val="en-US"/>
        </w:rPr>
        <w:t>Journal of Statistical Software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82</w:t>
      </w:r>
      <w:r w:rsidRPr="00D50B37">
        <w:rPr>
          <w:rFonts w:ascii="Times New Roman" w:hAnsi="Times New Roman" w:cs="Times New Roman"/>
          <w:sz w:val="24"/>
          <w:szCs w:val="24"/>
          <w:lang w:val="en-US"/>
        </w:rPr>
        <w:t>(13). https://doi.org/10.18637/jss.v082.i13</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Limousin, P., Pollak, P., Benazzouz, A., Hoffmann, D., Le Bas, J.-F., Perret, J. E., Benabid, A.-L., &amp; Broussolle, E. (1995). Effect on parkinsonian signs and symptoms of bilateral subthalamic nucleus stimulation. </w:t>
      </w:r>
      <w:r w:rsidRPr="00D50B37">
        <w:rPr>
          <w:rFonts w:ascii="Times New Roman" w:hAnsi="Times New Roman" w:cs="Times New Roman"/>
          <w:i/>
          <w:iCs/>
          <w:sz w:val="24"/>
          <w:szCs w:val="24"/>
          <w:lang w:val="en-US"/>
        </w:rPr>
        <w:t>The Lancet</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345</w:t>
      </w:r>
      <w:r w:rsidRPr="00D50B37">
        <w:rPr>
          <w:rFonts w:ascii="Times New Roman" w:hAnsi="Times New Roman" w:cs="Times New Roman"/>
          <w:sz w:val="24"/>
          <w:szCs w:val="24"/>
          <w:lang w:val="en-US"/>
        </w:rPr>
        <w:t>(8942), 91–95. https://doi.org/10.1016/S0140-6736(95)90062-4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D50B37">
        <w:rPr>
          <w:rFonts w:ascii="Times New Roman" w:hAnsi="Times New Roman" w:cs="Times New Roman"/>
          <w:i/>
          <w:iCs/>
          <w:sz w:val="24"/>
          <w:szCs w:val="24"/>
          <w:lang w:val="en-US"/>
        </w:rPr>
        <w:t>Parkinsonism &amp; Related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13</w:t>
      </w:r>
      <w:r w:rsidRPr="00D50B37">
        <w:rPr>
          <w:rFonts w:ascii="Times New Roman" w:hAnsi="Times New Roman" w:cs="Times New Roman"/>
          <w:sz w:val="24"/>
          <w:szCs w:val="24"/>
          <w:lang w:val="en-US"/>
        </w:rPr>
        <w:t>(8), 528–531. https://doi.org/10.1016/j.parkreldis.2006.12.013</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Neumann, C. (2022). Master-CAU. </w:t>
      </w:r>
      <w:r w:rsidRPr="00D50B37">
        <w:rPr>
          <w:rFonts w:ascii="Times New Roman" w:hAnsi="Times New Roman" w:cs="Times New Roman"/>
          <w:i/>
          <w:iCs/>
          <w:sz w:val="24"/>
          <w:szCs w:val="24"/>
          <w:lang w:val="en-US"/>
        </w:rPr>
        <w:t>Local Field Potentials from DBS surgery</w:t>
      </w:r>
      <w:r w:rsidRPr="00D50B37">
        <w:rPr>
          <w:rFonts w:ascii="Times New Roman" w:hAnsi="Times New Roman" w:cs="Times New Roman"/>
          <w:sz w:val="24"/>
          <w:szCs w:val="24"/>
          <w:lang w:val="en-US"/>
        </w:rPr>
        <w:t>. https://github.com/christianneumannCAU/Master-CAU</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Odekerken, V. J., van Laar, T., Staal, M. J., Mosch, A., Hoffmann, C. F., Nijssen, P. C., Beute, G. N., van Vugt, J. P., Lenders, M. W., Contarino, M. F., Mink, M. S., Bour, L. J., van den Munckhof, P., Schmand, B. A., de Haan, R. J., Schuurman, P. R., &amp; de Bie, R. M. (2013). </w:t>
      </w:r>
      <w:r w:rsidRPr="00D50B37">
        <w:rPr>
          <w:rFonts w:ascii="Times New Roman" w:hAnsi="Times New Roman" w:cs="Times New Roman"/>
          <w:sz w:val="24"/>
          <w:szCs w:val="24"/>
          <w:lang w:val="en-US"/>
        </w:rPr>
        <w:t xml:space="preserve">Subthalamic nucleus versus globus pallidus bilateral deep brain stimulation for advanced Parkinson’s disease (NSTAPS study): A randomised controlled trial. </w:t>
      </w:r>
      <w:r w:rsidRPr="00D50B37">
        <w:rPr>
          <w:rFonts w:ascii="Times New Roman" w:hAnsi="Times New Roman" w:cs="Times New Roman"/>
          <w:i/>
          <w:iCs/>
          <w:sz w:val="24"/>
          <w:szCs w:val="24"/>
          <w:lang w:val="en-US"/>
        </w:rPr>
        <w:t>The Lancet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12</w:t>
      </w:r>
      <w:r w:rsidRPr="00D50B37">
        <w:rPr>
          <w:rFonts w:ascii="Times New Roman" w:hAnsi="Times New Roman" w:cs="Times New Roman"/>
          <w:sz w:val="24"/>
          <w:szCs w:val="24"/>
          <w:lang w:val="en-US"/>
        </w:rPr>
        <w:t>(1), 37–44. https://doi.org/10.1016/S1474-4422(12)70264-8</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lastRenderedPageBreak/>
        <w:t xml:space="preserve">Oostenveld, R. (2018). Fieldtriptoolbox. </w:t>
      </w:r>
      <w:r w:rsidRPr="00D50B37">
        <w:rPr>
          <w:rFonts w:ascii="Times New Roman" w:hAnsi="Times New Roman" w:cs="Times New Roman"/>
          <w:i/>
          <w:iCs/>
          <w:sz w:val="24"/>
          <w:szCs w:val="24"/>
          <w:lang w:val="en-US"/>
        </w:rPr>
        <w:t>Time-frequency analysis using Hanning window, multitapers and wavelets</w:t>
      </w:r>
      <w:r w:rsidRPr="00D50B37">
        <w:rPr>
          <w:rFonts w:ascii="Times New Roman" w:hAnsi="Times New Roman" w:cs="Times New Roman"/>
          <w:sz w:val="24"/>
          <w:szCs w:val="24"/>
          <w:lang w:val="en-US"/>
        </w:rPr>
        <w:t>. https://www.fieldtriptoolbox.org/tutorial/timefrequencyanalysis/</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Oostenveld, R., Fries, P., Maris, E., &amp; Schoffelen, J.-M. (2011). FieldTrip: Open Source Software for Advanced Analysis of MEG, EEG, and Invasive Electrophysiological Data. </w:t>
      </w:r>
      <w:r w:rsidRPr="00D50B37">
        <w:rPr>
          <w:rFonts w:ascii="Times New Roman" w:hAnsi="Times New Roman" w:cs="Times New Roman"/>
          <w:i/>
          <w:iCs/>
          <w:sz w:val="24"/>
          <w:szCs w:val="24"/>
          <w:lang w:val="en-US"/>
        </w:rPr>
        <w:t>Computational Intelligence and Neuroscience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2011</w:t>
      </w:r>
      <w:r w:rsidRPr="00D50B37">
        <w:rPr>
          <w:rFonts w:ascii="Times New Roman" w:hAnsi="Times New Roman" w:cs="Times New Roman"/>
          <w:sz w:val="24"/>
          <w:szCs w:val="24"/>
          <w:lang w:val="en-US"/>
        </w:rPr>
        <w:t>, 1–9. https://doi.org/10.1155/2011/156869</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Opri, E., Cernera, S., Molina, R., Eisinger, R. S., Cagle, J. N., Almeida, L., Denison, T., Okun, M. S., Foote, K. D., &amp; Gunduz, A. (2020). Chronic embedded cortico-thalamic closed-loop deep brain stimulation for the treatment of essential tremor. </w:t>
      </w:r>
      <w:r w:rsidRPr="00D50B37">
        <w:rPr>
          <w:rFonts w:ascii="Times New Roman" w:hAnsi="Times New Roman" w:cs="Times New Roman"/>
          <w:i/>
          <w:iCs/>
          <w:sz w:val="24"/>
          <w:szCs w:val="24"/>
          <w:lang w:val="en-US"/>
        </w:rPr>
        <w:t>Science Translational Medicine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12</w:t>
      </w:r>
      <w:r w:rsidRPr="00D50B37">
        <w:rPr>
          <w:rFonts w:ascii="Times New Roman" w:hAnsi="Times New Roman" w:cs="Times New Roman"/>
          <w:sz w:val="24"/>
          <w:szCs w:val="24"/>
          <w:lang w:val="en-US"/>
        </w:rPr>
        <w:t>(572), eaay7680. https://doi.org/10.1126/scitranslmed.aay7680</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Poewe, W., Seppi, K., Tanner, C. M., Halliday, G. M., Brundin, P., Volkmann, J., Schrag, A.-E., &amp; Lang, A. E. (2017). Parkinson disease. </w:t>
      </w:r>
      <w:r w:rsidRPr="00D50B37">
        <w:rPr>
          <w:rFonts w:ascii="Times New Roman" w:hAnsi="Times New Roman" w:cs="Times New Roman"/>
          <w:i/>
          <w:iCs/>
          <w:sz w:val="24"/>
          <w:szCs w:val="24"/>
          <w:lang w:val="en-US"/>
        </w:rPr>
        <w:t>Nature Reviews Disease Primers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w:t>
      </w:r>
      <w:r w:rsidRPr="00D50B37">
        <w:rPr>
          <w:rFonts w:ascii="Times New Roman" w:hAnsi="Times New Roman" w:cs="Times New Roman"/>
          <w:sz w:val="24"/>
          <w:szCs w:val="24"/>
          <w:lang w:val="en-US"/>
        </w:rPr>
        <w:t>(1), 17013. https://doi.org/10.1038/nrdp.2017.13</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rPr>
        <w:t xml:space="preserve">Postuma, R. B., Berg, D., Stern, M., Poewe, W., Olanow, C. W., Oertel, W., Obeso, J., Marek, K., Litvan, I., Lang, A. E., Halliday, G., Goetz, C. G., Gasser, T., Dubois, B., Chan, P., Bloem, B. R., Adler, C. H., &amp; Deuschl, G. (2015). </w:t>
      </w:r>
      <w:r w:rsidRPr="00D50B37">
        <w:rPr>
          <w:rFonts w:ascii="Times New Roman" w:hAnsi="Times New Roman" w:cs="Times New Roman"/>
          <w:sz w:val="24"/>
          <w:szCs w:val="24"/>
          <w:lang w:val="en-US"/>
        </w:rPr>
        <w:t xml:space="preserve">MDS clinical diagnostic criteria for Parkinson’s disease: MDS-PD Clinical Diagnostic Criteria. </w:t>
      </w:r>
      <w:r w:rsidRPr="00D50B37">
        <w:rPr>
          <w:rFonts w:ascii="Times New Roman" w:hAnsi="Times New Roman" w:cs="Times New Roman"/>
          <w:i/>
          <w:iCs/>
          <w:sz w:val="24"/>
          <w:szCs w:val="24"/>
          <w:lang w:val="en-US"/>
        </w:rPr>
        <w:t>Movement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30</w:t>
      </w:r>
      <w:r w:rsidRPr="00D50B37">
        <w:rPr>
          <w:rFonts w:ascii="Times New Roman" w:hAnsi="Times New Roman" w:cs="Times New Roman"/>
          <w:sz w:val="24"/>
          <w:szCs w:val="24"/>
          <w:lang w:val="en-US"/>
        </w:rPr>
        <w:t>(12), 1591–1601. https://doi.org/10.1002/mds.26424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Prakash, K. M., Nadkarni, N. V., Lye, W.-K., Yong, M.-H., &amp; Tan, E.-K. (2016). The impact of non-motor symptoms on the quality of life of Parkinson’s disease patients: A longitudinal study. </w:t>
      </w:r>
      <w:r w:rsidRPr="00D50B37">
        <w:rPr>
          <w:rFonts w:ascii="Times New Roman" w:hAnsi="Times New Roman" w:cs="Times New Roman"/>
          <w:i/>
          <w:iCs/>
          <w:sz w:val="24"/>
          <w:szCs w:val="24"/>
          <w:lang w:val="en-US"/>
        </w:rPr>
        <w:t>European Journal of Neurology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23</w:t>
      </w:r>
      <w:r w:rsidRPr="00D50B37">
        <w:rPr>
          <w:rFonts w:ascii="Times New Roman" w:hAnsi="Times New Roman" w:cs="Times New Roman"/>
          <w:sz w:val="24"/>
          <w:szCs w:val="24"/>
          <w:lang w:val="en-US"/>
        </w:rPr>
        <w:t>(5), 854–860. https://doi.org/10.1111/ene.12950</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lastRenderedPageBreak/>
        <w:t xml:space="preserve">Rahman, S., Griffin, H. J., Quinn, N. P., &amp; Jahanshahi, M. (2008). Quality of life in Parkinson’s disease: The relative importance of the symptoms. </w:t>
      </w:r>
      <w:r w:rsidRPr="00D50B37">
        <w:rPr>
          <w:rFonts w:ascii="Times New Roman" w:hAnsi="Times New Roman" w:cs="Times New Roman"/>
          <w:i/>
          <w:iCs/>
          <w:sz w:val="24"/>
          <w:szCs w:val="24"/>
          <w:lang w:val="en-US"/>
        </w:rPr>
        <w:t>Movement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23</w:t>
      </w:r>
      <w:r w:rsidRPr="00D50B37">
        <w:rPr>
          <w:rFonts w:ascii="Times New Roman" w:hAnsi="Times New Roman" w:cs="Times New Roman"/>
          <w:sz w:val="24"/>
          <w:szCs w:val="24"/>
          <w:lang w:val="en-US"/>
        </w:rPr>
        <w:t>(10), 1428–1434. https://doi.org/10.1002/mds.21667</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D50B37">
        <w:rPr>
          <w:rFonts w:ascii="Times New Roman" w:hAnsi="Times New Roman" w:cs="Times New Roman"/>
          <w:i/>
          <w:iCs/>
          <w:sz w:val="24"/>
          <w:szCs w:val="24"/>
          <w:lang w:val="en-US"/>
        </w:rPr>
        <w:t>Methods in Ecology and Evolution</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11</w:t>
      </w:r>
      <w:r w:rsidRPr="00D50B37">
        <w:rPr>
          <w:rFonts w:ascii="Times New Roman" w:hAnsi="Times New Roman" w:cs="Times New Roman"/>
          <w:sz w:val="24"/>
          <w:szCs w:val="24"/>
          <w:lang w:val="en-US"/>
        </w:rPr>
        <w:t>(9), 1141–1152. https://doi.org/10.1111/2041-210X.13434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Simon, D. K., Tanner, C. M., &amp; Brundin, P. (2020). Parkinson Disease Epidemiology, Pathology, Genetics, and Pathophysiology. </w:t>
      </w:r>
      <w:r w:rsidRPr="00D50B37">
        <w:rPr>
          <w:rFonts w:ascii="Times New Roman" w:hAnsi="Times New Roman" w:cs="Times New Roman"/>
          <w:i/>
          <w:iCs/>
          <w:sz w:val="24"/>
          <w:szCs w:val="24"/>
          <w:lang w:val="en-US"/>
        </w:rPr>
        <w:t>Clinics in Geriatric Medicine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36</w:t>
      </w:r>
      <w:r w:rsidRPr="00D50B37">
        <w:rPr>
          <w:rFonts w:ascii="Times New Roman" w:hAnsi="Times New Roman" w:cs="Times New Roman"/>
          <w:sz w:val="24"/>
          <w:szCs w:val="24"/>
          <w:lang w:val="en-US"/>
        </w:rPr>
        <w:t>(1), 1–12. https://doi.org/10.1016/j.cger.2019.08.002</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Telkes, I., Jimenez-Shahed, J., Viswanathan, A., Abosch, A., &amp; Ince, N. F. (2016). Prediction of STN-DBS Electrode Implantation Track in Parkinson’s Disease by Using Local Field Potentials. </w:t>
      </w:r>
      <w:r w:rsidRPr="00D50B37">
        <w:rPr>
          <w:rFonts w:ascii="Times New Roman" w:hAnsi="Times New Roman" w:cs="Times New Roman"/>
          <w:i/>
          <w:iCs/>
          <w:sz w:val="24"/>
          <w:szCs w:val="24"/>
          <w:lang w:val="en-US"/>
        </w:rPr>
        <w:t>Frontiers in Neuroscience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10</w:t>
      </w:r>
      <w:r w:rsidRPr="00D50B37">
        <w:rPr>
          <w:rFonts w:ascii="Times New Roman" w:hAnsi="Times New Roman" w:cs="Times New Roman"/>
          <w:sz w:val="24"/>
          <w:szCs w:val="24"/>
          <w:lang w:val="en-US"/>
        </w:rPr>
        <w:t>. https://doi.org/10.3389/fnins.2016.00198</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Telkes, I., Sabourin, S., Durphy, J., Adam, O., Sukul, V., Raviv, N., Staudt, M. D., &amp; Pilitsis, J. G. (2020). Functional Use of Directional Local Field Potentials in the Subthalamic Nucleus Deep Brain Stimulation. </w:t>
      </w:r>
      <w:r w:rsidRPr="00D50B37">
        <w:rPr>
          <w:rFonts w:ascii="Times New Roman" w:hAnsi="Times New Roman" w:cs="Times New Roman"/>
          <w:i/>
          <w:iCs/>
          <w:sz w:val="24"/>
          <w:szCs w:val="24"/>
          <w:lang w:val="en-US"/>
        </w:rPr>
        <w:t>Frontiers in Human Neuroscience</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14</w:t>
      </w:r>
      <w:r w:rsidRPr="00D50B37">
        <w:rPr>
          <w:rFonts w:ascii="Times New Roman" w:hAnsi="Times New Roman" w:cs="Times New Roman"/>
          <w:sz w:val="24"/>
          <w:szCs w:val="24"/>
          <w:lang w:val="en-US"/>
        </w:rPr>
        <w:t>, 145. https://doi.org/10.3389/fnhum.2020.00145</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Thenganatt, M. A., &amp; Jankovic, J. (2016). The relationship between essential tremor and Parkinson’s disease. </w:t>
      </w:r>
      <w:r w:rsidRPr="00D50B37">
        <w:rPr>
          <w:rFonts w:ascii="Times New Roman" w:hAnsi="Times New Roman" w:cs="Times New Roman"/>
          <w:i/>
          <w:iCs/>
          <w:sz w:val="24"/>
          <w:szCs w:val="24"/>
          <w:lang w:val="en-US"/>
        </w:rPr>
        <w:t>Parkinsonism &amp; Related Disorders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22</w:t>
      </w:r>
      <w:r w:rsidRPr="00D50B37">
        <w:rPr>
          <w:rFonts w:ascii="Times New Roman" w:hAnsi="Times New Roman" w:cs="Times New Roman"/>
          <w:sz w:val="24"/>
          <w:szCs w:val="24"/>
          <w:lang w:val="en-US"/>
        </w:rPr>
        <w:t>, S162–S165. https://doi.org/10.1016/j.parkreldis.2015.09.032</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Thenganatt, M. A., &amp; Louis, E. D. (2012). Distinguishing essential tremor from Parkinson’s disease: Bedside tests and laboratory evaluations. </w:t>
      </w:r>
      <w:r w:rsidRPr="00D50B37">
        <w:rPr>
          <w:rFonts w:ascii="Times New Roman" w:hAnsi="Times New Roman" w:cs="Times New Roman"/>
          <w:i/>
          <w:iCs/>
          <w:sz w:val="24"/>
          <w:szCs w:val="24"/>
          <w:lang w:val="en-US"/>
        </w:rPr>
        <w:t>Expert Review of Neurotherapeutics</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12</w:t>
      </w:r>
      <w:r w:rsidRPr="00D50B37">
        <w:rPr>
          <w:rFonts w:ascii="Times New Roman" w:hAnsi="Times New Roman" w:cs="Times New Roman"/>
          <w:sz w:val="24"/>
          <w:szCs w:val="24"/>
          <w:lang w:val="en-US"/>
        </w:rPr>
        <w:t>(6), 687–696. https://doi.org/10.1586/ern.12.49</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lastRenderedPageBreak/>
        <w:t xml:space="preserve">Thompson, J. A., Oukal, S., Bergman, H., Ojemann, S., Hebb, A. O., Hanrahan, S., Israel, Z., &amp; Abosch, A. (2018). Semi-automated application for estimating subthalamic nucleus boundaries and optimal target selection for deep brain stimulation implantation surgery. </w:t>
      </w:r>
      <w:r w:rsidRPr="00D50B37">
        <w:rPr>
          <w:rFonts w:ascii="Times New Roman" w:hAnsi="Times New Roman" w:cs="Times New Roman"/>
          <w:i/>
          <w:iCs/>
          <w:sz w:val="24"/>
          <w:szCs w:val="24"/>
          <w:lang w:val="en-US"/>
        </w:rPr>
        <w:t>Journal of Neurosurgery</w:t>
      </w:r>
      <w:r w:rsidRPr="00D50B37">
        <w:rPr>
          <w:rFonts w:ascii="Times New Roman" w:hAnsi="Times New Roman" w:cs="Times New Roman"/>
          <w:sz w:val="24"/>
          <w:szCs w:val="24"/>
          <w:lang w:val="en-US"/>
        </w:rPr>
        <w:t>, 1–10. https://doi.org/10.3171/2017.12.JNS171964</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Verhagen, R., Schuurman, P. R., van den Munckhof, P., Contarino, M. F., de Bie, R. M. A., &amp; Bour, L. J. (2016). Comparative study of microelectrode recording-based STN location and MRI-based STN location in low to ultra-high field (7.0 T) T2-weighted MRI images. </w:t>
      </w:r>
      <w:r w:rsidRPr="00D50B37">
        <w:rPr>
          <w:rFonts w:ascii="Times New Roman" w:hAnsi="Times New Roman" w:cs="Times New Roman"/>
          <w:i/>
          <w:iCs/>
          <w:sz w:val="24"/>
          <w:szCs w:val="24"/>
          <w:lang w:val="en-US"/>
        </w:rPr>
        <w:t>Journal of Neural Engineering</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13</w:t>
      </w:r>
      <w:r w:rsidRPr="00D50B37">
        <w:rPr>
          <w:rFonts w:ascii="Times New Roman" w:hAnsi="Times New Roman" w:cs="Times New Roman"/>
          <w:sz w:val="24"/>
          <w:szCs w:val="24"/>
          <w:lang w:val="en-US"/>
        </w:rPr>
        <w:t>(6), 066009. https://doi.org/10.1088/1741-2560/13/6/066009</w:t>
      </w:r>
    </w:p>
    <w:p w:rsidR="00D50B37" w:rsidRPr="00D50B37" w:rsidRDefault="00D50B37" w:rsidP="00D50B37">
      <w:pPr>
        <w:pStyle w:val="Literaturverzeichnis"/>
        <w:rPr>
          <w:rFonts w:ascii="Times New Roman" w:hAnsi="Times New Roman" w:cs="Times New Roman"/>
          <w:sz w:val="24"/>
          <w:szCs w:val="24"/>
          <w:lang w:val="en-US"/>
        </w:rPr>
      </w:pPr>
      <w:r w:rsidRPr="00D50B37">
        <w:rPr>
          <w:rFonts w:ascii="Times New Roman" w:hAnsi="Times New Roman" w:cs="Times New Roman"/>
          <w:sz w:val="24"/>
          <w:szCs w:val="24"/>
          <w:lang w:val="en-US"/>
        </w:rPr>
        <w:t xml:space="preserve">Voytek, B., &amp; Knight, R. T. (2015). Dynamic Network Communication as a Unifying Neural Basis for Cognition, Development, Aging, and Disease. </w:t>
      </w:r>
      <w:r w:rsidRPr="00D50B37">
        <w:rPr>
          <w:rFonts w:ascii="Times New Roman" w:hAnsi="Times New Roman" w:cs="Times New Roman"/>
          <w:i/>
          <w:iCs/>
          <w:sz w:val="24"/>
          <w:szCs w:val="24"/>
          <w:lang w:val="en-US"/>
        </w:rPr>
        <w:t>Biological Psychiatry</w:t>
      </w:r>
      <w:r w:rsidRPr="00D50B37">
        <w:rPr>
          <w:rFonts w:ascii="Times New Roman" w:hAnsi="Times New Roman" w:cs="Times New Roman"/>
          <w:sz w:val="24"/>
          <w:szCs w:val="24"/>
          <w:lang w:val="en-US"/>
        </w:rPr>
        <w:t xml:space="preserve">, </w:t>
      </w:r>
      <w:r w:rsidRPr="00D50B37">
        <w:rPr>
          <w:rFonts w:ascii="Times New Roman" w:hAnsi="Times New Roman" w:cs="Times New Roman"/>
          <w:i/>
          <w:iCs/>
          <w:sz w:val="24"/>
          <w:szCs w:val="24"/>
          <w:lang w:val="en-US"/>
        </w:rPr>
        <w:t>77</w:t>
      </w:r>
      <w:r w:rsidRPr="00D50B37">
        <w:rPr>
          <w:rFonts w:ascii="Times New Roman" w:hAnsi="Times New Roman" w:cs="Times New Roman"/>
          <w:sz w:val="24"/>
          <w:szCs w:val="24"/>
          <w:lang w:val="en-US"/>
        </w:rPr>
        <w:t>(12), 1089–1097. https://doi.org/10.1016/j.biopsych.2015.04.016</w:t>
      </w:r>
    </w:p>
    <w:p w:rsidR="00D50B37" w:rsidRPr="00D50B37" w:rsidRDefault="00D50B37" w:rsidP="00D50B37">
      <w:pPr>
        <w:pStyle w:val="Literaturverzeichnis"/>
        <w:rPr>
          <w:rFonts w:ascii="Times New Roman" w:hAnsi="Times New Roman" w:cs="Times New Roman"/>
          <w:sz w:val="24"/>
          <w:szCs w:val="24"/>
        </w:rPr>
      </w:pPr>
      <w:r w:rsidRPr="00D50B37">
        <w:rPr>
          <w:rFonts w:ascii="Times New Roman" w:hAnsi="Times New Roman" w:cs="Times New Roman"/>
          <w:sz w:val="24"/>
          <w:szCs w:val="24"/>
          <w:lang w:val="en-US"/>
        </w:rPr>
        <w:t xml:space="preserve">Wichmann, T. (2019). Changing views of the pathophysiology of Parkinsonism. </w:t>
      </w:r>
      <w:r w:rsidRPr="00D50B37">
        <w:rPr>
          <w:rFonts w:ascii="Times New Roman" w:hAnsi="Times New Roman" w:cs="Times New Roman"/>
          <w:i/>
          <w:iCs/>
          <w:sz w:val="24"/>
          <w:szCs w:val="24"/>
        </w:rPr>
        <w:t>Movement Disorders</w:t>
      </w:r>
      <w:r w:rsidRPr="00D50B37">
        <w:rPr>
          <w:rFonts w:ascii="Times New Roman" w:hAnsi="Times New Roman" w:cs="Times New Roman"/>
          <w:sz w:val="24"/>
          <w:szCs w:val="24"/>
        </w:rPr>
        <w:t xml:space="preserve">, </w:t>
      </w:r>
      <w:r w:rsidRPr="00D50B37">
        <w:rPr>
          <w:rFonts w:ascii="Times New Roman" w:hAnsi="Times New Roman" w:cs="Times New Roman"/>
          <w:i/>
          <w:iCs/>
          <w:sz w:val="24"/>
          <w:szCs w:val="24"/>
        </w:rPr>
        <w:t>34</w:t>
      </w:r>
      <w:r w:rsidRPr="00D50B37">
        <w:rPr>
          <w:rFonts w:ascii="Times New Roman" w:hAnsi="Times New Roman" w:cs="Times New Roman"/>
          <w:sz w:val="24"/>
          <w:szCs w:val="24"/>
        </w:rPr>
        <w:t>(8), 1130–1143. https://doi.org/10.1002/mds.27741</w:t>
      </w:r>
    </w:p>
    <w:p w:rsidR="00D50B37" w:rsidRPr="00D50B37" w:rsidRDefault="00D50B37" w:rsidP="00D50B37">
      <w:pPr>
        <w:pStyle w:val="Literaturverzeichnis"/>
        <w:rPr>
          <w:rFonts w:ascii="Times New Roman" w:hAnsi="Times New Roman" w:cs="Times New Roman"/>
          <w:sz w:val="24"/>
          <w:szCs w:val="24"/>
        </w:rPr>
      </w:pPr>
      <w:r w:rsidRPr="00D50B37">
        <w:rPr>
          <w:rFonts w:ascii="Times New Roman" w:hAnsi="Times New Roman" w:cs="Times New Roman"/>
          <w:sz w:val="24"/>
          <w:szCs w:val="24"/>
        </w:rPr>
        <w:t xml:space="preserve">Zaidel, A., Spivak, A., Grieb, B., Bergman, H., &amp; Israel, Z. (2010). </w:t>
      </w:r>
      <w:r w:rsidRPr="00D50B37">
        <w:rPr>
          <w:rFonts w:ascii="Times New Roman" w:hAnsi="Times New Roman" w:cs="Times New Roman"/>
          <w:sz w:val="24"/>
          <w:szCs w:val="24"/>
          <w:lang w:val="en-US"/>
        </w:rPr>
        <w:t xml:space="preserve">Subthalamic span of oscillations predicts deep brain stimulation efficacy for patients with Parkinson’s disease. </w:t>
      </w:r>
      <w:r w:rsidRPr="00D50B37">
        <w:rPr>
          <w:rFonts w:ascii="Times New Roman" w:hAnsi="Times New Roman" w:cs="Times New Roman"/>
          <w:i/>
          <w:iCs/>
          <w:sz w:val="24"/>
          <w:szCs w:val="24"/>
        </w:rPr>
        <w:t>Brain</w:t>
      </w:r>
      <w:r w:rsidRPr="00D50B37">
        <w:rPr>
          <w:rFonts w:ascii="Times New Roman" w:hAnsi="Times New Roman" w:cs="Times New Roman"/>
          <w:sz w:val="24"/>
          <w:szCs w:val="24"/>
        </w:rPr>
        <w:t xml:space="preserve">, </w:t>
      </w:r>
      <w:r w:rsidRPr="00D50B37">
        <w:rPr>
          <w:rFonts w:ascii="Times New Roman" w:hAnsi="Times New Roman" w:cs="Times New Roman"/>
          <w:i/>
          <w:iCs/>
          <w:sz w:val="24"/>
          <w:szCs w:val="24"/>
        </w:rPr>
        <w:t>133</w:t>
      </w:r>
      <w:r w:rsidRPr="00D50B37">
        <w:rPr>
          <w:rFonts w:ascii="Times New Roman" w:hAnsi="Times New Roman" w:cs="Times New Roman"/>
          <w:sz w:val="24"/>
          <w:szCs w:val="24"/>
        </w:rPr>
        <w:t>(7), 2007–2021. https://doi.org/10.1093/brain/awq144</w:t>
      </w:r>
    </w:p>
    <w:p w:rsidR="00CC4BAA" w:rsidRPr="00323C8A" w:rsidRDefault="00D26C2C" w:rsidP="00D50B37">
      <w:pPr>
        <w:spacing w:line="480" w:lineRule="auto"/>
        <w:jc w:val="both"/>
        <w:rPr>
          <w:rFonts w:ascii="Times New Roman" w:hAnsi="Times New Roman" w:cs="Times New Roman"/>
          <w:sz w:val="24"/>
          <w:szCs w:val="24"/>
        </w:rPr>
      </w:pPr>
      <w:r w:rsidRPr="00D50B37">
        <w:rPr>
          <w:rFonts w:ascii="Times New Roman" w:hAnsi="Times New Roman" w:cs="Times New Roman"/>
          <w:sz w:val="24"/>
          <w:szCs w:val="24"/>
          <w:lang w:val="en-US"/>
        </w:rPr>
        <w:fldChar w:fldCharType="end"/>
      </w:r>
    </w:p>
    <w:p w:rsidR="00CC4BAA" w:rsidRPr="00323C8A" w:rsidRDefault="00CC4BAA" w:rsidP="00D50B37">
      <w:pPr>
        <w:spacing w:line="480" w:lineRule="auto"/>
      </w:pPr>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7" w:name="_Toc104032900"/>
      <w:r w:rsidRPr="000C03D8">
        <w:rPr>
          <w:rFonts w:ascii="Times New Roman" w:hAnsi="Times New Roman" w:cs="Times New Roman"/>
          <w:b/>
          <w:color w:val="auto"/>
        </w:rPr>
        <w:lastRenderedPageBreak/>
        <w:t>Anhang</w:t>
      </w:r>
      <w:bookmarkEnd w:id="37"/>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27D" w:rsidRDefault="0090127D" w:rsidP="009A4076">
      <w:pPr>
        <w:spacing w:after="0" w:line="240" w:lineRule="auto"/>
      </w:pPr>
      <w:r>
        <w:separator/>
      </w:r>
    </w:p>
  </w:endnote>
  <w:endnote w:type="continuationSeparator" w:id="0">
    <w:p w:rsidR="0090127D" w:rsidRDefault="0090127D"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27D" w:rsidRDefault="0090127D" w:rsidP="009A4076">
      <w:pPr>
        <w:spacing w:after="0" w:line="240" w:lineRule="auto"/>
      </w:pPr>
      <w:r>
        <w:separator/>
      </w:r>
    </w:p>
  </w:footnote>
  <w:footnote w:type="continuationSeparator" w:id="0">
    <w:p w:rsidR="0090127D" w:rsidRDefault="0090127D"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EndPr/>
    <w:sdtContent>
      <w:p w:rsidR="005D3C64" w:rsidRDefault="005D3C64">
        <w:pPr>
          <w:pStyle w:val="Kopfzeile"/>
          <w:jc w:val="right"/>
        </w:pPr>
        <w:r>
          <w:fldChar w:fldCharType="begin"/>
        </w:r>
        <w:r>
          <w:instrText>PAGE   \* MERGEFORMAT</w:instrText>
        </w:r>
        <w:r>
          <w:fldChar w:fldCharType="separate"/>
        </w:r>
        <w:r w:rsidR="00D049A4">
          <w:rPr>
            <w:noProof/>
          </w:rPr>
          <w:t>21</w:t>
        </w:r>
        <w:r>
          <w:fldChar w:fldCharType="end"/>
        </w:r>
      </w:p>
    </w:sdtContent>
  </w:sdt>
  <w:p w:rsidR="005D3C64" w:rsidRDefault="005D3C6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1E82"/>
    <w:rsid w:val="0001456B"/>
    <w:rsid w:val="00023F1B"/>
    <w:rsid w:val="00030807"/>
    <w:rsid w:val="00030E79"/>
    <w:rsid w:val="00031685"/>
    <w:rsid w:val="00031E37"/>
    <w:rsid w:val="00032EB0"/>
    <w:rsid w:val="000476AB"/>
    <w:rsid w:val="000502CA"/>
    <w:rsid w:val="000623F1"/>
    <w:rsid w:val="0006445C"/>
    <w:rsid w:val="0006494A"/>
    <w:rsid w:val="00064BC6"/>
    <w:rsid w:val="000650BB"/>
    <w:rsid w:val="0007089E"/>
    <w:rsid w:val="000716BE"/>
    <w:rsid w:val="00075707"/>
    <w:rsid w:val="00080289"/>
    <w:rsid w:val="000823D8"/>
    <w:rsid w:val="00084A45"/>
    <w:rsid w:val="00085C3F"/>
    <w:rsid w:val="00087CA9"/>
    <w:rsid w:val="00094EA7"/>
    <w:rsid w:val="00095346"/>
    <w:rsid w:val="00095EE7"/>
    <w:rsid w:val="00095FB9"/>
    <w:rsid w:val="0009709E"/>
    <w:rsid w:val="000A2779"/>
    <w:rsid w:val="000A456E"/>
    <w:rsid w:val="000A59CC"/>
    <w:rsid w:val="000A7B2C"/>
    <w:rsid w:val="000A7E18"/>
    <w:rsid w:val="000B4D69"/>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0F4A09"/>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0713"/>
    <w:rsid w:val="00151D50"/>
    <w:rsid w:val="00152A83"/>
    <w:rsid w:val="00153082"/>
    <w:rsid w:val="00154D3B"/>
    <w:rsid w:val="00155869"/>
    <w:rsid w:val="00155949"/>
    <w:rsid w:val="001579F1"/>
    <w:rsid w:val="00160570"/>
    <w:rsid w:val="00160B62"/>
    <w:rsid w:val="00162609"/>
    <w:rsid w:val="00171926"/>
    <w:rsid w:val="00174D0A"/>
    <w:rsid w:val="0017793E"/>
    <w:rsid w:val="00183EF5"/>
    <w:rsid w:val="001879D9"/>
    <w:rsid w:val="00190BF4"/>
    <w:rsid w:val="00193E0E"/>
    <w:rsid w:val="00193E65"/>
    <w:rsid w:val="00196173"/>
    <w:rsid w:val="0019788E"/>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E53ED"/>
    <w:rsid w:val="001F213D"/>
    <w:rsid w:val="001F2601"/>
    <w:rsid w:val="001F55D6"/>
    <w:rsid w:val="001F6663"/>
    <w:rsid w:val="001F6781"/>
    <w:rsid w:val="001F68C6"/>
    <w:rsid w:val="00202D62"/>
    <w:rsid w:val="00206261"/>
    <w:rsid w:val="0020690E"/>
    <w:rsid w:val="00206C21"/>
    <w:rsid w:val="0021190D"/>
    <w:rsid w:val="002123C3"/>
    <w:rsid w:val="002128B3"/>
    <w:rsid w:val="00217D73"/>
    <w:rsid w:val="002218C5"/>
    <w:rsid w:val="00227DDF"/>
    <w:rsid w:val="00230440"/>
    <w:rsid w:val="00232E75"/>
    <w:rsid w:val="0023392E"/>
    <w:rsid w:val="00245ED2"/>
    <w:rsid w:val="002470B9"/>
    <w:rsid w:val="0024755B"/>
    <w:rsid w:val="00250996"/>
    <w:rsid w:val="00253D57"/>
    <w:rsid w:val="00254332"/>
    <w:rsid w:val="002551ED"/>
    <w:rsid w:val="00255E11"/>
    <w:rsid w:val="00257001"/>
    <w:rsid w:val="0026647E"/>
    <w:rsid w:val="00267210"/>
    <w:rsid w:val="002810FD"/>
    <w:rsid w:val="0028116E"/>
    <w:rsid w:val="00291CCA"/>
    <w:rsid w:val="002A2765"/>
    <w:rsid w:val="002A3CF9"/>
    <w:rsid w:val="002A42DB"/>
    <w:rsid w:val="002A5B77"/>
    <w:rsid w:val="002B033C"/>
    <w:rsid w:val="002B2F2C"/>
    <w:rsid w:val="002B3B68"/>
    <w:rsid w:val="002C0AF9"/>
    <w:rsid w:val="002C2F0B"/>
    <w:rsid w:val="002D00C1"/>
    <w:rsid w:val="002E1176"/>
    <w:rsid w:val="002F0E30"/>
    <w:rsid w:val="002F21E3"/>
    <w:rsid w:val="002F2462"/>
    <w:rsid w:val="002F2E0E"/>
    <w:rsid w:val="002F2F98"/>
    <w:rsid w:val="002F4B56"/>
    <w:rsid w:val="002F55DE"/>
    <w:rsid w:val="002F5766"/>
    <w:rsid w:val="002F5F14"/>
    <w:rsid w:val="002F7E01"/>
    <w:rsid w:val="002F7FB3"/>
    <w:rsid w:val="00304D31"/>
    <w:rsid w:val="00304D59"/>
    <w:rsid w:val="00306F70"/>
    <w:rsid w:val="00307308"/>
    <w:rsid w:val="00307BA4"/>
    <w:rsid w:val="00317441"/>
    <w:rsid w:val="0032010C"/>
    <w:rsid w:val="00321F42"/>
    <w:rsid w:val="003224DE"/>
    <w:rsid w:val="003235F2"/>
    <w:rsid w:val="00323C8A"/>
    <w:rsid w:val="00325273"/>
    <w:rsid w:val="00325C5E"/>
    <w:rsid w:val="00327F8E"/>
    <w:rsid w:val="003322D2"/>
    <w:rsid w:val="003349A0"/>
    <w:rsid w:val="00335719"/>
    <w:rsid w:val="00335D4C"/>
    <w:rsid w:val="003369C1"/>
    <w:rsid w:val="0033728A"/>
    <w:rsid w:val="00337758"/>
    <w:rsid w:val="00337D8D"/>
    <w:rsid w:val="00340031"/>
    <w:rsid w:val="00341361"/>
    <w:rsid w:val="00341376"/>
    <w:rsid w:val="00342718"/>
    <w:rsid w:val="00342E7A"/>
    <w:rsid w:val="00343C6C"/>
    <w:rsid w:val="00343E86"/>
    <w:rsid w:val="00345E7A"/>
    <w:rsid w:val="0034643F"/>
    <w:rsid w:val="00346E29"/>
    <w:rsid w:val="00354074"/>
    <w:rsid w:val="003542BC"/>
    <w:rsid w:val="00354866"/>
    <w:rsid w:val="00354E21"/>
    <w:rsid w:val="0035508D"/>
    <w:rsid w:val="00360434"/>
    <w:rsid w:val="00361555"/>
    <w:rsid w:val="003625C9"/>
    <w:rsid w:val="00370356"/>
    <w:rsid w:val="00377AFD"/>
    <w:rsid w:val="003804D7"/>
    <w:rsid w:val="00380E63"/>
    <w:rsid w:val="00381D25"/>
    <w:rsid w:val="00382F68"/>
    <w:rsid w:val="00392EE0"/>
    <w:rsid w:val="00393D36"/>
    <w:rsid w:val="00394DE3"/>
    <w:rsid w:val="00396391"/>
    <w:rsid w:val="00396707"/>
    <w:rsid w:val="00396A46"/>
    <w:rsid w:val="00397851"/>
    <w:rsid w:val="003A42A8"/>
    <w:rsid w:val="003A467F"/>
    <w:rsid w:val="003A538C"/>
    <w:rsid w:val="003A79D9"/>
    <w:rsid w:val="003B2465"/>
    <w:rsid w:val="003B4106"/>
    <w:rsid w:val="003B4970"/>
    <w:rsid w:val="003B5734"/>
    <w:rsid w:val="003C24C5"/>
    <w:rsid w:val="003C26E7"/>
    <w:rsid w:val="003C3BE4"/>
    <w:rsid w:val="003C570D"/>
    <w:rsid w:val="003C64AC"/>
    <w:rsid w:val="003C71DA"/>
    <w:rsid w:val="003C78F7"/>
    <w:rsid w:val="003D06CC"/>
    <w:rsid w:val="003E1B09"/>
    <w:rsid w:val="003E434A"/>
    <w:rsid w:val="003E4BE1"/>
    <w:rsid w:val="003E59CF"/>
    <w:rsid w:val="003F0AB0"/>
    <w:rsid w:val="003F42FA"/>
    <w:rsid w:val="003F4AF4"/>
    <w:rsid w:val="003F5D4B"/>
    <w:rsid w:val="003F70B6"/>
    <w:rsid w:val="004000B0"/>
    <w:rsid w:val="00400442"/>
    <w:rsid w:val="004036E5"/>
    <w:rsid w:val="00403A86"/>
    <w:rsid w:val="00403EFA"/>
    <w:rsid w:val="00403FCE"/>
    <w:rsid w:val="00404122"/>
    <w:rsid w:val="0040745D"/>
    <w:rsid w:val="004119CC"/>
    <w:rsid w:val="00412FA3"/>
    <w:rsid w:val="00415C65"/>
    <w:rsid w:val="00415F05"/>
    <w:rsid w:val="004208D6"/>
    <w:rsid w:val="00421F7B"/>
    <w:rsid w:val="00430E9B"/>
    <w:rsid w:val="00437D2B"/>
    <w:rsid w:val="0044001E"/>
    <w:rsid w:val="0044125E"/>
    <w:rsid w:val="00441A07"/>
    <w:rsid w:val="00446D46"/>
    <w:rsid w:val="00447304"/>
    <w:rsid w:val="004505E4"/>
    <w:rsid w:val="00450CBA"/>
    <w:rsid w:val="0045240F"/>
    <w:rsid w:val="00454B1E"/>
    <w:rsid w:val="00454CE2"/>
    <w:rsid w:val="004550A5"/>
    <w:rsid w:val="00456B58"/>
    <w:rsid w:val="00460855"/>
    <w:rsid w:val="004622A3"/>
    <w:rsid w:val="00465A31"/>
    <w:rsid w:val="00465D1F"/>
    <w:rsid w:val="00467AB7"/>
    <w:rsid w:val="0047219A"/>
    <w:rsid w:val="00473C73"/>
    <w:rsid w:val="00475349"/>
    <w:rsid w:val="004778B5"/>
    <w:rsid w:val="004810E6"/>
    <w:rsid w:val="00481BC2"/>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18B1"/>
    <w:rsid w:val="004E28B4"/>
    <w:rsid w:val="004F0C78"/>
    <w:rsid w:val="004F14B7"/>
    <w:rsid w:val="004F60B1"/>
    <w:rsid w:val="004F72C3"/>
    <w:rsid w:val="00503B13"/>
    <w:rsid w:val="00503E2D"/>
    <w:rsid w:val="0050721B"/>
    <w:rsid w:val="0051280E"/>
    <w:rsid w:val="0051389B"/>
    <w:rsid w:val="00516698"/>
    <w:rsid w:val="00521970"/>
    <w:rsid w:val="005224A5"/>
    <w:rsid w:val="00526C7F"/>
    <w:rsid w:val="00527BD2"/>
    <w:rsid w:val="00533529"/>
    <w:rsid w:val="0053542A"/>
    <w:rsid w:val="0054194C"/>
    <w:rsid w:val="00541C3B"/>
    <w:rsid w:val="0054334D"/>
    <w:rsid w:val="00545DA4"/>
    <w:rsid w:val="00545DE5"/>
    <w:rsid w:val="00552E59"/>
    <w:rsid w:val="0055306F"/>
    <w:rsid w:val="00557FEB"/>
    <w:rsid w:val="00562463"/>
    <w:rsid w:val="00562A51"/>
    <w:rsid w:val="005637F0"/>
    <w:rsid w:val="00563E03"/>
    <w:rsid w:val="005643EF"/>
    <w:rsid w:val="0056669A"/>
    <w:rsid w:val="00575AB5"/>
    <w:rsid w:val="00576C0F"/>
    <w:rsid w:val="00583255"/>
    <w:rsid w:val="0058388F"/>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3C64"/>
    <w:rsid w:val="005D65F1"/>
    <w:rsid w:val="005D6C98"/>
    <w:rsid w:val="005D7165"/>
    <w:rsid w:val="005E28DA"/>
    <w:rsid w:val="005E3203"/>
    <w:rsid w:val="005F0C08"/>
    <w:rsid w:val="005F0D0D"/>
    <w:rsid w:val="005F128F"/>
    <w:rsid w:val="005F40FC"/>
    <w:rsid w:val="005F4B73"/>
    <w:rsid w:val="005F4D0E"/>
    <w:rsid w:val="005F5F37"/>
    <w:rsid w:val="005F675A"/>
    <w:rsid w:val="005F6D74"/>
    <w:rsid w:val="005F71FB"/>
    <w:rsid w:val="005F79CC"/>
    <w:rsid w:val="006020B8"/>
    <w:rsid w:val="006045B8"/>
    <w:rsid w:val="006065F4"/>
    <w:rsid w:val="00606DE4"/>
    <w:rsid w:val="00607622"/>
    <w:rsid w:val="00610D3E"/>
    <w:rsid w:val="00611C32"/>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03AE"/>
    <w:rsid w:val="00655BEC"/>
    <w:rsid w:val="00657361"/>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16EA"/>
    <w:rsid w:val="007054DD"/>
    <w:rsid w:val="00707B15"/>
    <w:rsid w:val="00714095"/>
    <w:rsid w:val="0071419B"/>
    <w:rsid w:val="007164E8"/>
    <w:rsid w:val="00717323"/>
    <w:rsid w:val="00720C7A"/>
    <w:rsid w:val="00722001"/>
    <w:rsid w:val="00726DDE"/>
    <w:rsid w:val="00732F2D"/>
    <w:rsid w:val="007335BF"/>
    <w:rsid w:val="00734F1D"/>
    <w:rsid w:val="00745458"/>
    <w:rsid w:val="00745B25"/>
    <w:rsid w:val="00746345"/>
    <w:rsid w:val="00746F1F"/>
    <w:rsid w:val="00753235"/>
    <w:rsid w:val="00754537"/>
    <w:rsid w:val="007546E7"/>
    <w:rsid w:val="0075682C"/>
    <w:rsid w:val="00761855"/>
    <w:rsid w:val="00770A1C"/>
    <w:rsid w:val="007717F4"/>
    <w:rsid w:val="0078306A"/>
    <w:rsid w:val="0078356E"/>
    <w:rsid w:val="00783604"/>
    <w:rsid w:val="00785F35"/>
    <w:rsid w:val="00787280"/>
    <w:rsid w:val="007877D3"/>
    <w:rsid w:val="007943FC"/>
    <w:rsid w:val="007954D3"/>
    <w:rsid w:val="00795CA5"/>
    <w:rsid w:val="0079625F"/>
    <w:rsid w:val="007973F5"/>
    <w:rsid w:val="007A538E"/>
    <w:rsid w:val="007B13F9"/>
    <w:rsid w:val="007B1D65"/>
    <w:rsid w:val="007B2BE2"/>
    <w:rsid w:val="007B3B38"/>
    <w:rsid w:val="007C132B"/>
    <w:rsid w:val="007C221B"/>
    <w:rsid w:val="007C4638"/>
    <w:rsid w:val="007E24C7"/>
    <w:rsid w:val="007E4E37"/>
    <w:rsid w:val="007E5E91"/>
    <w:rsid w:val="007F07C3"/>
    <w:rsid w:val="007F47B2"/>
    <w:rsid w:val="007F4FED"/>
    <w:rsid w:val="007F552F"/>
    <w:rsid w:val="007F6159"/>
    <w:rsid w:val="00803919"/>
    <w:rsid w:val="008044D6"/>
    <w:rsid w:val="00805A2D"/>
    <w:rsid w:val="008072CF"/>
    <w:rsid w:val="00807314"/>
    <w:rsid w:val="00810565"/>
    <w:rsid w:val="008108A7"/>
    <w:rsid w:val="0082111F"/>
    <w:rsid w:val="00821B87"/>
    <w:rsid w:val="00822D96"/>
    <w:rsid w:val="00823ED0"/>
    <w:rsid w:val="00823F52"/>
    <w:rsid w:val="00825F2E"/>
    <w:rsid w:val="00830B98"/>
    <w:rsid w:val="00831127"/>
    <w:rsid w:val="00833E8F"/>
    <w:rsid w:val="008423B7"/>
    <w:rsid w:val="00842AF4"/>
    <w:rsid w:val="00842EDA"/>
    <w:rsid w:val="00843AE9"/>
    <w:rsid w:val="00843FF4"/>
    <w:rsid w:val="00847716"/>
    <w:rsid w:val="00852527"/>
    <w:rsid w:val="0085282E"/>
    <w:rsid w:val="00853078"/>
    <w:rsid w:val="0085617D"/>
    <w:rsid w:val="0085728D"/>
    <w:rsid w:val="00857609"/>
    <w:rsid w:val="0086379C"/>
    <w:rsid w:val="008637AB"/>
    <w:rsid w:val="00863B8E"/>
    <w:rsid w:val="00866225"/>
    <w:rsid w:val="00867786"/>
    <w:rsid w:val="008724AD"/>
    <w:rsid w:val="00872575"/>
    <w:rsid w:val="008756DB"/>
    <w:rsid w:val="00875986"/>
    <w:rsid w:val="00876C5E"/>
    <w:rsid w:val="00880209"/>
    <w:rsid w:val="008813BD"/>
    <w:rsid w:val="00890A9A"/>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4FD"/>
    <w:rsid w:val="008D4B6A"/>
    <w:rsid w:val="008D7AD9"/>
    <w:rsid w:val="008E118C"/>
    <w:rsid w:val="008E1846"/>
    <w:rsid w:val="008E1AC6"/>
    <w:rsid w:val="008E395C"/>
    <w:rsid w:val="008E4322"/>
    <w:rsid w:val="008E66E5"/>
    <w:rsid w:val="008E707B"/>
    <w:rsid w:val="008F1774"/>
    <w:rsid w:val="008F6B7C"/>
    <w:rsid w:val="0090127D"/>
    <w:rsid w:val="009045F7"/>
    <w:rsid w:val="009120DC"/>
    <w:rsid w:val="00912E0E"/>
    <w:rsid w:val="00912FB2"/>
    <w:rsid w:val="00913431"/>
    <w:rsid w:val="0091701B"/>
    <w:rsid w:val="0092094A"/>
    <w:rsid w:val="009229BA"/>
    <w:rsid w:val="009244FB"/>
    <w:rsid w:val="0092475B"/>
    <w:rsid w:val="00927A54"/>
    <w:rsid w:val="0093676D"/>
    <w:rsid w:val="00941AB3"/>
    <w:rsid w:val="00942303"/>
    <w:rsid w:val="00942BDB"/>
    <w:rsid w:val="00942FA8"/>
    <w:rsid w:val="00943331"/>
    <w:rsid w:val="00944800"/>
    <w:rsid w:val="00950A5B"/>
    <w:rsid w:val="009539CF"/>
    <w:rsid w:val="009563DC"/>
    <w:rsid w:val="00956D07"/>
    <w:rsid w:val="00966214"/>
    <w:rsid w:val="0097193C"/>
    <w:rsid w:val="0097661F"/>
    <w:rsid w:val="009821B1"/>
    <w:rsid w:val="009829BB"/>
    <w:rsid w:val="009829E8"/>
    <w:rsid w:val="00986457"/>
    <w:rsid w:val="0099081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9F71B9"/>
    <w:rsid w:val="00A021F4"/>
    <w:rsid w:val="00A0361B"/>
    <w:rsid w:val="00A045D7"/>
    <w:rsid w:val="00A05DBF"/>
    <w:rsid w:val="00A0676A"/>
    <w:rsid w:val="00A06DE3"/>
    <w:rsid w:val="00A11FF6"/>
    <w:rsid w:val="00A125A2"/>
    <w:rsid w:val="00A12A50"/>
    <w:rsid w:val="00A130E3"/>
    <w:rsid w:val="00A1348D"/>
    <w:rsid w:val="00A16179"/>
    <w:rsid w:val="00A235A2"/>
    <w:rsid w:val="00A236E8"/>
    <w:rsid w:val="00A25B47"/>
    <w:rsid w:val="00A33422"/>
    <w:rsid w:val="00A37811"/>
    <w:rsid w:val="00A42161"/>
    <w:rsid w:val="00A43161"/>
    <w:rsid w:val="00A43F20"/>
    <w:rsid w:val="00A458C8"/>
    <w:rsid w:val="00A47FB2"/>
    <w:rsid w:val="00A51B3E"/>
    <w:rsid w:val="00A51FD5"/>
    <w:rsid w:val="00A53E22"/>
    <w:rsid w:val="00A546EE"/>
    <w:rsid w:val="00A6045F"/>
    <w:rsid w:val="00A6086E"/>
    <w:rsid w:val="00A64C60"/>
    <w:rsid w:val="00A65013"/>
    <w:rsid w:val="00A72D6D"/>
    <w:rsid w:val="00A76843"/>
    <w:rsid w:val="00A81F12"/>
    <w:rsid w:val="00A82198"/>
    <w:rsid w:val="00A82E5D"/>
    <w:rsid w:val="00A8416D"/>
    <w:rsid w:val="00A87B9E"/>
    <w:rsid w:val="00A90AB8"/>
    <w:rsid w:val="00A9177D"/>
    <w:rsid w:val="00A92C8D"/>
    <w:rsid w:val="00A92D87"/>
    <w:rsid w:val="00A92E93"/>
    <w:rsid w:val="00A93D10"/>
    <w:rsid w:val="00A94E5E"/>
    <w:rsid w:val="00AA14DD"/>
    <w:rsid w:val="00AA520A"/>
    <w:rsid w:val="00AB5A7E"/>
    <w:rsid w:val="00AB6FCF"/>
    <w:rsid w:val="00AC16D6"/>
    <w:rsid w:val="00AD0940"/>
    <w:rsid w:val="00AD4E9E"/>
    <w:rsid w:val="00AD619B"/>
    <w:rsid w:val="00AD7E1B"/>
    <w:rsid w:val="00AE217B"/>
    <w:rsid w:val="00AE35F8"/>
    <w:rsid w:val="00AF1A6E"/>
    <w:rsid w:val="00AF6079"/>
    <w:rsid w:val="00B00B23"/>
    <w:rsid w:val="00B0614E"/>
    <w:rsid w:val="00B06FE2"/>
    <w:rsid w:val="00B112C9"/>
    <w:rsid w:val="00B13614"/>
    <w:rsid w:val="00B179D4"/>
    <w:rsid w:val="00B17ACC"/>
    <w:rsid w:val="00B20730"/>
    <w:rsid w:val="00B20E7A"/>
    <w:rsid w:val="00B21298"/>
    <w:rsid w:val="00B2426C"/>
    <w:rsid w:val="00B24691"/>
    <w:rsid w:val="00B26A1B"/>
    <w:rsid w:val="00B3052E"/>
    <w:rsid w:val="00B30E54"/>
    <w:rsid w:val="00B312D7"/>
    <w:rsid w:val="00B33C26"/>
    <w:rsid w:val="00B34955"/>
    <w:rsid w:val="00B35BA9"/>
    <w:rsid w:val="00B35EA1"/>
    <w:rsid w:val="00B36BC8"/>
    <w:rsid w:val="00B43223"/>
    <w:rsid w:val="00B43C14"/>
    <w:rsid w:val="00B47553"/>
    <w:rsid w:val="00B47799"/>
    <w:rsid w:val="00B47FD4"/>
    <w:rsid w:val="00B53390"/>
    <w:rsid w:val="00B55603"/>
    <w:rsid w:val="00B55E11"/>
    <w:rsid w:val="00B579DE"/>
    <w:rsid w:val="00B61CB9"/>
    <w:rsid w:val="00B6648C"/>
    <w:rsid w:val="00B66FBD"/>
    <w:rsid w:val="00B679D1"/>
    <w:rsid w:val="00B67AB5"/>
    <w:rsid w:val="00B70F69"/>
    <w:rsid w:val="00B716D2"/>
    <w:rsid w:val="00B73E19"/>
    <w:rsid w:val="00B77089"/>
    <w:rsid w:val="00B77A63"/>
    <w:rsid w:val="00B77D49"/>
    <w:rsid w:val="00B84E11"/>
    <w:rsid w:val="00B861AE"/>
    <w:rsid w:val="00B86607"/>
    <w:rsid w:val="00B86D3C"/>
    <w:rsid w:val="00B91321"/>
    <w:rsid w:val="00B9395C"/>
    <w:rsid w:val="00B94287"/>
    <w:rsid w:val="00B958E0"/>
    <w:rsid w:val="00BA0AF1"/>
    <w:rsid w:val="00BA19F1"/>
    <w:rsid w:val="00BA3F56"/>
    <w:rsid w:val="00BA6F4A"/>
    <w:rsid w:val="00BB06B2"/>
    <w:rsid w:val="00BB0F3D"/>
    <w:rsid w:val="00BB3E0B"/>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03EE"/>
    <w:rsid w:val="00BE14B3"/>
    <w:rsid w:val="00BE20E5"/>
    <w:rsid w:val="00BE4CEF"/>
    <w:rsid w:val="00BE7904"/>
    <w:rsid w:val="00BF15C0"/>
    <w:rsid w:val="00BF1CB7"/>
    <w:rsid w:val="00BF2717"/>
    <w:rsid w:val="00BF4D10"/>
    <w:rsid w:val="00C002CD"/>
    <w:rsid w:val="00C00E12"/>
    <w:rsid w:val="00C03320"/>
    <w:rsid w:val="00C041A8"/>
    <w:rsid w:val="00C04A11"/>
    <w:rsid w:val="00C04EE8"/>
    <w:rsid w:val="00C056D5"/>
    <w:rsid w:val="00C073B8"/>
    <w:rsid w:val="00C141B0"/>
    <w:rsid w:val="00C16DA5"/>
    <w:rsid w:val="00C16F59"/>
    <w:rsid w:val="00C24D89"/>
    <w:rsid w:val="00C269DB"/>
    <w:rsid w:val="00C26D4A"/>
    <w:rsid w:val="00C31CEB"/>
    <w:rsid w:val="00C32600"/>
    <w:rsid w:val="00C33B2D"/>
    <w:rsid w:val="00C341A2"/>
    <w:rsid w:val="00C354B8"/>
    <w:rsid w:val="00C36D16"/>
    <w:rsid w:val="00C37B5C"/>
    <w:rsid w:val="00C43452"/>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9653B"/>
    <w:rsid w:val="00CA1511"/>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9A4"/>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DE1"/>
    <w:rsid w:val="00D41FFA"/>
    <w:rsid w:val="00D4260A"/>
    <w:rsid w:val="00D45D71"/>
    <w:rsid w:val="00D50B37"/>
    <w:rsid w:val="00D5555C"/>
    <w:rsid w:val="00D556BB"/>
    <w:rsid w:val="00D575BA"/>
    <w:rsid w:val="00D57DBC"/>
    <w:rsid w:val="00D60E01"/>
    <w:rsid w:val="00D625F0"/>
    <w:rsid w:val="00D64C7A"/>
    <w:rsid w:val="00D659D2"/>
    <w:rsid w:val="00D65DB2"/>
    <w:rsid w:val="00D65F3D"/>
    <w:rsid w:val="00D66911"/>
    <w:rsid w:val="00D67C89"/>
    <w:rsid w:val="00D7004D"/>
    <w:rsid w:val="00D72EB4"/>
    <w:rsid w:val="00D7646A"/>
    <w:rsid w:val="00D77A6A"/>
    <w:rsid w:val="00D82083"/>
    <w:rsid w:val="00D82EED"/>
    <w:rsid w:val="00D8683D"/>
    <w:rsid w:val="00D94BE3"/>
    <w:rsid w:val="00D94D81"/>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1F3F"/>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5745"/>
    <w:rsid w:val="00E26200"/>
    <w:rsid w:val="00E26E9F"/>
    <w:rsid w:val="00E27ED5"/>
    <w:rsid w:val="00E27FA0"/>
    <w:rsid w:val="00E3180C"/>
    <w:rsid w:val="00E35838"/>
    <w:rsid w:val="00E36320"/>
    <w:rsid w:val="00E45DFC"/>
    <w:rsid w:val="00E509D9"/>
    <w:rsid w:val="00E5355F"/>
    <w:rsid w:val="00E57C1F"/>
    <w:rsid w:val="00E63170"/>
    <w:rsid w:val="00E635F2"/>
    <w:rsid w:val="00E65182"/>
    <w:rsid w:val="00E66DB1"/>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B6A1B"/>
    <w:rsid w:val="00EC3B09"/>
    <w:rsid w:val="00ED2315"/>
    <w:rsid w:val="00ED36E1"/>
    <w:rsid w:val="00ED5162"/>
    <w:rsid w:val="00EE0F79"/>
    <w:rsid w:val="00EE1234"/>
    <w:rsid w:val="00EE1FD7"/>
    <w:rsid w:val="00EF2271"/>
    <w:rsid w:val="00EF2E9F"/>
    <w:rsid w:val="00EF4228"/>
    <w:rsid w:val="00EF5196"/>
    <w:rsid w:val="00EF627E"/>
    <w:rsid w:val="00EF6A05"/>
    <w:rsid w:val="00F04EC7"/>
    <w:rsid w:val="00F06319"/>
    <w:rsid w:val="00F07B62"/>
    <w:rsid w:val="00F14BE5"/>
    <w:rsid w:val="00F16082"/>
    <w:rsid w:val="00F1612E"/>
    <w:rsid w:val="00F17AE3"/>
    <w:rsid w:val="00F20432"/>
    <w:rsid w:val="00F207B0"/>
    <w:rsid w:val="00F209E7"/>
    <w:rsid w:val="00F234B7"/>
    <w:rsid w:val="00F23AD3"/>
    <w:rsid w:val="00F24741"/>
    <w:rsid w:val="00F2559C"/>
    <w:rsid w:val="00F26140"/>
    <w:rsid w:val="00F26471"/>
    <w:rsid w:val="00F2656C"/>
    <w:rsid w:val="00F26F0D"/>
    <w:rsid w:val="00F30356"/>
    <w:rsid w:val="00F30473"/>
    <w:rsid w:val="00F31DD7"/>
    <w:rsid w:val="00F36ED1"/>
    <w:rsid w:val="00F371D9"/>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6F35"/>
    <w:rsid w:val="00F77CBB"/>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4F00"/>
    <w:rsid w:val="00FC5862"/>
    <w:rsid w:val="00FD007B"/>
    <w:rsid w:val="00FD199E"/>
    <w:rsid w:val="00FD3B36"/>
    <w:rsid w:val="00FD57B9"/>
    <w:rsid w:val="00FD5AFD"/>
    <w:rsid w:val="00FD74C6"/>
    <w:rsid w:val="00FE115F"/>
    <w:rsid w:val="00FE568A"/>
    <w:rsid w:val="00FE684F"/>
    <w:rsid w:val="00FF204A"/>
    <w:rsid w:val="00FF27EF"/>
    <w:rsid w:val="00FF4E18"/>
    <w:rsid w:val="00FF519D"/>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 w:type="paragraph" w:styleId="Titel">
    <w:name w:val="Title"/>
    <w:basedOn w:val="Standard"/>
    <w:next w:val="Standard"/>
    <w:link w:val="TitelZchn"/>
    <w:uiPriority w:val="10"/>
    <w:qFormat/>
    <w:rsid w:val="00362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25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FC6E5-C89A-440C-963F-506A5400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57472</Words>
  <Characters>362079</Characters>
  <Application>Microsoft Office Word</Application>
  <DocSecurity>0</DocSecurity>
  <Lines>3017</Lines>
  <Paragraphs>837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616</cp:revision>
  <cp:lastPrinted>2022-05-22T18:49:00Z</cp:lastPrinted>
  <dcterms:created xsi:type="dcterms:W3CDTF">2022-01-10T16:42:00Z</dcterms:created>
  <dcterms:modified xsi:type="dcterms:W3CDTF">2022-05-22T18:49:00Z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id="ceGhK2lD"/&gt;&lt;style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