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81C" w:rsidRDefault="00F9011C" w:rsidP="00396391">
      <w:r>
        <w:t xml:space="preserve">1. Einleitung </w:t>
      </w:r>
    </w:p>
    <w:p w:rsidR="00BD0535" w:rsidRDefault="007F07C3" w:rsidP="00F9011C">
      <w:r>
        <w:t>Morbus Parkinson</w:t>
      </w:r>
      <w:r w:rsidR="00F97B00">
        <w:t xml:space="preserve"> ist nicht nur die zweithäufigste neurodegenerative Erkrankung, sie hat auch von allen neurologischen Krankhe</w:t>
      </w:r>
      <w:r w:rsidR="00BD0535">
        <w:t>iten den schnellsten Anstieg der Prävalenz, Tode und Krankheitsbelastung aufgezeigt</w:t>
      </w:r>
      <w:r w:rsidR="00D26C2C">
        <w:t xml:space="preserve"> </w:t>
      </w:r>
      <w:r w:rsidR="00D26C2C">
        <w:fldChar w:fldCharType="begin"/>
      </w:r>
      <w:r w:rsidR="00D26C2C">
        <w:instrText xml:space="preserve"> ADDIN ZOTERO_ITEM CSL_CITATION {"citationID":"4pIyRE74","properties":{"formattedCitation":"(Feigin et al., 2017; Poewe et al., 2017)","plainCitation":"(Feigin et al., 2017; Poewe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w:instrText>
      </w:r>
      <w:r w:rsidR="00D26C2C">
        <w:rPr>
          <w:rFonts w:ascii="Cambria Math" w:hAnsi="Cambria Math" w:cs="Cambria Math"/>
        </w:rPr>
        <w:instrText>‑</w:instrText>
      </w:r>
      <w:r w:rsidR="00D26C2C">
        <w:instrText>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w:instrText>
      </w:r>
      <w:r w:rsidR="00D26C2C">
        <w:rPr>
          <w:rFonts w:ascii="Cambria Math" w:hAnsi="Cambria Math" w:cs="Cambria Math"/>
        </w:rPr>
        <w:instrText>‑</w:instrText>
      </w:r>
      <w:r w:rsidR="00D26C2C">
        <w:instrText>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w:instrText>
      </w:r>
      <w:r w:rsidR="00D26C2C">
        <w:rPr>
          <w:rFonts w:ascii="Cambria Math" w:hAnsi="Cambria Math" w:cs="Cambria Math"/>
        </w:rPr>
        <w:instrText>‑</w:instrText>
      </w:r>
      <w:r w:rsidR="00D26C2C">
        <w:instrText>DOPA-related motor complications. Experimental therapies have tried to restore striatal dopamine by gene-based and cell-based approaches, and most recently, aggregation and cellular transport of α</w:instrText>
      </w:r>
      <w:r w:rsidR="00D26C2C">
        <w:rPr>
          <w:rFonts w:ascii="Cambria Math" w:hAnsi="Cambria Math" w:cs="Cambria Math"/>
        </w:rPr>
        <w:instrText>‑</w:instrText>
      </w:r>
      <w:r w:rsidR="00D26C2C">
        <w:instrText xml:space="preserve">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26C2C">
        <w:fldChar w:fldCharType="separate"/>
      </w:r>
      <w:r w:rsidR="00D26C2C" w:rsidRPr="00D26C2C">
        <w:rPr>
          <w:rFonts w:ascii="Calibri" w:hAnsi="Calibri" w:cs="Calibri"/>
        </w:rPr>
        <w:t>(Feigin et al., 2017; Poewe et al., 2017)</w:t>
      </w:r>
      <w:r w:rsidR="00D26C2C">
        <w:fldChar w:fldCharType="end"/>
      </w:r>
      <w:r w:rsidR="00E1148E">
        <w:t xml:space="preserve">. </w:t>
      </w:r>
      <w:r w:rsidR="008044D6">
        <w:t>In den 25 Jahren von 1990 bis 2015 stieg die Zahl der Tode,</w:t>
      </w:r>
      <w:r>
        <w:t xml:space="preserve"> die auf Morbus Parkinson</w:t>
      </w:r>
      <w:r w:rsidR="008044D6">
        <w:t xml:space="preserve"> zurückzuführen sind, um 149,8%, die Prävalenz um 117,8% und die DALYs (</w:t>
      </w:r>
      <w:proofErr w:type="spellStart"/>
      <w:r w:rsidR="008044D6">
        <w:t>disability-adjusted-life-years</w:t>
      </w:r>
      <w:proofErr w:type="spellEnd"/>
      <w:r w:rsidR="008044D6">
        <w:t>), die als Maß für die Krankheitsbelastung verwendet werden, um 111,2%</w:t>
      </w:r>
      <w:r w:rsidR="00D26C2C">
        <w:t xml:space="preserve"> </w:t>
      </w:r>
      <w:r w:rsidR="00D26C2C">
        <w:fldChar w:fldCharType="begin"/>
      </w:r>
      <w:r w:rsidR="00D26C2C">
        <w:instrText xml:space="preserve"> ADDIN ZOTERO_ITEM CSL_CITATION {"citationID":"sDbI8tvI","properties":{"formattedCitation":"(Feigin et al., 2017)","plainCitation":"(Feigin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L"},{"family":"Vos","given":"Theo"}],"issued":{"date-parts":[["2017",11]]}}}],"schema":"https://github.com/citation-style-language/schema/raw/master/csl-citation.json"} </w:instrText>
      </w:r>
      <w:r w:rsidR="00D26C2C">
        <w:fldChar w:fldCharType="separate"/>
      </w:r>
      <w:r w:rsidR="00D26C2C" w:rsidRPr="00D26C2C">
        <w:rPr>
          <w:rFonts w:ascii="Calibri" w:hAnsi="Calibri" w:cs="Calibri"/>
        </w:rPr>
        <w:t>(Feigin et al., 2017)</w:t>
      </w:r>
      <w:r w:rsidR="00D26C2C">
        <w:fldChar w:fldCharType="end"/>
      </w:r>
      <w:r w:rsidR="00D14511">
        <w:t xml:space="preserve">. </w:t>
      </w:r>
      <w:r w:rsidR="00BC0E72">
        <w:t xml:space="preserve"> Die DALYSs wurden dabei berechnet als Summe aus der Lebenszeit, die durchschnittlich durch die Erkrankung verloren gegangen ist, und der Lebenszeit, die durchschnittlich mit der Erkrankung gelebt wurde.</w:t>
      </w:r>
      <w:r w:rsidR="008044D6">
        <w:t xml:space="preserve"> </w:t>
      </w:r>
      <w:r w:rsidR="002810FD">
        <w:t>Der demografisch</w:t>
      </w:r>
      <w:r w:rsidR="00D14511">
        <w:t>e Wandel</w:t>
      </w:r>
      <w:r w:rsidR="00DF6E10">
        <w:t xml:space="preserve"> und der Fortschritt der Methoden, mit denen diese Daten ermittelt werden, spielen</w:t>
      </w:r>
      <w:r w:rsidR="00D14511">
        <w:t xml:space="preserve"> für diese Entwicklung </w:t>
      </w:r>
      <w:r w:rsidR="002810FD">
        <w:t xml:space="preserve">eine große Rolle, kann </w:t>
      </w:r>
      <w:r w:rsidR="00304D59">
        <w:t xml:space="preserve">sie </w:t>
      </w:r>
      <w:r w:rsidR="002810FD">
        <w:t>jed</w:t>
      </w:r>
      <w:r w:rsidR="00D26C2C">
        <w:t xml:space="preserve">och nicht vollständig erklären </w:t>
      </w:r>
      <w:r w:rsidR="00D26C2C">
        <w:fldChar w:fldCharType="begin"/>
      </w:r>
      <w:r w:rsidR="00D26C2C">
        <w:instrText xml:space="preserve"> ADDIN ZOTERO_ITEM CSL_CITATION {"citationID":"VkgDJl5F","properties":{"formattedCitation":"(Dorsey, Elbaz, et al., 2018)","plainCitation":"(Dorsey, Elbaz, et al., 2018)","noteIndex":0},"citationItems":[{"id":36,"uris":["http://zotero.org/users/local/AhaM3qLx/items/E74KDWFD"],"itemData":{"id":36,"type":"article-journal","abstract":"Background Neurological disorders are now the leading source of disability globally, and ageing is increasing the burden of neurodegenerative disorders, including Parkinson’s disease. We aimed to determine the global burden of Parkinson’s disease between 1990 and 2016 to identify trends and to enable appropriate public health, medical, and scientific responses.","container-title":"The Lancet Neurology","DOI":"10.1016/S1474-4422(18)30295-3","ISSN":"14744422","issue":"11","journalAbbreviation":"The Lancet Neurology","language":"en","page":"939-953","source":"DOI.org (Crossref)","title":"Global, regional, and national burden of Parkinson's disease, 1990–2016: a systematic analysis for the Global Burden of Disease Study 2016","title-short":"Global, regional, and national burden of Parkinson's disease, 1990–2016","volume":"17","author":[{"family":"Dorsey","given":"E. Ray"},{"family":"Elbaz","given":"Alexis"},{"family":"Nichols","given":"Emma"},{"family":"Abbasi","given":"Nooshin"},{"family":"Abd-Allah","given":"Foad"},{"family":"Abdelalim","given":"Ahmed"},{"family":"Adsuar","given":"Jose C."},{"family":"Ansha","given":"Mustafa Geleto"},{"family":"Brayne","given":"Carol"},{"family":"Choi","given":"Jee-Young J"},{"family":"Collado-Mateo","given":"Daniel"},{"family":"Dahodwala","given":"Nabila"},{"family":"Do","given":"Huyen Phuc"},{"family":"Edessa","given":"Dumessa"},{"family":"Endres","given":"Matthias"},{"family":"Fereshtehnejad","given":"Seyed-Mohammad"},{"family":"Foreman","given":"Kyle J"},{"family":"Gankpe","given":"Fortune Gbetoho"},{"family":"Gupta","given":"Rahul"},{"family":"Hamidi","given":"Samer"},{"family":"Hankey","given":"Graeme J."},{"family":"Hay","given":"Simon I."},{"family":"Hegazy","given":"Mohamed I"},{"family":"Hibstu","given":"Desalegn T."},{"family":"Kasaeian","given":"Amir"},{"family":"Khader","given":"Yousef"},{"family":"Khalil","given":"Ibrahim"},{"family":"Khang","given":"Young-Ho"},{"family":"Kim","given":"Yun Jin"},{"family":"Kokubo","given":"Yoshihiro"},{"family":"Logroscino","given":"Giancarlo"},{"family":"Massano","given":"João"},{"family":"Mohamed Ibrahim","given":"Norlinah"},{"family":"Mohammed","given":"Mohammed A."},{"family":"Mohammadi","given":"Alireza"},{"family":"Moradi-Lakeh","given":"Maziar"},{"family":"Naghavi","given":"Mohsen"},{"family":"Nguyen","given":"Binh Thanh"},{"family":"Nirayo","given":"Yirga Legesse"},{"family":"Ogbo","given":"Felix Akpojene"},{"family":"Owolabi","given":"Mayowa Ojo"},{"family":"Pereira","given":"David M."},{"family":"Postma","given":"Maarten J"},{"family":"Qorbani","given":"Mostafa"},{"family":"Rahman","given":"Muhammad Aziz"},{"family":"Roba","given":"Kedir T."},{"family":"Safari","given":"Hosein"},{"family":"Safiri","given":"Saeid"},{"family":"Satpathy","given":"Maheswar"},{"family":"Sawhney","given":"Monika"},{"family":"Shafieesabet","given":"Azadeh"},{"family":"Shiferaw","given":"Mekonnen Sisay"},{"family":"Smith","given":"Mari"},{"family":"Szoeke","given":"Cassandra E I"},{"family":"Tabarés-Seisdedos","given":"Rafael"},{"family":"Truong","given":"Nu Thi"},{"family":"Ukwaja","given":"Kingsley Nnanna"},{"family":"Venketasubramanian","given":"Narayanaswamy"},{"family":"Villafaina","given":"Santos"},{"family":"weldegwergs","given":"Kidu","dropping-particle":"gidey"},{"family":"Westerman","given":"Ronny"},{"family":"Wijeratne","given":"Tissa"},{"family":"Winkler","given":"Andrea S."},{"family":"Xuan","given":"Bach Tran"},{"family":"Yonemoto","given":"Naohiro"},{"family":"Feigin","given":"Valery L"},{"family":"Vos","given":"Theo"},{"family":"Murray","given":"Christopher J L"}],"issued":{"date-parts":[["2018",11]]}}}],"schema":"https://github.com/citation-style-language/schema/raw/master/csl-citation.json"} </w:instrText>
      </w:r>
      <w:r w:rsidR="00D26C2C">
        <w:fldChar w:fldCharType="separate"/>
      </w:r>
      <w:r w:rsidR="00D26C2C" w:rsidRPr="00D26C2C">
        <w:rPr>
          <w:rFonts w:ascii="Calibri" w:hAnsi="Calibri" w:cs="Calibri"/>
        </w:rPr>
        <w:t>(Dorsey, Elbaz, et al., 2018)</w:t>
      </w:r>
      <w:r w:rsidR="00D26C2C">
        <w:fldChar w:fldCharType="end"/>
      </w:r>
      <w:r w:rsidR="000502CA">
        <w:t>. Aufgrund der weiterhin</w:t>
      </w:r>
      <w:r w:rsidR="004D1546">
        <w:t xml:space="preserve"> steigenden Lebenserwartung und</w:t>
      </w:r>
      <w:r w:rsidR="00720C7A">
        <w:t xml:space="preserve"> der</w:t>
      </w:r>
      <w:r w:rsidR="004D1546">
        <w:t xml:space="preserve"> älter werdenden</w:t>
      </w:r>
      <w:r w:rsidR="000502CA">
        <w:t xml:space="preserve"> Bevölkerung wird für die Zukunft ein weiterer</w:t>
      </w:r>
      <w:r w:rsidR="006A735B">
        <w:t xml:space="preserve"> </w:t>
      </w:r>
      <w:r w:rsidR="00D26C2C">
        <w:t xml:space="preserve">Anstieg der Prävalenz erwartet </w:t>
      </w:r>
      <w:r w:rsidR="00D26C2C">
        <w:fldChar w:fldCharType="begin"/>
      </w:r>
      <w:r w:rsidR="00D26C2C">
        <w:instrText xml:space="preserve"> ADDIN ZOTERO_ITEM CSL_CITATION {"citationID":"JwiOoYdu","properties":{"formattedCitation":"(Dorsey, Sherer, et al., 2018)","plainCitation":"(Dorsey, Sherer, et al., 2018)","noteIndex":0},"citationItems":[{"id":35,"uris":["http://zotero.org/users/local/AhaM3qLx/items/IVPL332A"],"itemData":{"id":35,"type":"article-journal","abstract":"Neurological disorders are now the leading source of disability globally, and the fastest growing neurological disorder in the world is Parkinson disease. From 1990 to 2015, the number of people with Parkinson disease doubled to over 6 million. Driven principally by aging, this number is projected to double again to over 12 million by 2040. Additional factors, including increasing longevity, declining smoking rates, and increasing industrialization, could raise the burden to over 17 million. For most of human history, Parkinson has been a rare disorder. However, demography and the by-products of industrialization have now created a Parkinson pandemic that will require heightened activism, focused planning, and novel approaches.","container-title":"Journal of Parkinson's Disease","DOI":"10.3233/JPD-181474","ISSN":"18777171, 1877718X","issue":"s1","journalAbbreviation":"JPD","language":"en","page":"S3-S8","source":"DOI.org (Crossref)","title":"The Emerging Evidence of the Parkinson Pandemic","volume":"8","author":[{"family":"Dorsey","given":"E. Ray"},{"family":"Sherer","given":"Todd"},{"family":"Okun","given":"Michael S."},{"family":"Bloem","given":"Bastiaan R."}],"editor":[{"family":"Brundin","given":"Patrik"},{"family":"Langston","given":"J. William"},{"family":"Bloem","given":"Bastiaan R."}],"issued":{"date-parts":[["2018",12,18]]}}}],"schema":"https://github.com/citation-style-language/schema/raw/master/csl-citation.json"} </w:instrText>
      </w:r>
      <w:r w:rsidR="00D26C2C">
        <w:fldChar w:fldCharType="separate"/>
      </w:r>
      <w:r w:rsidR="00D26C2C" w:rsidRPr="00D26C2C">
        <w:rPr>
          <w:rFonts w:ascii="Calibri" w:hAnsi="Calibri" w:cs="Calibri"/>
        </w:rPr>
        <w:t>(Dorsey, Sherer, et al., 2018)</w:t>
      </w:r>
      <w:r w:rsidR="00D26C2C">
        <w:fldChar w:fldCharType="end"/>
      </w:r>
      <w:r w:rsidR="006A735B">
        <w:t>. Diese Prognose macht</w:t>
      </w:r>
      <w:r w:rsidR="000502CA">
        <w:t xml:space="preserve"> effektivere Präventionen und Behandlungen dringend </w:t>
      </w:r>
      <w:r w:rsidR="006A735B">
        <w:t>notwendig</w:t>
      </w:r>
      <w:r w:rsidR="00D26C2C">
        <w:t xml:space="preserve"> </w:t>
      </w:r>
      <w:r w:rsidR="00D26C2C">
        <w:fldChar w:fldCharType="begin"/>
      </w:r>
      <w:r w:rsidR="00D26C2C">
        <w:instrText xml:space="preserve"> ADDIN ZOTERO_ITEM CSL_CITATION {"citationID":"VsQ1Gmgn","properties":{"formattedCitation":"(Simon et al., 2020)","plainCitation":"(Simon et al., 2020)","noteIndex":0},"citationItems":[{"id":51,"uris":["http://zotero.org/users/local/AhaM3qLx/items/24S25TBY"],"itemData":{"id":51,"type":"article-journal","container-title":"Clinics in Geriatric Medicine","DOI":"10.1016/j.cger.2019.08.002","ISSN":"07490690","issue":"1","journalAbbreviation":"Clinics in Geriatric Medicine","language":"en","page":"1-12","source":"DOI.org (Crossref)","title":"Parkinson Disease Epidemiology, Pathology, Genetics, and Pathophysiology","volume":"36","author":[{"family":"Simon","given":"David K."},{"family":"Tanner","given":"Caroline M."},{"family":"Brundin","given":"Patrik"}],"issued":{"date-parts":[["2020",2]]}}}],"schema":"https://github.com/citation-style-language/schema/raw/master/csl-citation.json"} </w:instrText>
      </w:r>
      <w:r w:rsidR="00D26C2C">
        <w:fldChar w:fldCharType="separate"/>
      </w:r>
      <w:r w:rsidR="00D26C2C" w:rsidRPr="00D26C2C">
        <w:rPr>
          <w:rFonts w:ascii="Calibri" w:hAnsi="Calibri" w:cs="Calibri"/>
        </w:rPr>
        <w:t>(Simon et al., 2020)</w:t>
      </w:r>
      <w:r w:rsidR="00D26C2C">
        <w:fldChar w:fldCharType="end"/>
      </w:r>
      <w:r w:rsidR="000502CA">
        <w:t xml:space="preserve">. </w:t>
      </w:r>
      <w:r w:rsidR="00475349">
        <w:t>Es wird deutlich,</w:t>
      </w:r>
      <w:r w:rsidR="00A11FF6">
        <w:t xml:space="preserve"> dass weiterführende kl</w:t>
      </w:r>
      <w:r>
        <w:t>inische Forschung von Morbus Parkinson</w:t>
      </w:r>
      <w:r w:rsidR="00A11FF6">
        <w:t xml:space="preserve"> relevant ist, um die Entwicklung und Verbesserung der Behandlung zu ermöglichen.</w:t>
      </w:r>
    </w:p>
    <w:p w:rsidR="00A11FF6" w:rsidRDefault="000D188D" w:rsidP="00F9011C">
      <w:r>
        <w:t>1.1</w:t>
      </w:r>
      <w:r w:rsidR="007F07C3">
        <w:t xml:space="preserve"> Symptome von Morbus Parkinson</w:t>
      </w:r>
    </w:p>
    <w:p w:rsidR="007546E7" w:rsidRDefault="007F07C3" w:rsidP="00F9011C">
      <w:r>
        <w:t>Morbus Parkinson</w:t>
      </w:r>
      <w:r w:rsidR="0059460D">
        <w:t xml:space="preserve"> wird durch mehrere verschiedene motorische sowie auch nicht-moto</w:t>
      </w:r>
      <w:r w:rsidR="00A90AB8">
        <w:t xml:space="preserve">rische Symptome charakterisiert. </w:t>
      </w:r>
      <w:r w:rsidR="007546E7">
        <w:t xml:space="preserve">Die Movement </w:t>
      </w:r>
      <w:proofErr w:type="spellStart"/>
      <w:r w:rsidR="007546E7">
        <w:t>Disorder</w:t>
      </w:r>
      <w:proofErr w:type="spellEnd"/>
      <w:r w:rsidR="007546E7">
        <w:t xml:space="preserve"> Society (MDS) hat Kriterien aufgestellt, um die klinische Diagnose von Morbus Parkinson zu ermöglichen</w:t>
      </w:r>
      <w:r w:rsidR="007954D3">
        <w:t>, die spezifisch für die Nutzung in der Forschung ausge</w:t>
      </w:r>
      <w:r w:rsidR="00A546EE">
        <w:t xml:space="preserve">legt sind </w:t>
      </w:r>
      <w:r w:rsidR="00A546EE">
        <w:fldChar w:fldCharType="begin"/>
      </w:r>
      <w:r w:rsidR="00A546EE">
        <w:instrText xml:space="preserve"> ADDIN ZOTERO_ITEM CSL_CITATION {"citationID":"ACgUjSSf","properties":{"formattedCitation":"(Postuma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fldChar w:fldCharType="separate"/>
      </w:r>
      <w:r w:rsidR="00A546EE" w:rsidRPr="00A546EE">
        <w:rPr>
          <w:rFonts w:ascii="Calibri" w:hAnsi="Calibri" w:cs="Calibri"/>
        </w:rPr>
        <w:t>(Postuma et al., 2015)</w:t>
      </w:r>
      <w:r w:rsidR="00A546EE">
        <w:fldChar w:fldCharType="end"/>
      </w:r>
      <w:r w:rsidR="007954D3">
        <w:t xml:space="preserve">. </w:t>
      </w:r>
      <w:r w:rsidR="0040745D">
        <w:t xml:space="preserve">Dabei wird Morbus Parkinson </w:t>
      </w:r>
      <w:r w:rsidR="007B3B38">
        <w:t xml:space="preserve">von der MDS </w:t>
      </w:r>
      <w:r w:rsidR="0040745D">
        <w:t xml:space="preserve">definiert als </w:t>
      </w:r>
      <w:proofErr w:type="spellStart"/>
      <w:r w:rsidR="007B3B38">
        <w:t>Bradykinesie</w:t>
      </w:r>
      <w:proofErr w:type="spellEnd"/>
      <w:r w:rsidR="007B3B38">
        <w:t xml:space="preserve">, die gemeinsam mit Ruhetremor, Rigor oder beidem auftritt. Diese Symptome sind daher die motorischen Hauptsymptome. </w:t>
      </w:r>
      <w:r w:rsidR="0051280E">
        <w:t>A</w:t>
      </w:r>
      <w:r w:rsidR="009244FB">
        <w:t xml:space="preserve">uch die Instabilität der Körperhaltung </w:t>
      </w:r>
      <w:r w:rsidR="0051280E">
        <w:t xml:space="preserve">wird </w:t>
      </w:r>
      <w:r w:rsidR="009244FB">
        <w:t xml:space="preserve">als zusätzliches motorisches Hauptsymptom genannt, diese ist jedoch kein eigenständiges Kriterium für die Diagnose nach der Definition der MDS </w:t>
      </w:r>
      <w:r w:rsidR="009244FB">
        <w:fldChar w:fldCharType="begin"/>
      </w:r>
      <w:r w:rsidR="0051280E">
        <w:instrText xml:space="preserve"> ADDIN ZOTERO_ITEM CSL_CITATION {"citationID":"vgOnUBCX","properties":{"formattedCitation":"(Balestrino &amp; Schapira, 2020; Hess &amp; Hallett, 2017; Jankovic, 2008; Postuma et al., 2015)","plainCitation":"(Balestrino &amp; Schapira, 2020; Hess &amp; Hallett, 2017; Jankovic, 2008; Postuma et al., 2015)","noteIndex":0},"citationItems":[{"id":99,"uris":["http://zotero.org/users/local/AhaM3qLx/items/PLKDI86Z"],"itemData":{"id":99,"type":"article-journal","container-title":"European Journal of Neurology","DOI":"10.1111/ene.14108","ISSN":"1351-5101, 1468-1331","issue":"1","journalAbbreviation":"Eur J Neurol","language":"en","page":"27-42","source":"DOI.org (Crossref)","title":"Parkinson disease","volume":"27","author":[{"family":"Balestrino","given":"R."},{"family":"Schapira","given":"A.H.V."}],"issued":{"date-parts":[["2020",1]]}}},{"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9244FB">
        <w:fldChar w:fldCharType="separate"/>
      </w:r>
      <w:r w:rsidR="0051280E" w:rsidRPr="0051280E">
        <w:rPr>
          <w:rFonts w:ascii="Calibri" w:hAnsi="Calibri" w:cs="Calibri"/>
        </w:rPr>
        <w:t>(Balestrino &amp; Schapira, 2020; Hess &amp; Hallett, 2017; Jankovic, 2008; Postuma et al., 2015)</w:t>
      </w:r>
      <w:r w:rsidR="009244FB">
        <w:fldChar w:fldCharType="end"/>
      </w:r>
      <w:r w:rsidR="009244FB">
        <w:t>.</w:t>
      </w:r>
    </w:p>
    <w:p w:rsidR="00403FCE" w:rsidRDefault="00403FCE" w:rsidP="00F9011C">
      <w:r>
        <w:t xml:space="preserve">Da sie eine Zeit lang zu wenig Beachtung bekommen haben, ist in der aktuellen Forschung überwiegend Literatur zu den nicht-motorischen Symptomen zu finden. Früher lag der Fokus auf der Dokumentation der motorischen Symptome, die zum Beispiel durch die </w:t>
      </w:r>
      <w:r w:rsidRPr="006804F1">
        <w:t xml:space="preserve">United </w:t>
      </w:r>
      <w:proofErr w:type="spellStart"/>
      <w:r w:rsidRPr="006804F1">
        <w:t>P</w:t>
      </w:r>
      <w:r>
        <w:t>arkinson’s</w:t>
      </w:r>
      <w:proofErr w:type="spellEnd"/>
      <w:r>
        <w:t xml:space="preserve"> </w:t>
      </w:r>
      <w:proofErr w:type="spellStart"/>
      <w:r>
        <w:t>Disease</w:t>
      </w:r>
      <w:proofErr w:type="spellEnd"/>
      <w:r>
        <w:t xml:space="preserve"> </w:t>
      </w:r>
      <w:r w:rsidRPr="006804F1">
        <w:t xml:space="preserve">Rating </w:t>
      </w:r>
      <w:proofErr w:type="spellStart"/>
      <w:r w:rsidRPr="006804F1">
        <w:t>Scale</w:t>
      </w:r>
      <w:proofErr w:type="spellEnd"/>
      <w:r>
        <w:t xml:space="preserve"> (UPDRS) eingeschätzt werden können </w:t>
      </w:r>
      <w:r>
        <w:fldChar w:fldCharType="begin"/>
      </w:r>
      <w:r>
        <w:instrText xml:space="preserve"> ADDIN ZOTERO_ITEM CSL_CITATION {"citationID":"iwTLYJZ7","properties":{"formattedCitation":"(Rahman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fldChar w:fldCharType="separate"/>
      </w:r>
      <w:r w:rsidRPr="00A546EE">
        <w:rPr>
          <w:rFonts w:ascii="Calibri" w:hAnsi="Calibri" w:cs="Calibri"/>
        </w:rPr>
        <w:t>(Rahman et al., 2008)</w:t>
      </w:r>
      <w:r>
        <w:fldChar w:fldCharType="end"/>
      </w:r>
      <w:r>
        <w:t xml:space="preserve">. Eine lange Zeit wurden mit ihr nur motorische Aspekte von Morbus Parkinson erfasst, um klinische Veränderungen der Symptomatik messbar und vergleichbar zu machen </w:t>
      </w:r>
      <w:r>
        <w:fldChar w:fldCharType="begin"/>
      </w:r>
      <w:r>
        <w:instrText xml:space="preserve"> ADDIN ZOTERO_ITEM CSL_CITATION {"citationID":"3K1HOwfc","properties":{"formattedCitation":"(G\\uc0\\u243{}mez-Esteban et al., 2007)","plainCitation":"(Gómez-Esteban et al., 2007)","noteIndex":0},"citationItems":[{"id":38,"uris":["http://zotero.org/users/local/AhaM3qLx/items/5UTDMAFF"],"itemData":{"id":38,"type":"article-journal","abstract":"We studied the impact of various motor and nonmotor symptoms upon quality of life in patients with Parkinson’s disease (PD). The study comprised 110 patients with PD (age: 68.6 years, course of the disease: 7.6 years). The Unified Parkinson Disease Rating Scale (UPDRS; I–IV) and Parkinson’s Disease Questionnaire (PDQ-39) were recorded. We recorded the correlations between years of disease and UPDRS IV, as well as PDQ-39 and UPDRS I, II, III and IV. Introduction of all variables into a linear regression model showed that 3 variables accounted for 51% of the variance in PDQ-39. Mental condition, gait disorders and complications of dopaminergic drugs are the variables that most affect the quality of life of patients with PD.","container-title":"European Neurology","DOI":"10.1159/000098468","ISSN":"0014-3022, 1421-9913","issue":"3","journalAbbreviation":"Eur Neurol","language":"en","page":"161-165","source":"DOI.org (Crossref)","title":"Influence of Motor Symptoms upon the Quality of Life of Patients with Parkinson’s Disease","volume":"57","author":[{"family":"Gómez-Esteban","given":"J.C."},{"family":"Zarranz","given":"J.J."},{"family":"Lezcano","given":"E."},{"family":"Tijero","given":"B."},{"family":"Luna","given":"A."},{"family":"Velasco","given":"F."},{"family":"Rouco","given":"I."},{"family":"Garamendi","given":"I."}],"issued":{"date-parts":[["2007"]]}}}],"schema":"https://github.com/citation-style-language/schema/raw/master/csl-citation.json"} </w:instrText>
      </w:r>
      <w:r>
        <w:fldChar w:fldCharType="separate"/>
      </w:r>
      <w:r w:rsidRPr="00403FCE">
        <w:rPr>
          <w:rFonts w:ascii="Calibri" w:hAnsi="Calibri" w:cs="Calibri"/>
          <w:szCs w:val="24"/>
        </w:rPr>
        <w:t>(Gómez-Esteban et al., 2007)</w:t>
      </w:r>
      <w:r>
        <w:fldChar w:fldCharType="end"/>
      </w:r>
      <w:r>
        <w:t>.</w:t>
      </w:r>
    </w:p>
    <w:p w:rsidR="00E17EC6" w:rsidRDefault="00403FCE" w:rsidP="00F9011C">
      <w:r>
        <w:t>1.1.1 Motorische Symptome von Morbus Parkinson</w:t>
      </w:r>
    </w:p>
    <w:p w:rsidR="00D97AB8" w:rsidRDefault="00EF2E9F" w:rsidP="00F9011C">
      <w:r>
        <w:t xml:space="preserve">Die MDS empfiehlt, die motorischen Hauptsymptome so zu untersuchen, wie es in der MDS-UPDRS beschrieben ist </w:t>
      </w:r>
      <w:r>
        <w:fldChar w:fldCharType="begin"/>
      </w:r>
      <w:r>
        <w:instrText xml:space="preserve"> ADDIN ZOTERO_ITEM CSL_CITATION {"citationID":"9ZYbz5t3","properties":{"formattedCitation":"(Postuma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fldChar w:fldCharType="separate"/>
      </w:r>
      <w:r w:rsidRPr="00EF2E9F">
        <w:rPr>
          <w:rFonts w:ascii="Calibri" w:hAnsi="Calibri" w:cs="Calibri"/>
        </w:rPr>
        <w:t>(Postuma et al., 2015)</w:t>
      </w:r>
      <w:r>
        <w:fldChar w:fldCharType="end"/>
      </w:r>
      <w:r>
        <w:t>.</w:t>
      </w:r>
      <w:r w:rsidR="0044125E">
        <w:t xml:space="preserve"> Die MDS-UPDRS ist eine Revision des UPDRS des MDS, die auf den Empfehlungen einer veröffentlichten Kritik basiert </w:t>
      </w:r>
      <w:r w:rsidR="0044125E">
        <w:fldChar w:fldCharType="begin"/>
      </w:r>
      <w:r w:rsidR="0044125E">
        <w:instrText xml:space="preserve"> ADDIN ZOTERO_ITEM CSL_CITATION {"citationID":"69dB3a7S","properties":{"formattedCitation":"(Goetz et al., 2008)","plainCitation":"(Goetz et al., 2008)","noteIndex":0},"citationItems":[{"id":103,"uris":["http://zotero.org/users/local/AhaM3qLx/items/YLBAGZI8"],"itemData":{"id":103,"type":"article-journal","abstract":"We present a clinimetric assessment of the Movement Disorder Society (MDS)-sponsored revision of the Uniﬁed Parkinson’s Disease Rating Scale (MDS-UPDRS). The MDS-UDPRS Task Force revised and expanded the UPDRS using recommendations from a published critique. The MDS-UPDRS has four parts, namely, I: Non-motor Experiences of Daily Living; II: Motor Experiences of Daily Living; III: Motor Examination; IV: Motor Complications. Twenty questions are completed by the patient/caregiver. Item-speciﬁc instructions and an appendix of complementary additional scales are provided. Movement disorder specialists and study coordinators administered the UPDRS (55 items) and MDS-UPDRS (65 items) to 877 English speaking (78% non-Latino Caucasian) patients with Parkinson’s disease from 39 sites.","container-title":"Movement Disorders","DOI":"10.1002/mds.22340","ISSN":"08853185","issue":"15","journalAbbreviation":"Mov. Disord.","language":"en","page":"2129-2170","source":"DOI.org (Crossref)","title":"Movement Disorder Society-sponsored revision of the Unified Parkinson's Disease Rating Scale (MDS-UPDRS): Scale presentation and clinimetric testing results: MDS-UPDRS: Clinimetric Assessment","title-short":"Movement Disorder Society-sponsored revision of the Unified Parkinson's Disease Rating Scale (MDS-UPDRS)","volume":"23","author":[{"family":"Goetz","given":"Christopher G."},{"family":"Tilley","given":"Barbara C."},{"family":"Shaftman","given":"Stephanie R."},{"family":"Stebbins","given":"Glenn T."},{"family":"Fahn","given":"Stanley"},{"family":"Martinez-Martin","given":"Pablo"},{"family":"Poewe","given":"Werner"},{"family":"Sampaio","given":"Cristina"},{"family":"Stern","given":"Matthew B."},{"family":"Dodel","given":"Richard"},{"family":"Dubois","given":"Bruno"},{"family":"Holloway","given":"Robert"},{"family":"Jankovic","given":"Joseph"},{"family":"Kulisevsky","given":"Jaime"},{"family":"Lang","given":"Anthony E."},{"family":"Lees","given":"Andrew"},{"family":"Leurgans","given":"Sue"},{"family":"LeWitt","given":"Peter A."},{"family":"Nyenhuis","given":"David"},{"family":"Olanow","given":"C. Warren"},{"family":"Rascol","given":"Olivier"},{"family":"Schrag","given":"Anette"},{"family":"Teresi","given":"Jeanne A."},{"family":"Hilten","given":"Jacobus J.","non-dropping-particle":"van"},{"family":"LaPelle","given":"Nancy"}],"issued":{"date-parts":[["2008",11,15]]}}}],"schema":"https://github.com/citation-style-language/schema/raw/master/csl-citation.json"} </w:instrText>
      </w:r>
      <w:r w:rsidR="0044125E">
        <w:fldChar w:fldCharType="separate"/>
      </w:r>
      <w:r w:rsidR="0044125E" w:rsidRPr="0044125E">
        <w:rPr>
          <w:rFonts w:ascii="Calibri" w:hAnsi="Calibri" w:cs="Calibri"/>
        </w:rPr>
        <w:t>(Goetz et al., 2008)</w:t>
      </w:r>
      <w:r w:rsidR="0044125E">
        <w:fldChar w:fldCharType="end"/>
      </w:r>
      <w:r w:rsidR="0044125E">
        <w:t xml:space="preserve">. </w:t>
      </w:r>
      <w:proofErr w:type="spellStart"/>
      <w:r w:rsidR="00392EE0">
        <w:t>Bradykinesie</w:t>
      </w:r>
      <w:proofErr w:type="spellEnd"/>
      <w:r w:rsidR="00392EE0">
        <w:t xml:space="preserve"> ist</w:t>
      </w:r>
      <w:r w:rsidR="006407F7">
        <w:t xml:space="preserve"> in der Definition der MDS ein Übergriff für die eigentliche </w:t>
      </w:r>
      <w:proofErr w:type="spellStart"/>
      <w:r w:rsidR="006407F7">
        <w:t>Bradykinesie</w:t>
      </w:r>
      <w:proofErr w:type="spellEnd"/>
      <w:r w:rsidR="006407F7">
        <w:t xml:space="preserve">, die sich als Verlangsamung der Bewegung äußert, aber auch für Akinesie, die eine verringerte Bewegungsamplitude beschreibt </w:t>
      </w:r>
      <w:r w:rsidR="006407F7">
        <w:fldChar w:fldCharType="begin"/>
      </w:r>
      <w:r w:rsidR="006407F7">
        <w:instrText xml:space="preserve"> ADDIN ZOTERO_ITEM CSL_CITATION {"citationID":"gNDBZJYs","properties":{"formattedCitation":"(Postuma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6407F7">
        <w:fldChar w:fldCharType="separate"/>
      </w:r>
      <w:r w:rsidR="006407F7" w:rsidRPr="006407F7">
        <w:rPr>
          <w:rFonts w:ascii="Calibri" w:hAnsi="Calibri" w:cs="Calibri"/>
        </w:rPr>
        <w:t>(Postuma et al., 2015)</w:t>
      </w:r>
      <w:r w:rsidR="006407F7">
        <w:fldChar w:fldCharType="end"/>
      </w:r>
      <w:r w:rsidR="00A125A2">
        <w:t xml:space="preserve">. </w:t>
      </w:r>
      <w:r w:rsidR="00FC0B88">
        <w:t xml:space="preserve">In einer Übersicht zu der Phänomenologie von Morbus Parkinson von </w:t>
      </w:r>
      <w:r w:rsidR="00FC0B88">
        <w:fldChar w:fldCharType="begin"/>
      </w:r>
      <w:r w:rsidR="00E871FE">
        <w:instrText xml:space="preserve"> ADDIN ZOTERO_ITEM CSL_CITATION {"citationID":"A2qM6LqU","properties":{"formattedCitation":"(Hess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C0B88">
        <w:fldChar w:fldCharType="separate"/>
      </w:r>
      <w:r w:rsidR="00FC0B88">
        <w:rPr>
          <w:rFonts w:ascii="Calibri" w:hAnsi="Calibri" w:cs="Calibri"/>
        </w:rPr>
        <w:t xml:space="preserve">Hess &amp; </w:t>
      </w:r>
      <w:proofErr w:type="spellStart"/>
      <w:r w:rsidR="00FC0B88">
        <w:rPr>
          <w:rFonts w:ascii="Calibri" w:hAnsi="Calibri" w:cs="Calibri"/>
        </w:rPr>
        <w:t>Hallett</w:t>
      </w:r>
      <w:proofErr w:type="spellEnd"/>
      <w:r w:rsidR="00FC0B88" w:rsidRPr="00FC0B88">
        <w:rPr>
          <w:rFonts w:ascii="Calibri" w:hAnsi="Calibri" w:cs="Calibri"/>
        </w:rPr>
        <w:t xml:space="preserve"> </w:t>
      </w:r>
      <w:r w:rsidR="00FC0B88">
        <w:rPr>
          <w:rFonts w:ascii="Calibri" w:hAnsi="Calibri" w:cs="Calibri"/>
        </w:rPr>
        <w:t>(</w:t>
      </w:r>
      <w:r w:rsidR="00FC0B88" w:rsidRPr="00FC0B88">
        <w:rPr>
          <w:rFonts w:ascii="Calibri" w:hAnsi="Calibri" w:cs="Calibri"/>
        </w:rPr>
        <w:t>2017)</w:t>
      </w:r>
      <w:r w:rsidR="00FC0B88">
        <w:fldChar w:fldCharType="end"/>
      </w:r>
      <w:r w:rsidR="00FC0B88">
        <w:t xml:space="preserve"> wird </w:t>
      </w:r>
      <w:proofErr w:type="spellStart"/>
      <w:r w:rsidR="00FC0B88">
        <w:t>Bradykinesie</w:t>
      </w:r>
      <w:proofErr w:type="spellEnd"/>
      <w:r w:rsidR="00FC0B88">
        <w:t xml:space="preserve"> als die Verlängerung der Zeit beschrieben, die zwischen dem Beginn und der Vollendung einer willkürlichen Bewegung vergeht. </w:t>
      </w:r>
      <w:r w:rsidR="00E006EC">
        <w:t xml:space="preserve">Als weitere Merkmale der </w:t>
      </w:r>
      <w:proofErr w:type="spellStart"/>
      <w:r w:rsidR="00E006EC">
        <w:t>Bradykinesie</w:t>
      </w:r>
      <w:proofErr w:type="spellEnd"/>
      <w:r w:rsidR="00E006EC">
        <w:t xml:space="preserve"> wird in dieser Übersicht beschrieben, dass Patient*innen mit Morbus Parkinson langsamer sind, fehlerhafte Bewegungen zu korrigieren</w:t>
      </w:r>
      <w:r w:rsidR="00D625F0">
        <w:t>,</w:t>
      </w:r>
      <w:r w:rsidR="00E006EC">
        <w:t xml:space="preserve"> und bei einer Serie von mehreren Bewegungen eine größere Verzögerung zwischen den einzelnen Bewegungen vorherrscht.</w:t>
      </w:r>
      <w:r w:rsidR="00E65182">
        <w:t xml:space="preserve"> Akinesie wird beschrieben als die Verringerung von automatischen Bewegungen </w:t>
      </w:r>
      <w:r w:rsidR="00F2656C">
        <w:t xml:space="preserve">oder die Verzögerung der Initiation von beabsichtigten Bewegungen </w:t>
      </w:r>
      <w:r w:rsidR="00F2656C">
        <w:fldChar w:fldCharType="begin"/>
      </w:r>
      <w:r w:rsidR="00F2656C">
        <w:instrText xml:space="preserve"> ADDIN ZOTERO_ITEM CSL_CITATION {"citationID":"7dEACFDz","properties":{"formattedCitation":"(Hess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fldChar w:fldCharType="separate"/>
      </w:r>
      <w:r w:rsidR="00F2656C" w:rsidRPr="00F2656C">
        <w:rPr>
          <w:rFonts w:ascii="Calibri" w:hAnsi="Calibri" w:cs="Calibri"/>
        </w:rPr>
        <w:t>(Hess &amp; Hallett, 2017)</w:t>
      </w:r>
      <w:r w:rsidR="00F2656C">
        <w:fldChar w:fldCharType="end"/>
      </w:r>
      <w:r w:rsidR="00F2656C">
        <w:t xml:space="preserve">. Akinesie kann zur Verringerung von Gestik und </w:t>
      </w:r>
      <w:r w:rsidR="00F2656C">
        <w:lastRenderedPageBreak/>
        <w:t xml:space="preserve">Mimik, reduzierter Schluckhäufigkeit, Schmerzen und Schlafproblemen führen </w:t>
      </w:r>
      <w:r w:rsidR="00F2656C">
        <w:fldChar w:fldCharType="begin"/>
      </w:r>
      <w:r w:rsidR="00F2656C">
        <w:instrText xml:space="preserve"> ADDIN ZOTERO_ITEM CSL_CITATION {"citationID":"pNbRVmFx","properties":{"formattedCitation":"(Hess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fldChar w:fldCharType="separate"/>
      </w:r>
      <w:r w:rsidR="00F2656C" w:rsidRPr="00F2656C">
        <w:rPr>
          <w:rFonts w:ascii="Calibri" w:hAnsi="Calibri" w:cs="Calibri"/>
        </w:rPr>
        <w:t>(Hess &amp; Hallett, 2017)</w:t>
      </w:r>
      <w:r w:rsidR="00F2656C">
        <w:fldChar w:fldCharType="end"/>
      </w:r>
      <w:r w:rsidR="00F2656C">
        <w:t xml:space="preserve">. Im Forschungskontext äußert sich Akinesie häufig als verringerte Reaktionszeit, die bereits seit langer Zeit häufig nachgewiesen werden konnte </w:t>
      </w:r>
      <w:r w:rsidR="00A25B47">
        <w:fldChar w:fldCharType="begin"/>
      </w:r>
      <w:r w:rsidR="00A25B47">
        <w:instrText xml:space="preserve"> ADDIN ZOTERO_ITEM CSL_CITATION {"citationID":"WED2Xxov","properties":{"formattedCitation":"(Cooper et al., 1994; Giovannoni et al., 1999; Kutukcu et al., 1999)","plainCitation":"(Cooper et al., 1994; Giovannoni et al., 1999; Kutukcu et al., 1999)","noteIndex":0},"citationItems":[{"id":111,"uris":["http://zotero.org/users/local/AhaM3qLx/items/LIPNJNUC"],"itemData":{"id":111,"type":"article-journal","container-title":"Brain","DOI":"10.1093/brain/117.3.517","ISSN":"0006-8950, 1460-2156","issue":"3","journalAbbreviation":"Brain","language":"en","page":"517-529","source":"DOI.org (Crossref)","title":"Slowed central processing in simple and go/no-go reaction time tasks in Parkinson's disease","volume":"117","author":[{"family":"Cooper","given":"James A."},{"family":"Sagar","given":"Harvey J."},{"family":"Tidswell","given":"Philip"},{"family":"Jordan","given":"Nigel"}],"issued":{"date-parts":[["1994"]]}}},{"id":113,"uris":["http://zotero.org/users/local/AhaM3qLx/items/RD9PWVP7"],"itemData":{"id":113,"type":"article-journal","abstract":"Objectives—A simple and rapid computerised keyboard test, based on the alternating ﬁnger tapping test, has been developed to quantify upper limb motor function. The test generates several variables: (1) kinesia score: the number of keystrokes in 60 seconds; (2) akinesia time: cumulative time that keys are depressed; (3) dysmetria score: a weighted index calculated using the number of incorrectly hit keys corrected for speed; (4) incoordination score: a measure of rhythmicity which corresponds to the variance of the time interval between keystrokes.\nMethods—The BRAIN TEST© was assessed on 35 patients with idiopathic Parkinson’s disease, 12 patients with cerebellar dysfunction, and 27 normal control subjects.\nResults—The mean kinesia scores of patients with Parkinson’s disease or cerebellar dysfunction were signiﬁcantly slower than normal controls (Parkinson’s disease=107 (SD 28) keys/min v cerebellar dysfunction=86± (SD 28) v normal controls=182 (SD 26), p&lt;0.001) and correlated with the UPDRS (r =−0.69, p&lt;0.001). The akinesia time is very insensitive and was only abnormal in patients with severe parkinsonism. The median dysmetria (cerebellar dysfunction=13.8 v Parkinson’s disease=6.1 v normal controls=4.2, p=0.002) and inco-ordination scores (cerebellar dysfunction=5.12 v Parkinson’s disease=0.84 v normal controls=0.15, p=0.002) were signiﬁcantly higher in patients with cerebellar dysfunction, in whom the dysmetria score correlated with a cerebellar disease rating scale (r=0.64, p=0.02).\nConclusion—The BRAIN TEST© provides a simple, rapid, and objective assessment of upper limb motor function. It assesses speed, accuracy, and rhythmicity of upper limb movements regardless of their physiological basis. The results of the test correlate well with clinical rating scales in Parkinson’s disease and cerebellar dysfunction. The BRAIN test will be useful in clinical studies. It can be downloaded from the Internet (www.anaesthetist.com/ software/brain.htm).","container-title":"Journal of Neurology, Neurosurgery &amp; Psychiatry","DOI":"10.1136/jnnp.67.5.624","ISSN":"0022-3050","issue":"5","journalAbbreviation":"Journal of Neurology, Neurosurgery &amp; Psychiatry","language":"en","page":"624-629","source":"DOI.org (Crossref)","title":"Bradykinesia akinesia inco-ordination test (BRAIN TEST): an objective computerised assessment of upper limb motor function","title-short":"Bradykinesia akinesia inco-ordination test (BRAIN TEST)","volume":"67","author":[{"family":"Giovannoni","given":"G"},{"family":"Schalkwyk","given":"J","non-dropping-particle":"van"},{"family":"Fritz","given":"V U"},{"family":"Lees","given":"A J"}],"issued":{"date-parts":[["1999",11,1]]}}},{"id":109,"uris":["http://zotero.org/users/local/AhaM3qLx/items/AWXD9AH9"],"itemData":{"id":109,"type":"article-journal","abstract":"Reaction-times were evaluated in 6 parkinsonian patients and 6 normal control subjects using a simple reaction task and 3 choice reaction tasks of differing complexity. Reaction-times were measured as the time from stimulus onset to the onset of electromyographic activity in the responding muscle. Reaction-time was significantly delayed in patients compared to controls in all tasks, but to a greater extent in the more difficult tasks. The relative magnitude of the change, however, was only 4% in the simple reaction task and 8% in the more difficult choice tasks. These results suggest that the deficit in Parkinson’s disease is unlikely to represent a defect in preprogramming as suggested by some investigators. Instead, our results indicate a disturbance in the cerebral processing of the auditory stimuli after their occurrence and prior to the initiation of motor activity. q 1999 Elsevier Science B.V. All rights reserved.","container-title":"Brain Research","DOI":"10.1016/S0006-8993(98)01060-9","ISSN":"00068993","issue":"2","journalAbbreviation":"Brain Research","language":"en","page":"367-372","source":"DOI.org (Crossref)","title":"Simple and choice reaction time in Parkinson's disease","volume":"815","author":[{"family":"Kutukcu","given":"Yasar"},{"family":"Marks","given":"William J"},{"family":"Goodin","given":"Douglas S"},{"family":"Aminoff","given":"Michael J"}],"issued":{"date-parts":[["1999",1]]}}}],"schema":"https://github.com/citation-style-language/schema/raw/master/csl-citation.json"} </w:instrText>
      </w:r>
      <w:r w:rsidR="00A25B47">
        <w:fldChar w:fldCharType="separate"/>
      </w:r>
      <w:r w:rsidR="00A25B47" w:rsidRPr="00A25B47">
        <w:rPr>
          <w:rFonts w:ascii="Calibri" w:hAnsi="Calibri" w:cs="Calibri"/>
        </w:rPr>
        <w:t>(Cooper et al., 1994; Giovannoni et al., 1999; Kutukcu et al., 1999)</w:t>
      </w:r>
      <w:r w:rsidR="00A25B47">
        <w:fldChar w:fldCharType="end"/>
      </w:r>
      <w:r w:rsidR="00A25B47">
        <w:t>.</w:t>
      </w:r>
      <w:r w:rsidR="00BC6192">
        <w:t xml:space="preserve"> Abgesehen von vollständigen Erstarrungen sind verzögerte Reaktionszeiten selten eine klinische Beschwerde, </w:t>
      </w:r>
      <w:r w:rsidR="004B117D">
        <w:t xml:space="preserve">wohingegen die Verlangsamung und Verringerung der Bewegungen eine offensichtlichere Einschränkung darstellt </w:t>
      </w:r>
      <w:r w:rsidR="004B117D">
        <w:fldChar w:fldCharType="begin"/>
      </w:r>
      <w:r w:rsidR="004B117D">
        <w:instrText xml:space="preserve"> ADDIN ZOTERO_ITEM CSL_CITATION {"citationID":"pRWyUCzg","properties":{"formattedCitation":"(Hess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4B117D">
        <w:fldChar w:fldCharType="separate"/>
      </w:r>
      <w:r w:rsidR="004B117D" w:rsidRPr="004B117D">
        <w:rPr>
          <w:rFonts w:ascii="Calibri" w:hAnsi="Calibri" w:cs="Calibri"/>
        </w:rPr>
        <w:t>(Hess &amp; Hallett, 2017)</w:t>
      </w:r>
      <w:r w:rsidR="004B117D">
        <w:fldChar w:fldCharType="end"/>
      </w:r>
    </w:p>
    <w:p w:rsidR="00FA6E57" w:rsidRDefault="007054DD" w:rsidP="00F9011C">
      <w:r>
        <w:t>Der Rigor steht für e</w:t>
      </w:r>
      <w:r w:rsidR="00E871FE">
        <w:t xml:space="preserve">ine erhöhte Bewegungsresistenz der Gelenke bei passiven Bewegungen, die von Untersucher*innen auf die Extremitäten der Patient*innen angewandt werden, während diese sich im Ruhezustand befinden </w:t>
      </w:r>
      <w:r w:rsidR="00E871FE">
        <w:fldChar w:fldCharType="begin"/>
      </w:r>
      <w:r w:rsidR="00E871FE">
        <w:instrText xml:space="preserve"> ADDIN ZOTERO_ITEM CSL_CITATION {"citationID":"P76Rz9uA","properties":{"formattedCitation":"(Hess &amp; Hallett, 2017; Postuma et al., 2015)","plainCitation":"(Hess &amp; Hallett, 2017; Postuma et al., 2015)","noteIndex":0},"citationItems":[{"id":105,"uris":["http://zotero.org/users/local/AhaM3qLx/items/SVZ2L5YU"],"itemData":{"id":105,"type":"article-journal","abstract":"The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E871FE">
        <w:fldChar w:fldCharType="separate"/>
      </w:r>
      <w:r w:rsidR="00E871FE" w:rsidRPr="00E871FE">
        <w:rPr>
          <w:rFonts w:ascii="Calibri" w:hAnsi="Calibri" w:cs="Calibri"/>
        </w:rPr>
        <w:t>(Hess &amp; Hallett, 2017; Postuma et al., 2015)</w:t>
      </w:r>
      <w:r w:rsidR="00E871FE">
        <w:fldChar w:fldCharType="end"/>
      </w:r>
      <w:r w:rsidR="00E871FE">
        <w:t>. Häufig tritt</w:t>
      </w:r>
      <w:r w:rsidR="00D95A67">
        <w:t xml:space="preserve"> zusätzlich</w:t>
      </w:r>
      <w:r w:rsidR="00E871FE">
        <w:t xml:space="preserve"> das Zahnradphänomen auf, bei dem </w:t>
      </w:r>
      <w:r w:rsidR="00D95A67">
        <w:t xml:space="preserve">die passive Bewegung der Gelenke nur stockend funktioniert </w:t>
      </w:r>
      <w:r w:rsidR="00D95A67">
        <w:fldChar w:fldCharType="begin"/>
      </w:r>
      <w:r w:rsidR="00D95A67">
        <w:instrText xml:space="preserve"> ADDIN ZOTERO_ITEM CSL_CITATION {"citationID":"LAB0HOyn","properties":{"formattedCitation":"(Hess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D95A67">
        <w:fldChar w:fldCharType="separate"/>
      </w:r>
      <w:r w:rsidR="00D95A67" w:rsidRPr="00D95A67">
        <w:rPr>
          <w:rFonts w:ascii="Calibri" w:hAnsi="Calibri" w:cs="Calibri"/>
        </w:rPr>
        <w:t>(Hess &amp; Hallett, 2017)</w:t>
      </w:r>
      <w:r w:rsidR="00D95A67">
        <w:fldChar w:fldCharType="end"/>
      </w:r>
      <w:r w:rsidR="00D95A67">
        <w:t xml:space="preserve">. Ein isoliertes Zahnradphänomen ohne Bewegungsresistenz erfüllt jedoch nicht die minimalen Bedingungen für einen Rigor </w:t>
      </w:r>
      <w:r w:rsidR="00D95A67">
        <w:fldChar w:fldCharType="begin"/>
      </w:r>
      <w:r w:rsidR="00D95A67">
        <w:instrText xml:space="preserve"> ADDIN ZOTERO_ITEM CSL_CITATION {"citationID":"e4XkEkvw","properties":{"formattedCitation":"(Postuma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95A67">
        <w:fldChar w:fldCharType="separate"/>
      </w:r>
      <w:r w:rsidR="00D95A67" w:rsidRPr="00D95A67">
        <w:rPr>
          <w:rFonts w:ascii="Calibri" w:hAnsi="Calibri" w:cs="Calibri"/>
        </w:rPr>
        <w:t>(Postuma et al., 2015)</w:t>
      </w:r>
      <w:r w:rsidR="00D95A67">
        <w:fldChar w:fldCharType="end"/>
      </w:r>
      <w:r w:rsidR="00D95A67">
        <w:t xml:space="preserve">. </w:t>
      </w:r>
      <w:r w:rsidR="0085728D">
        <w:t>In ein</w:t>
      </w:r>
      <w:r w:rsidR="00FA6E57">
        <w:t>ig</w:t>
      </w:r>
      <w:r w:rsidR="0085728D">
        <w:t>en Fällen ist der Rigor zusätzlich mit Schmerz verbunden</w:t>
      </w:r>
      <w:r w:rsidR="00E871FE">
        <w:t xml:space="preserve"> </w:t>
      </w:r>
      <w:r w:rsidR="00E871FE">
        <w:fldChar w:fldCharType="begin"/>
      </w:r>
      <w:r w:rsidR="00E871FE">
        <w:instrText xml:space="preserve"> ADDIN ZOTERO_ITEM CSL_CITATION {"citationID":"SlJNC8JP","properties":{"formattedCitation":"(Jankovic,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E871FE">
        <w:fldChar w:fldCharType="separate"/>
      </w:r>
      <w:r w:rsidR="00E871FE" w:rsidRPr="00E871FE">
        <w:rPr>
          <w:rFonts w:ascii="Calibri" w:hAnsi="Calibri" w:cs="Calibri"/>
        </w:rPr>
        <w:t>(Jankovic, 2008)</w:t>
      </w:r>
      <w:r w:rsidR="00E871FE">
        <w:fldChar w:fldCharType="end"/>
      </w:r>
      <w:r w:rsidR="00FA6E57">
        <w:t>.</w:t>
      </w:r>
    </w:p>
    <w:p w:rsidR="00206C21" w:rsidRDefault="0067427F">
      <w:r>
        <w:t>Der Ruhetremo</w:t>
      </w:r>
      <w:r w:rsidR="001A107E">
        <w:t xml:space="preserve">r ist ein Tremor mit 4 – 6 Hz in den Gliedern, während diese sich in vollständiger Ruhe befinden, der bei Initiierung von Bewegung unterdrückt wird </w:t>
      </w:r>
      <w:r w:rsidR="001A107E">
        <w:fldChar w:fldCharType="begin"/>
      </w:r>
      <w:r w:rsidR="001A107E">
        <w:instrText xml:space="preserve"> ADDIN ZOTERO_ITEM CSL_CITATION {"citationID":"KQD7sapj","properties":{"formattedCitation":"(Postuma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1A107E">
        <w:fldChar w:fldCharType="separate"/>
      </w:r>
      <w:r w:rsidR="001A107E" w:rsidRPr="001A107E">
        <w:rPr>
          <w:rFonts w:ascii="Calibri" w:hAnsi="Calibri" w:cs="Calibri"/>
        </w:rPr>
        <w:t>(Postuma et al., 2015)</w:t>
      </w:r>
      <w:r w:rsidR="001A107E">
        <w:fldChar w:fldCharType="end"/>
      </w:r>
      <w:r>
        <w:t>.</w:t>
      </w:r>
      <w:r w:rsidR="001A107E">
        <w:t xml:space="preserve"> Der Ruhetremor bei Patient*innen mit Morbus Parkinson wird oft begleitet von einem Haltungstremor, der </w:t>
      </w:r>
      <w:r w:rsidR="00206C21">
        <w:t xml:space="preserve">auftritt, wenn eine Körperhaltung über verlängerte Zeit aufrecht erhalten werden muss </w:t>
      </w:r>
      <w:r w:rsidR="00206C21">
        <w:fldChar w:fldCharType="begin"/>
      </w:r>
      <w:r w:rsidR="00206C21">
        <w:instrText xml:space="preserve"> ADDIN ZOTERO_ITEM CSL_CITATION {"citationID":"LrUcKMs7","properties":{"formattedCitation":"(Postuma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fldChar w:fldCharType="separate"/>
      </w:r>
      <w:r w:rsidR="00206C21" w:rsidRPr="00206C21">
        <w:rPr>
          <w:rFonts w:ascii="Calibri" w:hAnsi="Calibri" w:cs="Calibri"/>
        </w:rPr>
        <w:t>(Postuma et al., 2015)</w:t>
      </w:r>
      <w:r w:rsidR="00206C21">
        <w:fldChar w:fldCharType="end"/>
      </w:r>
      <w:r w:rsidR="00206C21">
        <w:t xml:space="preserve">. Da der Haltungstremor jedoch alleine nicht als Kriterium für Parkinson ausreicht, muss bei der Untersuchung sichergestellt werden, dass der Tremor auch in vollständiger Entspannung auftritt </w:t>
      </w:r>
      <w:r w:rsidR="00206C21">
        <w:fldChar w:fldCharType="begin"/>
      </w:r>
      <w:r w:rsidR="00206C21">
        <w:instrText xml:space="preserve"> ADDIN ZOTERO_ITEM CSL_CITATION {"citationID":"nChDR7wo","properties":{"formattedCitation":"(Postuma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fldChar w:fldCharType="separate"/>
      </w:r>
      <w:r w:rsidR="00206C21" w:rsidRPr="00206C21">
        <w:rPr>
          <w:rFonts w:ascii="Calibri" w:hAnsi="Calibri" w:cs="Calibri"/>
        </w:rPr>
        <w:t>(Postuma et al., 2015)</w:t>
      </w:r>
      <w:r w:rsidR="00206C21">
        <w:fldChar w:fldCharType="end"/>
      </w:r>
      <w:r w:rsidR="00023F1B">
        <w:t xml:space="preserve">. Wegen des oft vorhandenen Haltungstremors, kann der Tremor bei Parkinson auch mit einem Aktionstremor verwechselt werden </w:t>
      </w:r>
      <w:r w:rsidR="00023F1B">
        <w:fldChar w:fldCharType="begin"/>
      </w:r>
      <w:r w:rsidR="00023F1B">
        <w:instrText xml:space="preserve"> ADDIN ZOTERO_ITEM CSL_CITATION {"citationID":"i0OZHLo2","properties":{"formattedCitation":"(Hess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023F1B">
        <w:fldChar w:fldCharType="separate"/>
      </w:r>
      <w:r w:rsidR="00023F1B" w:rsidRPr="00023F1B">
        <w:rPr>
          <w:rFonts w:ascii="Calibri" w:hAnsi="Calibri" w:cs="Calibri"/>
        </w:rPr>
        <w:t>(Hess &amp; Hallett, 2017)</w:t>
      </w:r>
      <w:r w:rsidR="00023F1B">
        <w:fldChar w:fldCharType="end"/>
      </w:r>
      <w:r w:rsidR="00023F1B">
        <w:t xml:space="preserve">. </w:t>
      </w:r>
      <w:r w:rsidR="009A1054">
        <w:t>Daher ist es</w:t>
      </w:r>
      <w:r w:rsidR="00BD410F">
        <w:t xml:space="preserve"> auch</w:t>
      </w:r>
      <w:r w:rsidR="009A1054">
        <w:t xml:space="preserve"> wichtig, Morbus Parkinson un</w:t>
      </w:r>
      <w:r w:rsidR="009B4733">
        <w:t xml:space="preserve">d Essentiellen Tremor, der </w:t>
      </w:r>
      <w:r w:rsidR="00BD410F">
        <w:t xml:space="preserve">mit Aktionstremor assoziiert ist, voneinander abzugrenzen </w:t>
      </w:r>
      <w:r w:rsidR="00BD410F">
        <w:fldChar w:fldCharType="begin"/>
      </w:r>
      <w:r w:rsidR="00BD410F">
        <w:instrText xml:space="preserve"> ADDIN ZOTERO_ITEM CSL_CITATION {"citationID":"YEqpeQVJ","properties":{"formattedCitation":"(Thenganatt &amp; Jankovic, 2016; Thenganatt &amp; Louis, 2012)","plainCitation":"(Thenganatt &amp; Jankovic, 2016; Thenganatt &amp; Louis, 2012)","noteIndex":0},"citationItems":[{"id":117,"uris":["http://zotero.org/users/local/AhaM3qLx/items/3C7P7YPN"],"itemData":{"id":117,"type":"article-journal","abstract":"Essential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BD410F">
        <w:fldChar w:fldCharType="separate"/>
      </w:r>
      <w:r w:rsidR="00BD410F" w:rsidRPr="00BD410F">
        <w:rPr>
          <w:rFonts w:ascii="Calibri" w:hAnsi="Calibri" w:cs="Calibri"/>
        </w:rPr>
        <w:t>(Thenganatt &amp; Jankovic, 2016; Thenganatt &amp; Louis, 2012)</w:t>
      </w:r>
      <w:r w:rsidR="00BD410F">
        <w:fldChar w:fldCharType="end"/>
      </w:r>
      <w:r w:rsidR="00206261">
        <w:t xml:space="preserve">. Beide Erkrankungen zeigen häufig ähnliche klinische Eigenschaften </w:t>
      </w:r>
      <w:r w:rsidR="00206261">
        <w:fldChar w:fldCharType="begin"/>
      </w:r>
      <w:r w:rsidR="00206261">
        <w:instrText xml:space="preserve"> ADDIN ZOTERO_ITEM CSL_CITATION {"citationID":"Zsskq2L5","properties":{"formattedCitation":"(Thenganatt &amp; Jankovic, 2016)","plainCitation":"(Thenganatt &amp; Jankovic, 2016)","noteIndex":0},"citationItems":[{"id":117,"uris":["http://zotero.org/users/local/AhaM3qLx/items/3C7P7YPN"],"itemData":{"id":117,"type":"article-journal","abstract":"Essential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Ann"},{"family":"Jankovic","given":"Joseph"}],"issued":{"date-parts":[["2016",1]]}}}],"schema":"https://github.com/citation-style-language/schema/raw/master/csl-citation.json"} </w:instrText>
      </w:r>
      <w:r w:rsidR="00206261">
        <w:fldChar w:fldCharType="separate"/>
      </w:r>
      <w:r w:rsidR="00206261" w:rsidRPr="00206261">
        <w:rPr>
          <w:rFonts w:ascii="Calibri" w:hAnsi="Calibri" w:cs="Calibri"/>
        </w:rPr>
        <w:t>(Thenganatt &amp; Jankovic, 2016)</w:t>
      </w:r>
      <w:r w:rsidR="00206261">
        <w:fldChar w:fldCharType="end"/>
      </w:r>
      <w:r w:rsidR="00206261">
        <w:t xml:space="preserve">. Außerdem können die unterschiedlich Varianten des Tremors nicht nur in der jeweils anderen Erkrankung vorkommen, eine einzelne Person kann auch an beiden Erkrankungen leiden </w:t>
      </w:r>
      <w:r w:rsidR="00206261">
        <w:fldChar w:fldCharType="begin"/>
      </w:r>
      <w:r w:rsidR="00206261">
        <w:instrText xml:space="preserve"> ADDIN ZOTERO_ITEM CSL_CITATION {"citationID":"Ya04LhkR","properties":{"formattedCitation":"(Thenganatt &amp; Louis, 2012)","plainCitation":"(Thenganatt &amp; Louis, 2012)","noteIndex":0},"citationItems":[{"id":119,"uris":["http://zotero.org/users/local/AhaM3qLx/items/X3YHDIAZ"],"itemData":{"id":119,"type":"article-journal","container-title":"Expert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206261">
        <w:fldChar w:fldCharType="separate"/>
      </w:r>
      <w:r w:rsidR="00206261" w:rsidRPr="00206261">
        <w:rPr>
          <w:rFonts w:ascii="Calibri" w:hAnsi="Calibri" w:cs="Calibri"/>
        </w:rPr>
        <w:t>(Thenganatt &amp; Louis, 2012)</w:t>
      </w:r>
      <w:r w:rsidR="00206261">
        <w:fldChar w:fldCharType="end"/>
      </w:r>
      <w:r w:rsidR="00206261">
        <w:t>.</w:t>
      </w:r>
      <w:r w:rsidR="00023F1B">
        <w:t xml:space="preserve"> </w:t>
      </w:r>
      <w:r w:rsidR="00206C21">
        <w:t xml:space="preserve"> </w:t>
      </w:r>
      <w:r>
        <w:t xml:space="preserve"> </w:t>
      </w:r>
    </w:p>
    <w:p w:rsidR="00403FCE" w:rsidRDefault="00403FCE">
      <w:r>
        <w:t>Die Instabilität der Körperhaltung tritt meistens erst in den letzten S</w:t>
      </w:r>
      <w:r w:rsidR="00A1348D">
        <w:t xml:space="preserve">tadien von Morbus Parkinson auf </w:t>
      </w:r>
      <w:r w:rsidR="00A1348D">
        <w:fldChar w:fldCharType="begin"/>
      </w:r>
      <w:r w:rsidR="00A1348D">
        <w:instrText xml:space="preserve"> ADDIN ZOTERO_ITEM CSL_CITATION {"citationID":"spQxD68N","properties":{"formattedCitation":"(Jankovic, 2008; Postuma et al., 2015)","plainCitation":"(Jankovic, 2008; Postuma et al., 2015)","noteIndex":0},"citationItems":[{"id":41,"uris":["http://zotero.org/users/local/AhaM3qLx/items/UMJV597V"],"itemData":{"id":41,"type":"article-journal","abstract":"Objective: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1348D">
        <w:fldChar w:fldCharType="separate"/>
      </w:r>
      <w:r w:rsidR="00A1348D" w:rsidRPr="00A1348D">
        <w:rPr>
          <w:rFonts w:ascii="Calibri" w:hAnsi="Calibri" w:cs="Calibri"/>
        </w:rPr>
        <w:t>(Jankovic, 2008; Postuma et al., 2015)</w:t>
      </w:r>
      <w:r w:rsidR="00A1348D">
        <w:fldChar w:fldCharType="end"/>
      </w:r>
      <w:r>
        <w:t xml:space="preserve">. </w:t>
      </w:r>
      <w:r w:rsidR="00A1348D">
        <w:t>Das ist auch der Grund, weshalb es in den Kriterien der MDS nicht als Hauptsymptom berücksichtigt wird, da deren Auftreten in einem frühen Krankheitsstadium für alternative Diagnosen spricht</w:t>
      </w:r>
      <w:r w:rsidR="00DA12FA">
        <w:t xml:space="preserve"> </w:t>
      </w:r>
      <w:r w:rsidR="00DA12FA">
        <w:fldChar w:fldCharType="begin"/>
      </w:r>
      <w:r w:rsidR="00DA12FA">
        <w:instrText xml:space="preserve"> ADDIN ZOTERO_ITEM CSL_CITATION {"citationID":"vImeDVwQ","properties":{"formattedCitation":"(K\\uc0\\u246{}llensperger et al., 2008; Postuma et al., 2015)","plainCitation":"(Köllensperger et al., 2008; Postuma et al., 2015)","noteIndex":0},"citationItems":[{"id":115,"uris":["http://zotero.org/users/local/AhaM3qLx/items/49JPN6JK"],"itemData":{"id":115,"type":"article-journal","abstract":"The clinical diagnosis of multiple system atrophy (MSA) is fraught with difﬁculty and there are no pathognomonic features to discriminate the parkinsonian variant (MSAP) from Parkinson’s disease (PD). Besides the poor response to levodopa, and the additional presence of pyramidal or cerebellar signs (ataxia) or autonomic failure as major diagnostic criteria, certain other clinical features known as ‘‘red ﬂags’’ or warning signs may raise the clinical suspicion of MSA. To study the diagnostic role of these features in MSA-P versus PD patients, a standardized red ﬂag check list (RFCL) developed by the European MSA Study Group (EMSA-SG) was administered to 57 patients with probable MSA-P and 116 patients with probable PD diagnosed according to established criteria. Those red ﬂags with a speciﬁty over 95% were selected for further analysis. Factor analysis was applied to reduce the number of red ﬂags.","container-title":"Movement Disorders","DOI":"10.1002/mds.21992","ISSN":"08853185, 15318257","issue":"8","journalAbbreviation":"Mov Disord.","language":"en","page":"1093-1099","source":"DOI.org (Crossref)","title":"Red flags for multiple system atrophy","volume":"23","author":[{"family":"Köllensperger","given":"Martin"},{"family":"Geser","given":"Felix"},{"family":"Seppi","given":"Klaus"},{"family":"Stampfer-Kountchev","given":"Michaela"},{"family":"Sawires","given":"Martin"},{"family":"Scherfler","given":"Christoph"},{"family":"Boesch","given":"Sylvia"},{"family":"Mueller","given":"Joerg"},{"family":"Koukouni","given":"Vasiliki"},{"family":"Quinn","given":"Niall"},{"family":"Pellecchia","given":"Maria Teresa"},{"family":"Barone","given":"Paolo"},{"family":"Schimke","given":"Nicole"},{"family":"Dodel","given":"Richard"},{"family":"Oertel","given":"Wolfgang"},{"family":"Dupont","given":"Erik"},{"family":"Østergaard","given":"Karen"},{"family":"Daniels","given":"Christine"},{"family":"Deuschl","given":"Günther"},{"family":"Gurevich","given":"Tanya"},{"family":"Giladi","given":"Nir"},{"family":"Coelho","given":"Miguel"},{"family":"Sampaio","given":"Cristina"},{"family":"Nilsson","given":"Christer"},{"family":"Widner","given":"Håkan"},{"family":"Sorbo","given":"Francesca Del"},{"family":"Albanese","given":"Alberto"},{"family":"Cardozo","given":"Adriana"},{"family":"Tolosa","given":"Eduardo"},{"family":"Abele","given":"Michael"},{"family":"Klockgether","given":"Thomas"},{"family":"Kamm","given":"Christoph"},{"family":"Gasser","given":"Thomas"},{"family":"Djaldetti","given":"Ruth"},{"family":"Colosimo","given":"Carlo"},{"family":"Meco","given":"Giuseppe"},{"family":"Schrag","given":"Anette"},{"family":"Poewe","given":"Werner"},{"family":"Wenning","given":"Gregor K."},{"literal":"on behalf of the European MSA Study Group (EMSA-SG)"}],"issued":{"date-parts":[["2008",6,15]]}}},{"id":45,"uris":["http://zotero.org/users/local/AhaM3qLx/items/YDF2TREI"],"itemData":{"id":45,"type":"article-journal","container-title":"Movement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A12FA">
        <w:fldChar w:fldCharType="separate"/>
      </w:r>
      <w:r w:rsidR="00DA12FA" w:rsidRPr="00DA12FA">
        <w:rPr>
          <w:rFonts w:ascii="Calibri" w:hAnsi="Calibri" w:cs="Calibri"/>
          <w:szCs w:val="24"/>
        </w:rPr>
        <w:t>(Köllensperger et al., 2008; Postuma et al., 2015)</w:t>
      </w:r>
      <w:r w:rsidR="00DA12FA">
        <w:fldChar w:fldCharType="end"/>
      </w:r>
      <w:r w:rsidR="00A1348D">
        <w:t>. Die Instabilität der Körperhaltung</w:t>
      </w:r>
      <w:r>
        <w:t xml:space="preserve"> wi</w:t>
      </w:r>
      <w:r w:rsidR="005C10C5">
        <w:t xml:space="preserve">rd getestet, indem der Rückstoß und die Erholung einschätzen, die auftritt, wenn Patient*innen schnell an ihren Schultern zurückgezogen werden </w:t>
      </w:r>
      <w:r w:rsidR="005C10C5">
        <w:fldChar w:fldCharType="begin"/>
      </w:r>
      <w:r w:rsidR="005C10C5">
        <w:instrText xml:space="preserve"> ADDIN ZOTERO_ITEM CSL_CITATION {"citationID":"9tcM2KOl","properties":{"formattedCitation":"(Hess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fldChar w:fldCharType="separate"/>
      </w:r>
      <w:r w:rsidR="005C10C5" w:rsidRPr="005C10C5">
        <w:rPr>
          <w:rFonts w:ascii="Calibri" w:hAnsi="Calibri" w:cs="Calibri"/>
        </w:rPr>
        <w:t>(Hess &amp; Hallett, 2017)</w:t>
      </w:r>
      <w:r w:rsidR="005C10C5">
        <w:fldChar w:fldCharType="end"/>
      </w:r>
      <w:r>
        <w:t>. Dieses Symptom gehört zu den Hauptursachen von Stürzen und kann daher besonders gefährliche Folgen für die Betroffenen hab</w:t>
      </w:r>
      <w:r w:rsidR="005C10C5">
        <w:t xml:space="preserve">en </w:t>
      </w:r>
      <w:r w:rsidR="005C10C5">
        <w:fldChar w:fldCharType="begin"/>
      </w:r>
      <w:r w:rsidR="005C10C5">
        <w:instrText xml:space="preserve"> ADDIN ZOTERO_ITEM CSL_CITATION {"citationID":"cFSlKGJK","properties":{"formattedCitation":"(Jankovic,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5C10C5">
        <w:fldChar w:fldCharType="separate"/>
      </w:r>
      <w:r w:rsidR="005C10C5" w:rsidRPr="005C10C5">
        <w:rPr>
          <w:rFonts w:ascii="Calibri" w:hAnsi="Calibri" w:cs="Calibri"/>
        </w:rPr>
        <w:t>(Jankovic, 2008)</w:t>
      </w:r>
      <w:r w:rsidR="005C10C5">
        <w:fldChar w:fldCharType="end"/>
      </w:r>
      <w:r>
        <w:t xml:space="preserve">. </w:t>
      </w:r>
      <w:r w:rsidR="005C10C5">
        <w:t xml:space="preserve">Falls dadurch eine Angst vor dem Fallen entsteht, kann diese sogar noch einschränkender sein als die Erkrankung selbst </w:t>
      </w:r>
      <w:r w:rsidR="005C10C5">
        <w:fldChar w:fldCharType="begin"/>
      </w:r>
      <w:r w:rsidR="005C10C5">
        <w:instrText xml:space="preserve"> ADDIN ZOTERO_ITEM CSL_CITATION {"citationID":"vKQNbm3B","properties":{"formattedCitation":"(Hess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fldChar w:fldCharType="separate"/>
      </w:r>
      <w:r w:rsidR="005C10C5" w:rsidRPr="005C10C5">
        <w:rPr>
          <w:rFonts w:ascii="Calibri" w:hAnsi="Calibri" w:cs="Calibri"/>
        </w:rPr>
        <w:t>(Hess &amp; Hallett, 2017)</w:t>
      </w:r>
      <w:r w:rsidR="005C10C5">
        <w:fldChar w:fldCharType="end"/>
      </w:r>
      <w:r w:rsidR="005C10C5">
        <w:t>.</w:t>
      </w:r>
    </w:p>
    <w:p w:rsidR="00403FCE" w:rsidRDefault="004904A7" w:rsidP="00403FCE">
      <w:r>
        <w:t xml:space="preserve">In der Übersicht von </w:t>
      </w:r>
      <w:r>
        <w:fldChar w:fldCharType="begin"/>
      </w:r>
      <w:r w:rsidR="006B65CD">
        <w:instrText xml:space="preserve"> ADDIN ZOTERO_ITEM CSL_CITATION {"citationID":"KXSN0RCH","properties":{"formattedCitation":"(Hess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fldChar w:fldCharType="separate"/>
      </w:r>
      <w:r>
        <w:rPr>
          <w:rFonts w:ascii="Calibri" w:hAnsi="Calibri" w:cs="Calibri"/>
        </w:rPr>
        <w:t>Hess &amp; Hallett</w:t>
      </w:r>
      <w:r w:rsidRPr="004904A7">
        <w:rPr>
          <w:rFonts w:ascii="Calibri" w:hAnsi="Calibri" w:cs="Calibri"/>
        </w:rPr>
        <w:t xml:space="preserve"> </w:t>
      </w:r>
      <w:r>
        <w:rPr>
          <w:rFonts w:ascii="Calibri" w:hAnsi="Calibri" w:cs="Calibri"/>
        </w:rPr>
        <w:t>(</w:t>
      </w:r>
      <w:r w:rsidRPr="004904A7">
        <w:rPr>
          <w:rFonts w:ascii="Calibri" w:hAnsi="Calibri" w:cs="Calibri"/>
        </w:rPr>
        <w:t>2017)</w:t>
      </w:r>
      <w:r>
        <w:fldChar w:fldCharType="end"/>
      </w:r>
      <w:r>
        <w:t xml:space="preserve"> werden noch viele weitere motorische Symptome genannt wie</w:t>
      </w:r>
      <w:r w:rsidR="00F50C5B">
        <w:t xml:space="preserve"> Schwierigkeiten bei automatisierten Bewegungen, Dual-Tasks, repetitiven Bewegungen und Gangart</w:t>
      </w:r>
      <w:r>
        <w:t>, die mit den Hauptsymptomen und untereinander zusammenhängen, und teilweise nicht spezifisch für Morbus Parkinson sind.</w:t>
      </w:r>
      <w:r w:rsidR="00403FCE">
        <w:t xml:space="preserve"> </w:t>
      </w:r>
      <w:r>
        <w:t>Insbesondere d</w:t>
      </w:r>
      <w:r w:rsidR="00403FCE">
        <w:t xml:space="preserve">ie Gangart, die bei Patient*innen mit Morbus Parkinson meistens verändert ist, </w:t>
      </w:r>
      <w:r>
        <w:t>spielt</w:t>
      </w:r>
      <w:r w:rsidR="00403FCE">
        <w:t xml:space="preserve"> eine größere Rolle für die Krankheit, als</w:t>
      </w:r>
      <w:r>
        <w:t xml:space="preserve"> es</w:t>
      </w:r>
      <w:r w:rsidR="00403FCE">
        <w:t xml:space="preserve"> ursprünglich gedacht</w:t>
      </w:r>
      <w:r>
        <w:t xml:space="preserve"> war</w:t>
      </w:r>
      <w:r w:rsidR="00403FCE">
        <w:t xml:space="preserve"> (Gomez-Esteban et al., 2007). </w:t>
      </w:r>
    </w:p>
    <w:p w:rsidR="00403FCE" w:rsidRDefault="006132A0">
      <w:r>
        <w:t>1.1.2 Nicht-motorische Symptome von Morbus Parkinson</w:t>
      </w:r>
    </w:p>
    <w:p w:rsidR="005E3203" w:rsidRDefault="00FD57B9">
      <w:r>
        <w:t>Die nicht-</w:t>
      </w:r>
      <w:r w:rsidR="00DE435A">
        <w:t>motorischen Sympt</w:t>
      </w:r>
      <w:r w:rsidR="00DE1CDC">
        <w:t>ome von Morbus</w:t>
      </w:r>
      <w:r w:rsidR="00DE435A">
        <w:t xml:space="preserve"> </w:t>
      </w:r>
      <w:r w:rsidR="00DE1CDC">
        <w:t>Parkinson</w:t>
      </w:r>
      <w:r>
        <w:t xml:space="preserve"> treten häufig auf, haben</w:t>
      </w:r>
      <w:r w:rsidR="00DE435A">
        <w:t xml:space="preserve"> allerdings</w:t>
      </w:r>
      <w:r>
        <w:t xml:space="preserve"> in der Vergangenheit</w:t>
      </w:r>
      <w:r w:rsidR="00DE435A">
        <w:t xml:space="preserve"> häufig zu wenig Beachtung</w:t>
      </w:r>
      <w:r>
        <w:t xml:space="preserve"> bekommen</w:t>
      </w:r>
      <w:r w:rsidR="00DE435A">
        <w:t>, da sie im Vergleich zu de</w:t>
      </w:r>
      <w:r w:rsidR="00EF5196">
        <w:t>n motorischen Symptomen weniger</w:t>
      </w:r>
      <w:r w:rsidR="00DE435A">
        <w:t xml:space="preserve"> offensichtlich erkennbar sind</w:t>
      </w:r>
      <w:r w:rsidR="00783604">
        <w:t xml:space="preserve"> </w:t>
      </w:r>
      <w:r w:rsidR="00783604">
        <w:fldChar w:fldCharType="begin"/>
      </w:r>
      <w:r w:rsidR="00783604">
        <w:instrText xml:space="preserve"> ADDIN ZOTERO_ITEM CSL_CITATION {"citationID":"i66PtynQ","properties":{"formattedCitation":"(Bloem et al., 2021; Jankovic, 2008)","plainCitation":"(Bloem et al., 2021; Jankovic, 2008)","noteIndex":0},"citationItems":[{"id":31,"uris":["http://zotero.org/users/local/AhaM3qLx/items/5EMYL3RF"],"itemData":{"id":31,"type":"article-journal","container-title":"The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783604">
        <w:fldChar w:fldCharType="separate"/>
      </w:r>
      <w:r w:rsidR="00783604" w:rsidRPr="00783604">
        <w:rPr>
          <w:rFonts w:ascii="Calibri" w:hAnsi="Calibri" w:cs="Calibri"/>
        </w:rPr>
        <w:t>(Bloem et al., 2021; Jankovic, 2008)</w:t>
      </w:r>
      <w:r w:rsidR="00783604">
        <w:fldChar w:fldCharType="end"/>
      </w:r>
      <w:r w:rsidR="00DE435A">
        <w:t>.</w:t>
      </w:r>
      <w:r w:rsidR="001D7CCD">
        <w:t xml:space="preserve"> </w:t>
      </w:r>
      <w:r w:rsidR="005E3203">
        <w:t xml:space="preserve">Die klinische Diagnose von Morbus Parkinson zentriert sich seit Entdeckung der Krankheit auf die motorischen </w:t>
      </w:r>
      <w:r w:rsidR="005E3203">
        <w:lastRenderedPageBreak/>
        <w:t xml:space="preserve">Symptome, die </w:t>
      </w:r>
      <w:r w:rsidR="006A24F5">
        <w:t>nicht-motorischen Symptome können allerdings in einigen Fällen das Krankheitsbild dominieren und wurden inzwischen in die diagnostischen Kriterien ei</w:t>
      </w:r>
      <w:r w:rsidR="00A546EE">
        <w:t xml:space="preserve">ngebunden </w:t>
      </w:r>
      <w:r w:rsidR="00A546EE">
        <w:fldChar w:fldCharType="begin"/>
      </w:r>
      <w:r w:rsidR="00A546EE">
        <w:instrText xml:space="preserve"> ADDIN ZOTERO_ITEM CSL_CITATION {"citationID":"1BgZRCvE","properties":{"formattedCitation":"(Postuma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fldChar w:fldCharType="separate"/>
      </w:r>
      <w:r w:rsidR="00A546EE" w:rsidRPr="00A546EE">
        <w:rPr>
          <w:rFonts w:ascii="Calibri" w:hAnsi="Calibri" w:cs="Calibri"/>
        </w:rPr>
        <w:t>(Postuma et al., 2015)</w:t>
      </w:r>
      <w:r w:rsidR="00A546EE">
        <w:fldChar w:fldCharType="end"/>
      </w:r>
      <w:r w:rsidR="006A24F5">
        <w:t>.</w:t>
      </w:r>
    </w:p>
    <w:p w:rsidR="00FD57B9" w:rsidRDefault="00C9335A">
      <w:r>
        <w:t xml:space="preserve">In der Übersicht von </w:t>
      </w:r>
      <w:r>
        <w:fldChar w:fldCharType="begin"/>
      </w:r>
      <w:r w:rsidR="004F60B1">
        <w:instrText xml:space="preserve"> ADDIN ZOTERO_ITEM CSL_CITATION {"citationID":"qqrVJuxv","properties":{"formattedCitation":"(Poewe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w:instrText>
      </w:r>
      <w:r w:rsidR="004F60B1">
        <w:rPr>
          <w:rFonts w:ascii="Cambria Math" w:hAnsi="Cambria Math" w:cs="Cambria Math"/>
        </w:rPr>
        <w:instrText>‑</w:instrText>
      </w:r>
      <w:r w:rsidR="004F60B1">
        <w:instrText>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w:instrText>
      </w:r>
      <w:r w:rsidR="004F60B1">
        <w:rPr>
          <w:rFonts w:ascii="Cambria Math" w:hAnsi="Cambria Math" w:cs="Cambria Math"/>
        </w:rPr>
        <w:instrText>‑</w:instrText>
      </w:r>
      <w:r w:rsidR="004F60B1">
        <w:instrText>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w:instrText>
      </w:r>
      <w:r w:rsidR="004F60B1">
        <w:rPr>
          <w:rFonts w:ascii="Cambria Math" w:hAnsi="Cambria Math" w:cs="Cambria Math"/>
        </w:rPr>
        <w:instrText>‑</w:instrText>
      </w:r>
      <w:r w:rsidR="004F60B1">
        <w:instrText xml:space="preserve">DOPA-related motor complications. Experimental therapies have tried to restore striatal dopamine by gene-based and cell-based approaches, and most recently, aggregation and cellular transport of </w:instrText>
      </w:r>
      <w:r w:rsidR="004F60B1">
        <w:rPr>
          <w:rFonts w:ascii="Calibri" w:hAnsi="Calibri" w:cs="Calibri"/>
        </w:rPr>
        <w:instrText>α</w:instrText>
      </w:r>
      <w:r w:rsidR="004F60B1">
        <w:rPr>
          <w:rFonts w:ascii="Cambria Math" w:hAnsi="Cambria Math" w:cs="Cambria Math"/>
        </w:rPr>
        <w:instrText>‑</w:instrText>
      </w:r>
      <w:r w:rsidR="004F60B1">
        <w:instrText xml:space="preserve">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fldChar w:fldCharType="separate"/>
      </w:r>
      <w:r>
        <w:rPr>
          <w:rFonts w:ascii="Calibri" w:hAnsi="Calibri" w:cs="Calibri"/>
        </w:rPr>
        <w:t>Poewe et al.</w:t>
      </w:r>
      <w:r w:rsidRPr="00C9335A">
        <w:rPr>
          <w:rFonts w:ascii="Calibri" w:hAnsi="Calibri" w:cs="Calibri"/>
        </w:rPr>
        <w:t xml:space="preserve"> </w:t>
      </w:r>
      <w:r>
        <w:rPr>
          <w:rFonts w:ascii="Calibri" w:hAnsi="Calibri" w:cs="Calibri"/>
        </w:rPr>
        <w:t>(</w:t>
      </w:r>
      <w:r w:rsidRPr="00C9335A">
        <w:rPr>
          <w:rFonts w:ascii="Calibri" w:hAnsi="Calibri" w:cs="Calibri"/>
        </w:rPr>
        <w:t>2017)</w:t>
      </w:r>
      <w:r>
        <w:fldChar w:fldCharType="end"/>
      </w:r>
      <w:r>
        <w:t xml:space="preserve"> werden in aufsteigender Reihenfolge sortiert nach Zeitpunkt des Auftretens</w:t>
      </w:r>
      <w:r w:rsidR="003A42A8">
        <w:t xml:space="preserve"> folgende Symptome genannt:</w:t>
      </w:r>
      <w:r>
        <w:t xml:space="preserve"> Schlafstörungen, Verstopfungen, Depression, </w:t>
      </w:r>
      <w:proofErr w:type="spellStart"/>
      <w:r>
        <w:t>Hyposmie</w:t>
      </w:r>
      <w:proofErr w:type="spellEnd"/>
      <w:r>
        <w:t xml:space="preserve">, Angststörung, Müdigkeit, </w:t>
      </w:r>
      <w:proofErr w:type="spellStart"/>
      <w:r>
        <w:t>Fatigue</w:t>
      </w:r>
      <w:proofErr w:type="spellEnd"/>
      <w:r>
        <w:t xml:space="preserve">, </w:t>
      </w:r>
      <w:r w:rsidR="003A42A8">
        <w:t xml:space="preserve">milde kognitive Einschränkungen, Schmerz, Apathie, urologische Symptome, </w:t>
      </w:r>
      <w:proofErr w:type="spellStart"/>
      <w:r w:rsidR="003A42A8">
        <w:t>orthostatische</w:t>
      </w:r>
      <w:proofErr w:type="spellEnd"/>
      <w:r w:rsidR="003A42A8">
        <w:t xml:space="preserve"> Hypotonie, psychotische Symptome und Demenz. </w:t>
      </w:r>
      <w:r w:rsidR="00805A2D">
        <w:t xml:space="preserve">Olfaktorische Defizite, Schlafstörungen, Verstopfung, erektile Dysfunktion sowie Angststörung und Depression treten häufig schon vor der Diagnose von Morbus Parkinson auf, teilweise noch bevor motorische Symptome überhaupt vorhanden sind </w:t>
      </w:r>
      <w:r w:rsidR="00805A2D">
        <w:fldChar w:fldCharType="begin"/>
      </w:r>
      <w:r w:rsidR="00805A2D">
        <w:instrText xml:space="preserve"> ADDIN ZOTERO_ITEM CSL_CITATION {"citationID":"yQ7Sh62F","properties":{"formattedCitation":"(Chaudhuri &amp; Naidu, 2008; Poewe et al., 2017)","plainCitation":"(Chaudhuri &amp; Naidu, 2008; Poewe et al., 2017)","noteIndex":0},"citationItems":[{"id":127,"uris":["http://zotero.org/users/local/AhaM3qLx/items/3RP7ZFJR"],"itemData":{"id":127,"type":"article-journal","container-title":"Journal of Neurology","DOI":"10.1007/s00415-008-5006-1","ISSN":"0340-5354, 1432-1459","issue":"S5","journalAbbreviation":"J Neurol","language":"en","page":"33-38","source":"DOI.org (Crossref)","title":"Early Parkinson’s disease and non-motor issues","volume":"255","author":[{"family":"Chaudhuri","given":"K. Ray"},{"family":"Naidu","given":"Yogini"}],"issued":{"date-parts":[["2008",9]]}}},{"id":48,"uris":["http://zotero.org/users/local/AhaM3qLx/items/7WTVDDFB"],"itemData":{"id":48,"type":"article-journal","abstract":"Parkinson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w:instrText>
      </w:r>
      <w:r w:rsidR="00805A2D">
        <w:rPr>
          <w:rFonts w:ascii="Cambria Math" w:hAnsi="Cambria Math" w:cs="Cambria Math"/>
        </w:rPr>
        <w:instrText>‑</w:instrText>
      </w:r>
      <w:r w:rsidR="00805A2D">
        <w:instrText>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w:instrText>
      </w:r>
      <w:r w:rsidR="00805A2D">
        <w:rPr>
          <w:rFonts w:ascii="Cambria Math" w:hAnsi="Cambria Math" w:cs="Cambria Math"/>
        </w:rPr>
        <w:instrText>‑</w:instrText>
      </w:r>
      <w:r w:rsidR="00805A2D">
        <w:instrText>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w:instrText>
      </w:r>
      <w:r w:rsidR="00805A2D">
        <w:rPr>
          <w:rFonts w:ascii="Cambria Math" w:hAnsi="Cambria Math" w:cs="Cambria Math"/>
        </w:rPr>
        <w:instrText>‑</w:instrText>
      </w:r>
      <w:r w:rsidR="00805A2D">
        <w:instrText>DOPA-related motor complications. Experimental therapies have tried to restore striatal dopamine by gene-based and cell-based approaches, and most recently, aggregation and cellular transport of α</w:instrText>
      </w:r>
      <w:r w:rsidR="00805A2D">
        <w:rPr>
          <w:rFonts w:ascii="Cambria Math" w:hAnsi="Cambria Math" w:cs="Cambria Math"/>
        </w:rPr>
        <w:instrText>‑</w:instrText>
      </w:r>
      <w:r w:rsidR="00805A2D">
        <w:instrText xml:space="preserve">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805A2D">
        <w:fldChar w:fldCharType="separate"/>
      </w:r>
      <w:r w:rsidR="00805A2D" w:rsidRPr="00805A2D">
        <w:rPr>
          <w:rFonts w:ascii="Calibri" w:hAnsi="Calibri" w:cs="Calibri"/>
        </w:rPr>
        <w:t>(Chaudhuri &amp; Naidu, 2008; Poewe et al., 2017)</w:t>
      </w:r>
      <w:r w:rsidR="00805A2D">
        <w:fldChar w:fldCharType="end"/>
      </w:r>
      <w:r w:rsidR="00805A2D">
        <w:t>.</w:t>
      </w:r>
      <w:r w:rsidR="003A42A8">
        <w:t xml:space="preserve"> </w:t>
      </w:r>
      <w:r w:rsidR="00805A2D">
        <w:t xml:space="preserve">Die nicht-motorischen Symptome werden häufig nicht diagnostiziert, weil </w:t>
      </w:r>
      <w:r w:rsidR="00F234B7">
        <w:t xml:space="preserve">der Zusammenhang zu Morbus Parkinson oft nicht erkannt wird oder möglicher Weise weil es für die Patient*innen peinlich ist, diese Themen anzusprechen </w:t>
      </w:r>
      <w:r w:rsidR="00F234B7">
        <w:fldChar w:fldCharType="begin"/>
      </w:r>
      <w:r w:rsidR="00F234B7">
        <w:instrText xml:space="preserve"> ADDIN ZOTERO_ITEM CSL_CITATION {"citationID":"z0gjuDAT","properties":{"formattedCitation":"(Chaudhuri et al., 2010)","plainCitation":"(Chaudhuri et al., 2010)","noteIndex":0},"citationItems":[{"id":129,"uris":["http://zotero.org/users/local/AhaM3qLx/items/GKGVF5FA"],"itemData":{"id":129,"type":"article-journal","container-title":"Movement Disorders","DOI":"10.1002/mds.22868","ISSN":"08853185","issue":"6","journalAbbreviation":"Mov. Disord.","language":"en","page":"704-709","source":"DOI.org (Crossref)","title":"The nondeclaration of nonmotor symptoms of Parkinson's disease to health care professionals: An international study using the nonmotor symptoms questionnaire","title-short":"The nondeclaration of nonmotor symptoms of Parkinson's disease to health care professionals","volume":"25","author":[{"family":"Chaudhuri","given":"K. Ray"},{"family":"Prieto-Jurcynska","given":"Cristina"},{"family":"Naidu","given":"Yogini"},{"family":"Mitra","given":"Tanya"},{"family":"Frades-Payo","given":"Belen"},{"family":"Tluk","given":"Susanne"},{"family":"Ruessmann","given":"Anne"},{"family":"Odin","given":"Per"},{"family":"Macphee","given":"Graeme"},{"family":"Stocchi","given":"Fabrizio"},{"family":"Ondo","given":"William"},{"family":"Sethi","given":"Kapil"},{"family":"Schapira","given":"Anthony H.V."},{"family":"Castrillo","given":"Juan Carlos Martinez"},{"family":"Martinez-Martin","given":"Pablo"}],"issued":{"date-parts":[["2010",4,30]]}}}],"schema":"https://github.com/citation-style-language/schema/raw/master/csl-citation.json"} </w:instrText>
      </w:r>
      <w:r w:rsidR="00F234B7">
        <w:fldChar w:fldCharType="separate"/>
      </w:r>
      <w:r w:rsidR="00F234B7" w:rsidRPr="00F234B7">
        <w:rPr>
          <w:rFonts w:ascii="Calibri" w:hAnsi="Calibri" w:cs="Calibri"/>
        </w:rPr>
        <w:t>(Chaudhuri et al., 2010)</w:t>
      </w:r>
      <w:r w:rsidR="00F234B7">
        <w:fldChar w:fldCharType="end"/>
      </w:r>
      <w:r w:rsidR="00F234B7">
        <w:t xml:space="preserve">. </w:t>
      </w:r>
      <w:r w:rsidR="00000368">
        <w:t xml:space="preserve">Die nicht-motorischen Symptome sind ein entscheidender Faktor für die Lebensqualität der Patient*innen und können sogar teilweise einen größeren Einfluss haben als die motorischen Symptome </w:t>
      </w:r>
      <w:r w:rsidR="00000368">
        <w:fldChar w:fldCharType="begin"/>
      </w:r>
      <w:r w:rsidR="00000368">
        <w:instrText xml:space="preserve"> ADDIN ZOTERO_ITEM CSL_CITATION {"citationID":"c8HCT9Nf","properties":{"formattedCitation":"(Chaudhuri &amp; Schapira, 2009; Prakash et al., 2016)","plainCitation":"(Chaudhuri &amp; Schapira, 2009; Prakash et al., 2016)","noteIndex":0},"citationItems":[{"id":133,"uris":["http://zotero.org/users/local/AhaM3qLx/items/9Q9YMIVQ"],"itemData":{"id":133,"type":"article-journal","container-title":"The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HV"}],"issued":{"date-parts":[["2009",5]]}}},{"id":131,"uris":["http://zotero.org/users/local/AhaM3qLx/items/IMNIXKL3"],"itemData":{"id":131,"type":"article-journal","abstract":"Background and purpose: Non-motor symptoms (NMSs) are common amongst patients with Parkinson’s disease (PD); however, little is known about their inﬂuence on the health-related quality of life (QoL) over a deﬁned follow-up period. The study was aimed to establish the impact of NMSs on the QoL of patients with PD over a 2-year follow-up period.\nMethod: A total of 227 newly referred PD patients were prospectively recruited between 2013 and 2014. The Non-Motor Symptoms Scale was used to evaluate NMSs burden whilst QoL was assessed with the Parkinson’s Disease Questionnaire-39 items. Motor disabilities were assessed using the Part III (motor) Uniﬁed Parkinson’s Disease Rating Scale (UPDRSm).\nResults: The mean age was 64.37 (10.18) years; 59.9% were males and a majority (89.0%) were ethnic Chinese. Almost 65% were unemployed and 84.6% had attained no more than secondary level of education. In the univariate analysis, total NMSs burden, age, gender, subsequent visit, Hoehn and Yahr staging, disease duration and UPDRSm score were individually predictive of change in the Parkinson’s Disease Questionnaire Summary Index score from baseline to follow-up visit. However, in the multivariate analysis, total NMSs burden signiﬁcantly predicted the QoL scores whilst motor scores did not. Speciﬁcally, NMS domains 2 (sleep/fatigue), 3 (mood/apathy) and 5 (attention/memory) were most signiﬁcantly predictive of QoL change.\nConclusion: Unlike motor disabilities, NMSs burden, in particular sleep, mood and attention, have a signiﬁcant impact on the QoL of PD patients over a 2-year follow-up period.","container-title":"European Journal of Neurology","DOI":"10.1111/ene.12950","ISSN":"13515101","issue":"5","journalAbbreviation":"Eur J Neurol","language":"en","page":"854-860","source":"DOI.org (Crossref)","title":"The impact of non-motor symptoms on the quality of life of Parkinson's disease patients: a longitudinal study","title-short":"The impact of non-motor symptoms on the quality of life of Parkinson's disease patients","volume":"23","author":[{"family":"Prakash","given":"K. M."},{"family":"Nadkarni","given":"N. V."},{"family":"Lye","given":"W.-K."},{"family":"Yong","given":"M.-H."},{"family":"Tan","given":"E.-K."}],"issued":{"date-parts":[["2016",5]]}}}],"schema":"https://github.com/citation-style-language/schema/raw/master/csl-citation.json"} </w:instrText>
      </w:r>
      <w:r w:rsidR="00000368">
        <w:fldChar w:fldCharType="separate"/>
      </w:r>
      <w:r w:rsidR="00000368" w:rsidRPr="00000368">
        <w:rPr>
          <w:rFonts w:ascii="Calibri" w:hAnsi="Calibri" w:cs="Calibri"/>
        </w:rPr>
        <w:t>(Chaudhuri &amp; Schapira, 2009; Prakash et al., 2016)</w:t>
      </w:r>
      <w:r w:rsidR="00000368">
        <w:fldChar w:fldCharType="end"/>
      </w:r>
      <w:r w:rsidR="00000368">
        <w:t xml:space="preserve">. </w:t>
      </w:r>
    </w:p>
    <w:p w:rsidR="000D188D" w:rsidRDefault="003F42FA">
      <w:r>
        <w:t>Auch nachdem</w:t>
      </w:r>
      <w:r w:rsidR="00823F52">
        <w:t xml:space="preserve"> nicht-motorische Aspekte</w:t>
      </w:r>
      <w:r>
        <w:t xml:space="preserve"> deutlich mehr berücksichtigt wu</w:t>
      </w:r>
      <w:r w:rsidR="00823F52">
        <w:t>rden</w:t>
      </w:r>
      <w:r w:rsidR="00EF5196">
        <w:t xml:space="preserve"> als früher</w:t>
      </w:r>
      <w:r w:rsidR="00823F52">
        <w:t>, machen die motorischen Symptome immer noch einen großen Teil der eingeschränkten Lebensqualität von Patient*innen mit Morbus Par</w:t>
      </w:r>
      <w:r w:rsidR="00A546EE">
        <w:t xml:space="preserve">kinson aus </w:t>
      </w:r>
      <w:r w:rsidR="00A546EE">
        <w:fldChar w:fldCharType="begin"/>
      </w:r>
      <w:r w:rsidR="00A546EE">
        <w:instrText xml:space="preserve"> ADDIN ZOTERO_ITEM CSL_CITATION {"citationID":"GuH0GMqU","properties":{"formattedCitation":"(Rahman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rsidR="00A546EE">
        <w:fldChar w:fldCharType="separate"/>
      </w:r>
      <w:r w:rsidR="00A546EE" w:rsidRPr="00A546EE">
        <w:rPr>
          <w:rFonts w:ascii="Calibri" w:hAnsi="Calibri" w:cs="Calibri"/>
        </w:rPr>
        <w:t>(Rahman et al., 2008)</w:t>
      </w:r>
      <w:r w:rsidR="00A546EE">
        <w:fldChar w:fldCharType="end"/>
      </w:r>
      <w:r w:rsidR="00823F52">
        <w:t>.</w:t>
      </w:r>
      <w:r w:rsidR="00A81F12">
        <w:t xml:space="preserve"> </w:t>
      </w:r>
      <w:r w:rsidR="00823F52">
        <w:t>Das liegt vor Allem an der eingeschränkten Mobilität, der Schwierigkeit</w:t>
      </w:r>
      <w:r w:rsidR="00F45874">
        <w:t>,</w:t>
      </w:r>
      <w:r w:rsidR="00823F52">
        <w:t xml:space="preserve"> sich eigenständig anzuziehen</w:t>
      </w:r>
      <w:r w:rsidR="00F45874">
        <w:t>,</w:t>
      </w:r>
      <w:r w:rsidR="00823F52">
        <w:t xml:space="preserve"> und </w:t>
      </w:r>
      <w:r w:rsidR="00F45874">
        <w:t xml:space="preserve">der erhöhten Gefahr hinzufallen. Ein Ruhetremor hingegen scheint einen eher niedrigeren Einfluss auf die Lebensqualität zu haben (Gomez-Esteban et al., 2007). </w:t>
      </w:r>
      <w:r w:rsidR="00EF5196">
        <w:t>Insgesamt ist</w:t>
      </w:r>
      <w:r w:rsidR="00823F52">
        <w:t xml:space="preserve"> </w:t>
      </w:r>
      <w:r w:rsidR="00EF5196">
        <w:t>d</w:t>
      </w:r>
      <w:r w:rsidR="00C704AE">
        <w:t>ie Verringerung de</w:t>
      </w:r>
      <w:r w:rsidR="00EF5196">
        <w:t>r motorischen Symptome</w:t>
      </w:r>
      <w:r w:rsidR="00C704AE">
        <w:t xml:space="preserve"> weiterhin ein </w:t>
      </w:r>
      <w:r w:rsidR="00C6070B">
        <w:t xml:space="preserve">entscheidender </w:t>
      </w:r>
      <w:r w:rsidR="00C704AE">
        <w:t>Bestandteil der Behandlung von Morbus Parkinson und sollte in der klinischen Forschung</w:t>
      </w:r>
      <w:r w:rsidR="00064BC6">
        <w:t xml:space="preserve"> immer noch</w:t>
      </w:r>
      <w:r w:rsidR="00C704AE">
        <w:t xml:space="preserve"> tiefgründiger untersucht werden, um Verbesserungen der Methoden zu ermöglichen. </w:t>
      </w:r>
      <w:r w:rsidR="00823F52">
        <w:t xml:space="preserve"> </w:t>
      </w:r>
      <w:r w:rsidR="00084A45">
        <w:t xml:space="preserve">  </w:t>
      </w:r>
    </w:p>
    <w:p w:rsidR="000D188D" w:rsidRDefault="000D188D" w:rsidP="000D188D">
      <w:r>
        <w:t>1.2 Pathophysiologie</w:t>
      </w:r>
      <w:r w:rsidR="006045B8">
        <w:t xml:space="preserve"> von Morbus Parkinson</w:t>
      </w:r>
    </w:p>
    <w:p w:rsidR="00D7004D" w:rsidRDefault="000D188D" w:rsidP="000D188D">
      <w:r>
        <w:t xml:space="preserve">Bereits seit 1919 ist es bekannt, dass ein Abbau von Zellen in der </w:t>
      </w:r>
      <w:proofErr w:type="spellStart"/>
      <w:r>
        <w:t>Substantia</w:t>
      </w:r>
      <w:proofErr w:type="spellEnd"/>
      <w:r>
        <w:t xml:space="preserve"> </w:t>
      </w:r>
      <w:proofErr w:type="spellStart"/>
      <w:r>
        <w:t>Nigra</w:t>
      </w:r>
      <w:proofErr w:type="spellEnd"/>
      <w:r>
        <w:t xml:space="preserve"> für die Entstehung von Morbus Parkinson verantwortlich ist</w:t>
      </w:r>
      <w:r w:rsidR="006B65CD">
        <w:t xml:space="preserve"> und</w:t>
      </w:r>
      <w:r>
        <w:t xml:space="preserve"> 1957 wurde erkannt, dass der Neurotransmitter Dopamin dabei eine entscheidende Rolle spielt</w:t>
      </w:r>
      <w:r w:rsidR="006B65CD">
        <w:t xml:space="preserve"> </w:t>
      </w:r>
      <w:r w:rsidR="006B65CD">
        <w:fldChar w:fldCharType="begin"/>
      </w:r>
      <w:r w:rsidR="006B65CD">
        <w:instrText xml:space="preserve"> ADDIN ZOTERO_ITEM CSL_CITATION {"citationID":"PLgQpI4e","properties":{"formattedCitation":"(Jankovic,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6B65CD">
        <w:fldChar w:fldCharType="separate"/>
      </w:r>
      <w:r w:rsidR="006B65CD" w:rsidRPr="006B65CD">
        <w:rPr>
          <w:rFonts w:ascii="Calibri" w:hAnsi="Calibri" w:cs="Calibri"/>
        </w:rPr>
        <w:t>(Jankovic, 2008)</w:t>
      </w:r>
      <w:r w:rsidR="006B65CD">
        <w:fldChar w:fldCharType="end"/>
      </w:r>
      <w:r>
        <w:t xml:space="preserve">. Heutzutage gilt der Verlust von pigmentierten </w:t>
      </w:r>
      <w:proofErr w:type="spellStart"/>
      <w:r>
        <w:t>dopaminergen</w:t>
      </w:r>
      <w:proofErr w:type="spellEnd"/>
      <w:r>
        <w:t xml:space="preserve"> Neuronen in bestimmten Bereichen der </w:t>
      </w:r>
      <w:proofErr w:type="spellStart"/>
      <w:r>
        <w:t>Substantia</w:t>
      </w:r>
      <w:proofErr w:type="spellEnd"/>
      <w:r>
        <w:t xml:space="preserve"> </w:t>
      </w:r>
      <w:proofErr w:type="spellStart"/>
      <w:r>
        <w:t>Nigra</w:t>
      </w:r>
      <w:proofErr w:type="spellEnd"/>
      <w:r>
        <w:t xml:space="preserve"> als wichtig</w:t>
      </w:r>
      <w:r w:rsidR="00DB7C45">
        <w:t>er Hinweis auf Morbu</w:t>
      </w:r>
      <w:r w:rsidR="00A546EE">
        <w:t xml:space="preserve">s Parkinson </w:t>
      </w:r>
      <w:r w:rsidR="00A546EE">
        <w:fldChar w:fldCharType="begin"/>
      </w:r>
      <w:r w:rsidR="00A546EE">
        <w:instrText xml:space="preserve"> ADDIN ZOTERO_ITEM CSL_CITATION {"citationID":"6VvQFolN","properties":{"formattedCitation":"(Poewe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w:instrText>
      </w:r>
      <w:r w:rsidR="00A546EE">
        <w:rPr>
          <w:rFonts w:ascii="Cambria Math" w:hAnsi="Cambria Math" w:cs="Cambria Math"/>
        </w:rPr>
        <w:instrText>‑</w:instrText>
      </w:r>
      <w:r w:rsidR="00A546EE">
        <w:instrText>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w:instrText>
      </w:r>
      <w:r w:rsidR="00A546EE">
        <w:rPr>
          <w:rFonts w:ascii="Cambria Math" w:hAnsi="Cambria Math" w:cs="Cambria Math"/>
        </w:rPr>
        <w:instrText>‑</w:instrText>
      </w:r>
      <w:r w:rsidR="00A546EE">
        <w:instrText>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w:instrText>
      </w:r>
      <w:r w:rsidR="00A546EE">
        <w:rPr>
          <w:rFonts w:ascii="Cambria Math" w:hAnsi="Cambria Math" w:cs="Cambria Math"/>
        </w:rPr>
        <w:instrText>‑</w:instrText>
      </w:r>
      <w:r w:rsidR="00A546EE">
        <w:instrText>DOPA-related motor complications. Experimental therapies have tried to restore striatal dopamine by gene-based and cell-based approaches, and most recently, aggregation and cellular transport of α</w:instrText>
      </w:r>
      <w:r w:rsidR="00A546EE">
        <w:rPr>
          <w:rFonts w:ascii="Cambria Math" w:hAnsi="Cambria Math" w:cs="Cambria Math"/>
        </w:rPr>
        <w:instrText>‑</w:instrText>
      </w:r>
      <w:r w:rsidR="00A546EE">
        <w:instrText xml:space="preserve">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fldChar w:fldCharType="separate"/>
      </w:r>
      <w:r w:rsidR="00A546EE" w:rsidRPr="00A546EE">
        <w:rPr>
          <w:rFonts w:ascii="Calibri" w:hAnsi="Calibri" w:cs="Calibri"/>
        </w:rPr>
        <w:t>(Poewe et al., 2017)</w:t>
      </w:r>
      <w:r w:rsidR="00A546EE">
        <w:fldChar w:fldCharType="end"/>
      </w:r>
      <w:r w:rsidR="00DB7C45">
        <w:t xml:space="preserve">. </w:t>
      </w:r>
      <w:r>
        <w:t xml:space="preserve">Tritt dies zusammen mit einer weitverbreiteten intrazellulären Ansammlung des Proteins </w:t>
      </w:r>
      <w:r w:rsidRPr="002F7E01">
        <w:rPr>
          <w:bCs/>
        </w:rPr>
        <w:t>α</w:t>
      </w:r>
      <w:r w:rsidRPr="002F7E01">
        <w:t>-</w:t>
      </w:r>
      <w:proofErr w:type="spellStart"/>
      <w:r w:rsidRPr="002F7E01">
        <w:t>Synuklein</w:t>
      </w:r>
      <w:proofErr w:type="spellEnd"/>
      <w:r>
        <w:t xml:space="preserve"> in den Neuronen auf, kann eine definitive Diagnose für M</w:t>
      </w:r>
      <w:r w:rsidR="00DB7C45">
        <w:t>orbus Parkinson gestellt werden.</w:t>
      </w:r>
      <w:r w:rsidR="008F6B7C">
        <w:t xml:space="preserve"> Grundsätzlich scheinen eine abweichende Anhäufung von </w:t>
      </w:r>
      <w:r w:rsidR="008F6B7C" w:rsidRPr="002F7E01">
        <w:rPr>
          <w:bCs/>
        </w:rPr>
        <w:t>α</w:t>
      </w:r>
      <w:r w:rsidR="008F6B7C" w:rsidRPr="002F7E01">
        <w:t>-</w:t>
      </w:r>
      <w:proofErr w:type="spellStart"/>
      <w:r w:rsidR="008F6B7C" w:rsidRPr="002F7E01">
        <w:t>Synuklein</w:t>
      </w:r>
      <w:proofErr w:type="spellEnd"/>
      <w:r w:rsidR="008F6B7C">
        <w:t xml:space="preserve">, eine Dysfunktion der Mitochondrien, oxidativer Stress, </w:t>
      </w:r>
      <w:proofErr w:type="spellStart"/>
      <w:r w:rsidR="008F6B7C">
        <w:t>Neuroinflammation</w:t>
      </w:r>
      <w:proofErr w:type="spellEnd"/>
      <w:r w:rsidR="008F6B7C">
        <w:t xml:space="preserve"> und die Interaktion zwischen all diesen Faktoren, Ursachen für die Pathophysiologie von Morbus Parkin</w:t>
      </w:r>
      <w:r w:rsidR="00A546EE">
        <w:t xml:space="preserve">son zu sein </w:t>
      </w:r>
      <w:r w:rsidR="00A546EE">
        <w:fldChar w:fldCharType="begin"/>
      </w:r>
      <w:r w:rsidR="00A546EE">
        <w:instrText xml:space="preserve"> ADDIN ZOTERO_ITEM CSL_CITATION {"citationID":"c7fYs9Li","properties":{"formattedCitation":"(Poewe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w:instrText>
      </w:r>
      <w:r w:rsidR="00A546EE">
        <w:rPr>
          <w:rFonts w:ascii="Cambria Math" w:hAnsi="Cambria Math" w:cs="Cambria Math"/>
        </w:rPr>
        <w:instrText>‑</w:instrText>
      </w:r>
      <w:r w:rsidR="00A546EE">
        <w:instrText>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w:instrText>
      </w:r>
      <w:r w:rsidR="00A546EE">
        <w:rPr>
          <w:rFonts w:ascii="Cambria Math" w:hAnsi="Cambria Math" w:cs="Cambria Math"/>
        </w:rPr>
        <w:instrText>‑</w:instrText>
      </w:r>
      <w:r w:rsidR="00A546EE">
        <w:instrText>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w:instrText>
      </w:r>
      <w:r w:rsidR="00A546EE">
        <w:rPr>
          <w:rFonts w:ascii="Cambria Math" w:hAnsi="Cambria Math" w:cs="Cambria Math"/>
        </w:rPr>
        <w:instrText>‑</w:instrText>
      </w:r>
      <w:r w:rsidR="00A546EE">
        <w:instrText>DOPA-related motor complications. Experimental therapies have tried to restore striatal dopamine by gene-based and cell-based approaches, and most recently, aggregation and cellular transport of α</w:instrText>
      </w:r>
      <w:r w:rsidR="00A546EE">
        <w:rPr>
          <w:rFonts w:ascii="Cambria Math" w:hAnsi="Cambria Math" w:cs="Cambria Math"/>
        </w:rPr>
        <w:instrText>‑</w:instrText>
      </w:r>
      <w:r w:rsidR="00A546EE">
        <w:instrText xml:space="preserve">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fldChar w:fldCharType="separate"/>
      </w:r>
      <w:r w:rsidR="00A546EE" w:rsidRPr="00A546EE">
        <w:rPr>
          <w:rFonts w:ascii="Calibri" w:hAnsi="Calibri" w:cs="Calibri"/>
        </w:rPr>
        <w:t>(Poewe et al., 2017)</w:t>
      </w:r>
      <w:r w:rsidR="00A546EE">
        <w:fldChar w:fldCharType="end"/>
      </w:r>
      <w:r w:rsidR="008F6B7C">
        <w:t>. Diese Mechanismen führen zu einem Beschleunigten Abste</w:t>
      </w:r>
      <w:r w:rsidR="00A546EE">
        <w:t xml:space="preserve">rben von </w:t>
      </w:r>
      <w:proofErr w:type="spellStart"/>
      <w:r w:rsidR="00A546EE">
        <w:t>dopaminergen</w:t>
      </w:r>
      <w:proofErr w:type="spellEnd"/>
      <w:r w:rsidR="00A546EE">
        <w:t xml:space="preserve"> Neuronen </w:t>
      </w:r>
      <w:r w:rsidR="00A546EE">
        <w:fldChar w:fldCharType="begin"/>
      </w:r>
      <w:r w:rsidR="00A546EE">
        <w:instrText xml:space="preserve"> ADDIN ZOTERO_ITEM CSL_CITATION {"citationID":"XPRATIw4","properties":{"formattedCitation":"(Bloem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A546EE">
        <w:fldChar w:fldCharType="separate"/>
      </w:r>
      <w:r w:rsidR="00A546EE" w:rsidRPr="00A546EE">
        <w:rPr>
          <w:rFonts w:ascii="Calibri" w:hAnsi="Calibri" w:cs="Calibri"/>
        </w:rPr>
        <w:t>(</w:t>
      </w:r>
      <w:proofErr w:type="spellStart"/>
      <w:r w:rsidR="00A546EE" w:rsidRPr="00A546EE">
        <w:rPr>
          <w:rFonts w:ascii="Calibri" w:hAnsi="Calibri" w:cs="Calibri"/>
        </w:rPr>
        <w:t>Bloem</w:t>
      </w:r>
      <w:proofErr w:type="spellEnd"/>
      <w:r w:rsidR="00A546EE" w:rsidRPr="00A546EE">
        <w:rPr>
          <w:rFonts w:ascii="Calibri" w:hAnsi="Calibri" w:cs="Calibri"/>
        </w:rPr>
        <w:t xml:space="preserve"> et al., 2021)</w:t>
      </w:r>
      <w:r w:rsidR="00A546EE">
        <w:fldChar w:fldCharType="end"/>
      </w:r>
      <w:r w:rsidR="004B3024">
        <w:t>.</w:t>
      </w:r>
      <w:r w:rsidR="008F6B7C">
        <w:t xml:space="preserve"> </w:t>
      </w:r>
      <w:r w:rsidR="00217D73">
        <w:t xml:space="preserve">Einige nicht-motorischen Symptome scheinen ebenfalls mit der Veränderung der </w:t>
      </w:r>
      <w:proofErr w:type="spellStart"/>
      <w:r w:rsidR="00217D73">
        <w:t>Dopaminausschüttung</w:t>
      </w:r>
      <w:proofErr w:type="spellEnd"/>
      <w:r w:rsidR="00217D73">
        <w:t xml:space="preserve"> zusammenzuhängen, viele jedoch auch nicht </w:t>
      </w:r>
      <w:r w:rsidR="00217D73">
        <w:fldChar w:fldCharType="begin"/>
      </w:r>
      <w:r w:rsidR="00217D73">
        <w:instrText xml:space="preserve"> ADDIN ZOTERO_ITEM CSL_CITATION {"citationID":"6B6Y8Yk3","properties":{"formattedCitation":"(Chaudhuri &amp; Schapira, 2009)","plainCitation":"(Chaudhuri &amp; Schapira, 2009)","noteIndex":0},"citationItems":[{"id":133,"uris":["http://zotero.org/users/local/AhaM3qLx/items/9Q9YMIVQ"],"itemData":{"id":133,"type":"article-journal","container-title":"The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HV"}],"issued":{"date-parts":[["2009",5]]}}}],"schema":"https://github.com/citation-style-language/schema/raw/master/csl-citation.json"} </w:instrText>
      </w:r>
      <w:r w:rsidR="00217D73">
        <w:fldChar w:fldCharType="separate"/>
      </w:r>
      <w:r w:rsidR="00217D73" w:rsidRPr="00217D73">
        <w:rPr>
          <w:rFonts w:ascii="Calibri" w:hAnsi="Calibri" w:cs="Calibri"/>
        </w:rPr>
        <w:t>(Chaudhuri &amp; Schapira, 2009)</w:t>
      </w:r>
      <w:r w:rsidR="00217D73">
        <w:fldChar w:fldCharType="end"/>
      </w:r>
      <w:r w:rsidR="00217D73">
        <w:t xml:space="preserve">. </w:t>
      </w:r>
      <w:r w:rsidR="00D7004D">
        <w:t xml:space="preserve"> </w:t>
      </w:r>
    </w:p>
    <w:p w:rsidR="00C269DB" w:rsidRDefault="000D188D" w:rsidP="000D188D">
      <w:r>
        <w:t xml:space="preserve">Verschaltungen zwischen den Basalganglien, dem Thalamus </w:t>
      </w:r>
      <w:r w:rsidR="00FE684F">
        <w:t xml:space="preserve">und dem motorischen Kortex haben wichtige Funktionen bei der Kontrolle von Handlungen </w:t>
      </w:r>
      <w:r w:rsidR="00DB7C45">
        <w:t>und zielgerichtete</w:t>
      </w:r>
      <w:r w:rsidR="00A546EE">
        <w:t xml:space="preserve">m Verhalten </w:t>
      </w:r>
      <w:r w:rsidR="00A546EE">
        <w:fldChar w:fldCharType="begin"/>
      </w:r>
      <w:r w:rsidR="00A546EE">
        <w:instrText xml:space="preserve"> ADDIN ZOTERO_ITEM CSL_CITATION {"citationID":"dELQrR8P","properties":{"formattedCitation":"(Poewe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w:instrText>
      </w:r>
      <w:r w:rsidR="00A546EE">
        <w:rPr>
          <w:rFonts w:ascii="Cambria Math" w:hAnsi="Cambria Math" w:cs="Cambria Math"/>
        </w:rPr>
        <w:instrText>‑</w:instrText>
      </w:r>
      <w:r w:rsidR="00A546EE">
        <w:instrText>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w:instrText>
      </w:r>
      <w:r w:rsidR="00A546EE">
        <w:rPr>
          <w:rFonts w:ascii="Cambria Math" w:hAnsi="Cambria Math" w:cs="Cambria Math"/>
        </w:rPr>
        <w:instrText>‑</w:instrText>
      </w:r>
      <w:r w:rsidR="00A546EE">
        <w:instrText>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w:instrText>
      </w:r>
      <w:r w:rsidR="00A546EE">
        <w:rPr>
          <w:rFonts w:ascii="Cambria Math" w:hAnsi="Cambria Math" w:cs="Cambria Math"/>
        </w:rPr>
        <w:instrText>‑</w:instrText>
      </w:r>
      <w:r w:rsidR="00A546EE">
        <w:instrText>DOPA-related motor complications. Experimental therapies have tried to restore striatal dopamine by gene-based and cell-based approaches, and most recently, aggregation and cellular transport of α</w:instrText>
      </w:r>
      <w:r w:rsidR="00A546EE">
        <w:rPr>
          <w:rFonts w:ascii="Cambria Math" w:hAnsi="Cambria Math" w:cs="Cambria Math"/>
        </w:rPr>
        <w:instrText>‑</w:instrText>
      </w:r>
      <w:r w:rsidR="00A546EE">
        <w:instrText xml:space="preserve">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fldChar w:fldCharType="separate"/>
      </w:r>
      <w:r w:rsidR="00A546EE" w:rsidRPr="00A546EE">
        <w:rPr>
          <w:rFonts w:ascii="Calibri" w:hAnsi="Calibri" w:cs="Calibri"/>
        </w:rPr>
        <w:t>(Poewe et al., 2017)</w:t>
      </w:r>
      <w:r w:rsidR="00A546EE">
        <w:fldChar w:fldCharType="end"/>
      </w:r>
      <w:r w:rsidR="00DB7C45">
        <w:t xml:space="preserve">. </w:t>
      </w:r>
      <w:r w:rsidR="006B65CD">
        <w:t xml:space="preserve">In der Übersicht von </w:t>
      </w:r>
      <w:r w:rsidR="006B65CD">
        <w:fldChar w:fldCharType="begin"/>
      </w:r>
      <w:r w:rsidR="006B65CD">
        <w:instrText xml:space="preserve"> ADDIN ZOTERO_ITEM CSL_CITATION {"citationID":"jQTf1y8T","properties":{"formattedCitation":"(Poewe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w:instrText>
      </w:r>
      <w:r w:rsidR="006B65CD">
        <w:rPr>
          <w:rFonts w:ascii="Cambria Math" w:hAnsi="Cambria Math" w:cs="Cambria Math"/>
        </w:rPr>
        <w:instrText>‑</w:instrText>
      </w:r>
      <w:r w:rsidR="006B65CD">
        <w:instrText>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w:instrText>
      </w:r>
      <w:r w:rsidR="006B65CD">
        <w:rPr>
          <w:rFonts w:ascii="Cambria Math" w:hAnsi="Cambria Math" w:cs="Cambria Math"/>
        </w:rPr>
        <w:instrText>‑</w:instrText>
      </w:r>
      <w:r w:rsidR="006B65CD">
        <w:instrText>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w:instrText>
      </w:r>
      <w:r w:rsidR="006B65CD">
        <w:rPr>
          <w:rFonts w:ascii="Cambria Math" w:hAnsi="Cambria Math" w:cs="Cambria Math"/>
        </w:rPr>
        <w:instrText>‑</w:instrText>
      </w:r>
      <w:r w:rsidR="006B65CD">
        <w:instrText>DOPA-related motor complications. Experimental therapies have tried to restore striatal dopamine by gene-based and cell-based approaches, and most recently, aggregation and cellular transport of α</w:instrText>
      </w:r>
      <w:r w:rsidR="006B65CD">
        <w:rPr>
          <w:rFonts w:ascii="Cambria Math" w:hAnsi="Cambria Math" w:cs="Cambria Math"/>
        </w:rPr>
        <w:instrText>‑</w:instrText>
      </w:r>
      <w:r w:rsidR="006B65CD">
        <w:instrText xml:space="preserve">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6B65CD">
        <w:fldChar w:fldCharType="separate"/>
      </w:r>
      <w:r w:rsidR="009C3907">
        <w:rPr>
          <w:rFonts w:ascii="Calibri" w:hAnsi="Calibri" w:cs="Calibri"/>
        </w:rPr>
        <w:t>Poewe et al.</w:t>
      </w:r>
      <w:r w:rsidR="006B65CD" w:rsidRPr="006B65CD">
        <w:rPr>
          <w:rFonts w:ascii="Calibri" w:hAnsi="Calibri" w:cs="Calibri"/>
        </w:rPr>
        <w:t xml:space="preserve"> </w:t>
      </w:r>
      <w:r w:rsidR="009C3907">
        <w:rPr>
          <w:rFonts w:ascii="Calibri" w:hAnsi="Calibri" w:cs="Calibri"/>
        </w:rPr>
        <w:t>(</w:t>
      </w:r>
      <w:r w:rsidR="006B65CD" w:rsidRPr="006B65CD">
        <w:rPr>
          <w:rFonts w:ascii="Calibri" w:hAnsi="Calibri" w:cs="Calibri"/>
        </w:rPr>
        <w:t>2017)</w:t>
      </w:r>
      <w:r w:rsidR="006B65CD">
        <w:fldChar w:fldCharType="end"/>
      </w:r>
      <w:r w:rsidR="00A82E5D">
        <w:t xml:space="preserve"> wurde beschrieben, dass d</w:t>
      </w:r>
      <w:r w:rsidR="0032010C">
        <w:t xml:space="preserve">er Verlust von Zellen in der </w:t>
      </w:r>
      <w:proofErr w:type="spellStart"/>
      <w:r w:rsidR="0032010C">
        <w:t>Substantia</w:t>
      </w:r>
      <w:proofErr w:type="spellEnd"/>
      <w:r w:rsidR="0032010C">
        <w:t xml:space="preserve"> </w:t>
      </w:r>
      <w:proofErr w:type="spellStart"/>
      <w:r w:rsidR="0032010C">
        <w:t>nigra</w:t>
      </w:r>
      <w:proofErr w:type="spellEnd"/>
      <w:r w:rsidR="0032010C">
        <w:t xml:space="preserve"> pars </w:t>
      </w:r>
      <w:proofErr w:type="spellStart"/>
      <w:r w:rsidR="0032010C">
        <w:t>compacta</w:t>
      </w:r>
      <w:proofErr w:type="spellEnd"/>
      <w:r w:rsidR="0032010C">
        <w:t xml:space="preserve"> bei </w:t>
      </w:r>
      <w:r w:rsidR="00FE684F">
        <w:t>Patient*i</w:t>
      </w:r>
      <w:r w:rsidR="00A82E5D">
        <w:t>nnen mit Morbus Parkinson</w:t>
      </w:r>
      <w:r w:rsidR="0032010C">
        <w:t xml:space="preserve"> zu</w:t>
      </w:r>
      <w:r w:rsidR="00FE684F">
        <w:t xml:space="preserve"> eine</w:t>
      </w:r>
      <w:r w:rsidR="0032010C">
        <w:t>r</w:t>
      </w:r>
      <w:r w:rsidR="00FE684F">
        <w:t xml:space="preserve"> verringerte</w:t>
      </w:r>
      <w:r w:rsidR="0032010C">
        <w:t>n</w:t>
      </w:r>
      <w:r w:rsidR="00FE684F">
        <w:t xml:space="preserve"> Ausschüttung von Dopamin im motoris</w:t>
      </w:r>
      <w:r w:rsidR="0032010C">
        <w:t xml:space="preserve">chen Bereich des </w:t>
      </w:r>
      <w:proofErr w:type="spellStart"/>
      <w:r w:rsidR="0032010C">
        <w:t>Striatum</w:t>
      </w:r>
      <w:proofErr w:type="spellEnd"/>
      <w:r w:rsidR="00A82E5D">
        <w:t xml:space="preserve"> führt</w:t>
      </w:r>
      <w:r w:rsidR="0032010C">
        <w:t>. Bei e</w:t>
      </w:r>
      <w:r w:rsidR="000C366C">
        <w:t xml:space="preserve">iner direkten Verbindung </w:t>
      </w:r>
      <w:r w:rsidR="0032010C">
        <w:t>zum</w:t>
      </w:r>
      <w:r w:rsidR="000C366C">
        <w:t xml:space="preserve"> Globus </w:t>
      </w:r>
      <w:proofErr w:type="spellStart"/>
      <w:r w:rsidR="000C366C">
        <w:t>pallidus</w:t>
      </w:r>
      <w:proofErr w:type="spellEnd"/>
      <w:r w:rsidR="000C366C">
        <w:t xml:space="preserve"> </w:t>
      </w:r>
      <w:proofErr w:type="spellStart"/>
      <w:r w:rsidR="000C366C">
        <w:t>internus</w:t>
      </w:r>
      <w:proofErr w:type="spellEnd"/>
      <w:r w:rsidR="000C366C">
        <w:t xml:space="preserve"> und der </w:t>
      </w:r>
      <w:proofErr w:type="spellStart"/>
      <w:r w:rsidR="000C366C">
        <w:t>Substantia</w:t>
      </w:r>
      <w:proofErr w:type="spellEnd"/>
      <w:r w:rsidR="000C366C">
        <w:t xml:space="preserve"> </w:t>
      </w:r>
      <w:proofErr w:type="spellStart"/>
      <w:r w:rsidR="000C366C">
        <w:t>nigra</w:t>
      </w:r>
      <w:proofErr w:type="spellEnd"/>
      <w:r w:rsidR="000C366C">
        <w:t xml:space="preserve"> pars </w:t>
      </w:r>
      <w:proofErr w:type="spellStart"/>
      <w:r w:rsidR="000C366C">
        <w:t>reticulata</w:t>
      </w:r>
      <w:proofErr w:type="spellEnd"/>
      <w:r w:rsidR="000C366C">
        <w:t xml:space="preserve"> </w:t>
      </w:r>
      <w:r w:rsidR="0032010C">
        <w:t xml:space="preserve">wird dadurch der hemmende Einfluss des </w:t>
      </w:r>
      <w:proofErr w:type="spellStart"/>
      <w:r w:rsidR="0032010C">
        <w:t>Striatum</w:t>
      </w:r>
      <w:proofErr w:type="spellEnd"/>
      <w:r w:rsidR="0032010C">
        <w:t xml:space="preserve"> auf diese</w:t>
      </w:r>
      <w:r w:rsidR="00AB6FCF">
        <w:t xml:space="preserve"> beiden</w:t>
      </w:r>
      <w:r w:rsidR="0032010C">
        <w:t xml:space="preserve"> Bereiche verringert. Das resultiert in einer </w:t>
      </w:r>
      <w:r w:rsidR="0032010C">
        <w:lastRenderedPageBreak/>
        <w:t xml:space="preserve">verstärkten Hemmung von motorischen Bereichen des Mittelhirns und des Thalamus, der wiederum durch eine Verbindung mit dem motorischen Kortex für die Steuerung von Bewegungen zuständig ist. </w:t>
      </w:r>
      <w:r w:rsidR="00AB6FCF">
        <w:t xml:space="preserve">Die verstärkte Hemmung von motorischen Bereichen durch den Globus </w:t>
      </w:r>
      <w:proofErr w:type="spellStart"/>
      <w:r w:rsidR="00AB6FCF">
        <w:t>pallidus</w:t>
      </w:r>
      <w:proofErr w:type="spellEnd"/>
      <w:r w:rsidR="00AB6FCF">
        <w:t xml:space="preserve"> </w:t>
      </w:r>
      <w:proofErr w:type="spellStart"/>
      <w:r w:rsidR="00AB6FCF">
        <w:t>internus</w:t>
      </w:r>
      <w:proofErr w:type="spellEnd"/>
      <w:r w:rsidR="00AB6FCF">
        <w:t xml:space="preserve"> und die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reticula</w:t>
      </w:r>
      <w:proofErr w:type="spellEnd"/>
      <w:r w:rsidR="00AB6FCF">
        <w:t xml:space="preserve"> wird des Weiteren auch durch einen indirekten Weg erreicht. Der Verlust von Zellen in der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com</w:t>
      </w:r>
      <w:r w:rsidR="00EF5196">
        <w:t>pacta</w:t>
      </w:r>
      <w:proofErr w:type="spellEnd"/>
      <w:r w:rsidR="00EF5196">
        <w:t xml:space="preserve"> sorgt auch dafür, dass das</w:t>
      </w:r>
      <w:r w:rsidR="00AB6FCF">
        <w:t xml:space="preserve"> </w:t>
      </w:r>
      <w:proofErr w:type="spellStart"/>
      <w:r w:rsidR="00AB6FCF">
        <w:t>Striatum</w:t>
      </w:r>
      <w:proofErr w:type="spellEnd"/>
      <w:r w:rsidR="00AB6FCF">
        <w:t xml:space="preserve"> eine verstärkte Hemmung des Globus </w:t>
      </w:r>
      <w:proofErr w:type="spellStart"/>
      <w:r w:rsidR="00AB6FCF">
        <w:t>pallidus</w:t>
      </w:r>
      <w:proofErr w:type="spellEnd"/>
      <w:r w:rsidR="00AB6FCF">
        <w:t xml:space="preserve"> </w:t>
      </w:r>
      <w:proofErr w:type="spellStart"/>
      <w:r w:rsidR="00AB6FCF">
        <w:t>externus</w:t>
      </w:r>
      <w:proofErr w:type="spellEnd"/>
      <w:r w:rsidR="00AB6FCF">
        <w:t xml:space="preserve"> bewirkt. Dieser hat dadurch eine verringerte hemmende Wirkung a</w:t>
      </w:r>
      <w:r w:rsidR="00EA3C7A">
        <w:t xml:space="preserve">uf den </w:t>
      </w:r>
      <w:proofErr w:type="spellStart"/>
      <w:r w:rsidR="00EA3C7A">
        <w:t>Subthalamischen</w:t>
      </w:r>
      <w:proofErr w:type="spellEnd"/>
      <w:r w:rsidR="00EA3C7A">
        <w:t xml:space="preserve"> Kern (STK</w:t>
      </w:r>
      <w:r w:rsidR="00AB6FCF">
        <w:t xml:space="preserve">), der dann wiederum eine verstärkende Wirkung auf den Globus </w:t>
      </w:r>
      <w:proofErr w:type="spellStart"/>
      <w:r w:rsidR="00AB6FCF">
        <w:t>pallidus</w:t>
      </w:r>
      <w:proofErr w:type="spellEnd"/>
      <w:r w:rsidR="00AB6FCF">
        <w:t xml:space="preserve"> </w:t>
      </w:r>
      <w:proofErr w:type="spellStart"/>
      <w:r w:rsidR="00AB6FCF">
        <w:t>internus</w:t>
      </w:r>
      <w:proofErr w:type="spellEnd"/>
      <w:r w:rsidR="00AB6FCF">
        <w:t xml:space="preserve"> und die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reticulata</w:t>
      </w:r>
      <w:proofErr w:type="spellEnd"/>
      <w:r w:rsidR="00AB6FCF">
        <w:t xml:space="preserve"> hat</w:t>
      </w:r>
      <w:r w:rsidR="0028116E">
        <w:t xml:space="preserve">. </w:t>
      </w:r>
      <w:r w:rsidR="00335D4C">
        <w:t>Es wurde außerdem eine weitere monosynapti</w:t>
      </w:r>
      <w:r w:rsidR="00EA3C7A">
        <w:t>sche Verbindung zwischen dem STK</w:t>
      </w:r>
      <w:r w:rsidR="00335D4C">
        <w:t xml:space="preserve"> und dem motorischen Kortex ge</w:t>
      </w:r>
      <w:r w:rsidR="00EF5196">
        <w:t>funden, welche</w:t>
      </w:r>
      <w:r w:rsidR="00EA3C7A">
        <w:t xml:space="preserve"> die Relevanz des STK</w:t>
      </w:r>
      <w:r w:rsidR="00335D4C">
        <w:t xml:space="preserve"> innerhalb dieser Verschaltung </w:t>
      </w:r>
      <w:r w:rsidR="00EF5196">
        <w:t xml:space="preserve">hervorgehoben </w:t>
      </w:r>
      <w:r w:rsidR="00335D4C">
        <w:t>hat</w:t>
      </w:r>
      <w:r w:rsidR="00DB7C45">
        <w:t>.</w:t>
      </w:r>
      <w:r w:rsidR="000E1DA9">
        <w:t xml:space="preserve"> </w:t>
      </w:r>
    </w:p>
    <w:p w:rsidR="000D188D" w:rsidRDefault="00C37B5C" w:rsidP="000D188D">
      <w:r>
        <w:t>Grundsätzlich konnte gezeigt werden, dass di</w:t>
      </w:r>
      <w:r w:rsidR="003804D7">
        <w:t xml:space="preserve">e </w:t>
      </w:r>
      <w:r>
        <w:t xml:space="preserve">meisten Elemente der Basalganglien und der </w:t>
      </w:r>
      <w:proofErr w:type="spellStart"/>
      <w:r>
        <w:t>thalamocortikalen</w:t>
      </w:r>
      <w:proofErr w:type="spellEnd"/>
      <w:r>
        <w:t xml:space="preserve"> Verschaltungen </w:t>
      </w:r>
      <w:r w:rsidR="003804D7">
        <w:t xml:space="preserve">bei Patient*innen mit Morbus Parkinson synchronisierte Oszillationen mit niedriger Frequenz aufweisen </w:t>
      </w:r>
      <w:r w:rsidR="003804D7">
        <w:fldChar w:fldCharType="begin"/>
      </w:r>
      <w:r w:rsidR="003804D7">
        <w:instrText xml:space="preserve"> ADDIN ZOTERO_ITEM CSL_CITATION {"citationID":"qgHzXvry","properties":{"formattedCitation":"(Wichmann,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3804D7">
        <w:fldChar w:fldCharType="separate"/>
      </w:r>
      <w:r w:rsidR="003804D7" w:rsidRPr="003804D7">
        <w:rPr>
          <w:rFonts w:ascii="Calibri" w:hAnsi="Calibri" w:cs="Calibri"/>
        </w:rPr>
        <w:t>(Wichmann, 2019)</w:t>
      </w:r>
      <w:r w:rsidR="003804D7">
        <w:fldChar w:fldCharType="end"/>
      </w:r>
      <w:r w:rsidR="003804D7">
        <w:t>.</w:t>
      </w:r>
      <w:r w:rsidR="005A38F4">
        <w:t xml:space="preserve"> </w:t>
      </w:r>
      <w:r w:rsidR="00306F70">
        <w:t xml:space="preserve">In einer Studie von </w:t>
      </w:r>
      <w:r w:rsidR="00306F70">
        <w:fldChar w:fldCharType="begin"/>
      </w:r>
      <w:r w:rsidR="00306F70">
        <w:instrText xml:space="preserve"> ADDIN ZOTERO_ITEM CSL_CITATION {"citationID":"jrmIvPL4","properties":{"formattedCitation":"(Bologna et al., 2018)","plainCitation":"(Bologna et al., 2018)","dontUpdate":true,"noteIndex":0},"citationItems":[{"id":107,"uris":["http://zotero.org/users/local/AhaM3qLx/items/AB4KQ5B3"],"itemData":{"id":107,"type":"article-journal","container-title":"Brain","DOI":"10.1093/brain/awy155","ISSN":"0006-8950, 1460-2156","issue":"8","language":"en","page":"2432-2444","source":"DOI.org (Crossref)","title":"Neurophysiological correlates of bradykinesia in Parkinson’s disease","volume":"141","author":[{"family":"Bologna","given":"Matteo"},{"family":"Guerra","given":"Andrea"},{"family":"Paparella","given":"Giulia"},{"family":"Giordo","given":"Laura"},{"family":"Alunni Fegatelli","given":"Danilo"},{"family":"Vestri","given":"Anna Rita"},{"family":"Rothwell","given":"John C"},{"family":"Berardelli","given":"Alfredo"}],"issued":{"date-parts":[["2018",8,1]]}}}],"schema":"https://github.com/citation-style-language/schema/raw/master/csl-citation.json"} </w:instrText>
      </w:r>
      <w:r w:rsidR="00306F70">
        <w:fldChar w:fldCharType="separate"/>
      </w:r>
      <w:r w:rsidR="00306F70">
        <w:rPr>
          <w:rFonts w:ascii="Calibri" w:hAnsi="Calibri" w:cs="Calibri"/>
        </w:rPr>
        <w:t>Bologna et al.</w:t>
      </w:r>
      <w:r w:rsidR="00306F70" w:rsidRPr="005A38F4">
        <w:rPr>
          <w:rFonts w:ascii="Calibri" w:hAnsi="Calibri" w:cs="Calibri"/>
        </w:rPr>
        <w:t xml:space="preserve"> </w:t>
      </w:r>
      <w:r w:rsidR="00306F70">
        <w:rPr>
          <w:rFonts w:ascii="Calibri" w:hAnsi="Calibri" w:cs="Calibri"/>
        </w:rPr>
        <w:t>(</w:t>
      </w:r>
      <w:r w:rsidR="00306F70" w:rsidRPr="005A38F4">
        <w:rPr>
          <w:rFonts w:ascii="Calibri" w:hAnsi="Calibri" w:cs="Calibri"/>
        </w:rPr>
        <w:t>2018)</w:t>
      </w:r>
      <w:r w:rsidR="00306F70">
        <w:fldChar w:fldCharType="end"/>
      </w:r>
      <w:r w:rsidR="00306F70">
        <w:t xml:space="preserve"> konnte gezeigt werden, dass Eigenschaften der </w:t>
      </w:r>
      <w:proofErr w:type="spellStart"/>
      <w:r w:rsidR="00306F70">
        <w:t>Bradykinesie</w:t>
      </w:r>
      <w:proofErr w:type="spellEnd"/>
      <w:r w:rsidR="00306F70">
        <w:t xml:space="preserve"> mit der Veränderung der Erregbarkeit und Plastizität des primären motorischen Kortex (M1) bei Patient*innen mit Morbus Parkinson korreliert. </w:t>
      </w:r>
      <w:r w:rsidR="00C269DB">
        <w:t xml:space="preserve">Der Verlust der </w:t>
      </w:r>
      <w:proofErr w:type="spellStart"/>
      <w:r w:rsidR="00C269DB">
        <w:t>dopaminergen</w:t>
      </w:r>
      <w:proofErr w:type="spellEnd"/>
      <w:r w:rsidR="00C269DB">
        <w:t xml:space="preserve"> Neuronen in der </w:t>
      </w:r>
      <w:proofErr w:type="spellStart"/>
      <w:r w:rsidR="00C269DB">
        <w:t>Substantia</w:t>
      </w:r>
      <w:proofErr w:type="spellEnd"/>
      <w:r w:rsidR="00C269DB">
        <w:t xml:space="preserve"> </w:t>
      </w:r>
      <w:proofErr w:type="spellStart"/>
      <w:r w:rsidR="00C269DB">
        <w:t>Nigra</w:t>
      </w:r>
      <w:proofErr w:type="spellEnd"/>
      <w:r w:rsidR="00C269DB">
        <w:t xml:space="preserve"> pars </w:t>
      </w:r>
      <w:proofErr w:type="spellStart"/>
      <w:r w:rsidR="00C269DB">
        <w:t>compacta</w:t>
      </w:r>
      <w:proofErr w:type="spellEnd"/>
      <w:r w:rsidR="00C269DB">
        <w:t xml:space="preserve"> und die daraus resultierenden Verminderung von Dopamin im </w:t>
      </w:r>
      <w:proofErr w:type="spellStart"/>
      <w:r w:rsidR="00C269DB">
        <w:t>Striatum</w:t>
      </w:r>
      <w:proofErr w:type="spellEnd"/>
      <w:r w:rsidR="00C269DB">
        <w:t xml:space="preserve"> führen durch die beschriebenen Mechanismen zu einem Ungleichgewicht zwischen der direkten und der indirekten Verbindung in den Basalganglien und dadurch zu </w:t>
      </w:r>
      <w:proofErr w:type="spellStart"/>
      <w:r w:rsidR="00C269DB">
        <w:t>Bradykinesie</w:t>
      </w:r>
      <w:proofErr w:type="spellEnd"/>
      <w:r w:rsidR="00C269DB">
        <w:t xml:space="preserve"> </w:t>
      </w:r>
      <w:r w:rsidR="00C269DB">
        <w:fldChar w:fldCharType="begin"/>
      </w:r>
      <w:r w:rsidR="00C269DB">
        <w:instrText xml:space="preserve"> ADDIN ZOTERO_ITEM CSL_CITATION {"citationID":"G75OzMCf","properties":{"formattedCitation":"(Bloem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fldChar w:fldCharType="separate"/>
      </w:r>
      <w:r w:rsidR="00C269DB" w:rsidRPr="00A546EE">
        <w:rPr>
          <w:rFonts w:ascii="Calibri" w:hAnsi="Calibri" w:cs="Calibri"/>
        </w:rPr>
        <w:t>(</w:t>
      </w:r>
      <w:proofErr w:type="spellStart"/>
      <w:r w:rsidR="00C269DB" w:rsidRPr="00A546EE">
        <w:rPr>
          <w:rFonts w:ascii="Calibri" w:hAnsi="Calibri" w:cs="Calibri"/>
        </w:rPr>
        <w:t>Bloem</w:t>
      </w:r>
      <w:proofErr w:type="spellEnd"/>
      <w:r w:rsidR="00C269DB" w:rsidRPr="00A546EE">
        <w:rPr>
          <w:rFonts w:ascii="Calibri" w:hAnsi="Calibri" w:cs="Calibri"/>
        </w:rPr>
        <w:t xml:space="preserve"> et al., 2021)</w:t>
      </w:r>
      <w:r w:rsidR="00C269DB">
        <w:fldChar w:fldCharType="end"/>
      </w:r>
      <w:r w:rsidR="00C269DB">
        <w:t xml:space="preserve">. </w:t>
      </w:r>
      <w:proofErr w:type="spellStart"/>
      <w:r w:rsidR="00C269DB">
        <w:t>Bradykinesie</w:t>
      </w:r>
      <w:proofErr w:type="spellEnd"/>
      <w:r w:rsidR="00C269DB">
        <w:t xml:space="preserve"> kann anhand von neurophysiologischen Aufzeichnungen auch als Ungleichgewicht zwischen unterschiedlichen oszillatorischen Aktivitätsmustern beschrieben werden </w:t>
      </w:r>
      <w:r w:rsidR="00C269DB">
        <w:fldChar w:fldCharType="begin"/>
      </w:r>
      <w:r w:rsidR="00C269DB">
        <w:instrText xml:space="preserve"> ADDIN ZOTERO_ITEM CSL_CITATION {"citationID":"FCpaZ28I","properties":{"formattedCitation":"(Bloem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fldChar w:fldCharType="separate"/>
      </w:r>
      <w:r w:rsidR="00C269DB" w:rsidRPr="00A546EE">
        <w:rPr>
          <w:rFonts w:ascii="Calibri" w:hAnsi="Calibri" w:cs="Calibri"/>
        </w:rPr>
        <w:t>(Bloem et al., 2021)</w:t>
      </w:r>
      <w:r w:rsidR="00C269DB">
        <w:fldChar w:fldCharType="end"/>
      </w:r>
      <w:r w:rsidR="00C269DB">
        <w:t xml:space="preserve">. Dabei ist eine erhöhte Aktivität im </w:t>
      </w:r>
      <w:proofErr w:type="spellStart"/>
      <w:r w:rsidR="00C269DB">
        <w:t>Betaband</w:t>
      </w:r>
      <w:proofErr w:type="spellEnd"/>
      <w:r w:rsidR="00C269DB">
        <w:t xml:space="preserve"> assoziiert mit der Bewegungseinschränkung bei </w:t>
      </w:r>
      <w:proofErr w:type="spellStart"/>
      <w:r w:rsidR="00C269DB">
        <w:t>Bradykinesie</w:t>
      </w:r>
      <w:proofErr w:type="spellEnd"/>
      <w:r w:rsidR="00C269DB">
        <w:t xml:space="preserve"> und Rigor </w:t>
      </w:r>
      <w:r w:rsidR="00C269DB">
        <w:fldChar w:fldCharType="begin"/>
      </w:r>
      <w:r w:rsidR="00C269DB">
        <w:instrText xml:space="preserve"> ADDIN ZOTERO_ITEM CSL_CITATION {"citationID":"mh3wpZAV","properties":{"formattedCitation":"(K\\uc0\\u252{}hn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C269DB">
        <w:fldChar w:fldCharType="separate"/>
      </w:r>
      <w:r w:rsidR="00C269DB" w:rsidRPr="00D556BB">
        <w:rPr>
          <w:rFonts w:ascii="Calibri" w:hAnsi="Calibri" w:cs="Calibri"/>
          <w:szCs w:val="24"/>
        </w:rPr>
        <w:t>(Kühn et al., 2006)</w:t>
      </w:r>
      <w:r w:rsidR="00C269DB">
        <w:fldChar w:fldCharType="end"/>
      </w:r>
      <w:r w:rsidR="00C269DB">
        <w:t xml:space="preserve">. </w:t>
      </w:r>
      <w:r w:rsidR="003804D7">
        <w:t xml:space="preserve">Obwohl in der Vergangenheit in der Forschung des </w:t>
      </w:r>
      <w:proofErr w:type="spellStart"/>
      <w:r w:rsidR="003804D7">
        <w:t>Rigors</w:t>
      </w:r>
      <w:proofErr w:type="spellEnd"/>
      <w:r w:rsidR="003804D7">
        <w:t xml:space="preserve"> der Fokus auf veränderte Reflexmechanismen in der Wirbelsäule und im Hirnstamm lag, sind auch hier mit hoher Wahrscheinlichkeit Veränderungen in den Basalganglien beteiligt, da die Schwere des </w:t>
      </w:r>
      <w:proofErr w:type="spellStart"/>
      <w:r w:rsidR="003804D7">
        <w:t>Rigors</w:t>
      </w:r>
      <w:proofErr w:type="spellEnd"/>
      <w:r w:rsidR="003804D7">
        <w:t xml:space="preserve"> mit dem </w:t>
      </w:r>
      <w:proofErr w:type="spellStart"/>
      <w:r w:rsidR="003804D7">
        <w:t>Dopaminverlust</w:t>
      </w:r>
      <w:proofErr w:type="spellEnd"/>
      <w:r w:rsidR="003804D7">
        <w:t xml:space="preserve"> im </w:t>
      </w:r>
      <w:proofErr w:type="spellStart"/>
      <w:r w:rsidR="003804D7">
        <w:t>Striatum</w:t>
      </w:r>
      <w:proofErr w:type="spellEnd"/>
      <w:r w:rsidR="003804D7">
        <w:t xml:space="preserve"> </w:t>
      </w:r>
      <w:r w:rsidR="0021190D">
        <w:t xml:space="preserve">und der Aktivität im </w:t>
      </w:r>
      <w:proofErr w:type="spellStart"/>
      <w:r w:rsidR="0021190D">
        <w:t>Betaband</w:t>
      </w:r>
      <w:proofErr w:type="spellEnd"/>
      <w:r w:rsidR="0021190D">
        <w:t xml:space="preserve"> korreliert </w:t>
      </w:r>
      <w:r w:rsidR="0021190D">
        <w:fldChar w:fldCharType="begin"/>
      </w:r>
      <w:r w:rsidR="0021190D">
        <w:instrText xml:space="preserve"> ADDIN ZOTERO_ITEM CSL_CITATION {"citationID":"89zsOaAK","properties":{"formattedCitation":"(Wichmann,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21190D">
        <w:fldChar w:fldCharType="separate"/>
      </w:r>
      <w:r w:rsidR="0021190D" w:rsidRPr="0021190D">
        <w:rPr>
          <w:rFonts w:ascii="Calibri" w:hAnsi="Calibri" w:cs="Calibri"/>
        </w:rPr>
        <w:t>(Wichmann, 2019)</w:t>
      </w:r>
      <w:r w:rsidR="0021190D">
        <w:fldChar w:fldCharType="end"/>
      </w:r>
      <w:r w:rsidR="0021190D">
        <w:t xml:space="preserve">. Der Ruhetremor hat eine andere Pathophysiologie als </w:t>
      </w:r>
      <w:proofErr w:type="spellStart"/>
      <w:r w:rsidR="0021190D">
        <w:t>Bradykinesie</w:t>
      </w:r>
      <w:proofErr w:type="spellEnd"/>
      <w:r w:rsidR="0021190D">
        <w:t xml:space="preserve"> und Rigor, was daran erkennbar ist, dass die Schwere und der Verlauf </w:t>
      </w:r>
      <w:r w:rsidR="00E74455">
        <w:t xml:space="preserve">von Ruhetremor von der Schwere und dem Verlauf von </w:t>
      </w:r>
      <w:proofErr w:type="spellStart"/>
      <w:r w:rsidR="00E74455">
        <w:t>Bradykinesie</w:t>
      </w:r>
      <w:proofErr w:type="spellEnd"/>
      <w:r w:rsidR="00E74455">
        <w:t xml:space="preserve"> und Rigor abweicht </w:t>
      </w:r>
      <w:r w:rsidR="00E74455">
        <w:fldChar w:fldCharType="begin"/>
      </w:r>
      <w:r w:rsidR="008B1E28">
        <w:instrText xml:space="preserve"> ADDIN ZOTERO_ITEM CSL_CITATION {"citationID":"GfiUbInD","properties":{"formattedCitation":"(R. C. Helmich, 2018; R. Helmich &amp; Dirkx, 2017)","plainCitation":"(R. C. Helmich, 2018; R. Helmich &amp; Dirkx, 2017)","noteIndex":0},"citationItems":[{"id":125,"uris":["http://zotero.org/users/local/AhaM3qLx/items/S96ANRI3"],"itemData":{"id":125,"type":"article-journal","container-title":"Movement Disorders","DOI":"10.1002/mds.27224","ISSN":"0885-3185, 1531-8257","issue":"2","journalAbbreviation":"Movement Disorders","language":"en","page":"219-231","source":"DOI.org (Crossref)","title":"The cerebral basis of Parkinsonian tremor: A network perspective","title-short":"The cerebral basis of Parkinsonian tremor","volume":"33","author":[{"family":"Helmich","given":"Rick C."}],"issued":{"date-parts":[["2018",2]]}}},{"id":123,"uris":["http://zotero.org/users/local/AhaM3qLx/items/KZ2XKYQ7"],"itemData":{"id":123,"type":"article-journal","container-title":"Seminars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E74455">
        <w:fldChar w:fldCharType="separate"/>
      </w:r>
      <w:r w:rsidR="008B1E28" w:rsidRPr="008B1E28">
        <w:rPr>
          <w:rFonts w:ascii="Calibri" w:hAnsi="Calibri" w:cs="Calibri"/>
        </w:rPr>
        <w:t>(R. C. Helmich, 2018; R. Helmich &amp; Dirkx, 2017)</w:t>
      </w:r>
      <w:r w:rsidR="00E74455">
        <w:fldChar w:fldCharType="end"/>
      </w:r>
      <w:r w:rsidR="00E74455">
        <w:t xml:space="preserve">. Bei der Entstehung vom Ruhetremor spielt vermutlich die Dysfunktion des Cerebellum </w:t>
      </w:r>
      <w:r w:rsidR="008B1E28">
        <w:t xml:space="preserve">und der </w:t>
      </w:r>
      <w:proofErr w:type="spellStart"/>
      <w:r w:rsidR="008B1E28">
        <w:t>thalamischen</w:t>
      </w:r>
      <w:proofErr w:type="spellEnd"/>
      <w:r w:rsidR="008B1E28">
        <w:t xml:space="preserve"> Bereiche, die mit ihm verknüpft sind, eine direkte Rolle </w:t>
      </w:r>
      <w:r w:rsidR="00E74455">
        <w:fldChar w:fldCharType="begin"/>
      </w:r>
      <w:r w:rsidR="00E74455">
        <w:instrText xml:space="preserve"> ADDIN ZOTERO_ITEM CSL_CITATION {"citationID":"M3gdfLnG","properties":{"formattedCitation":"(Wichmann,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E74455">
        <w:fldChar w:fldCharType="separate"/>
      </w:r>
      <w:r w:rsidR="00E74455" w:rsidRPr="00E74455">
        <w:rPr>
          <w:rFonts w:ascii="Calibri" w:hAnsi="Calibri" w:cs="Calibri"/>
        </w:rPr>
        <w:t>(Wichmann, 2019)</w:t>
      </w:r>
      <w:r w:rsidR="00E74455">
        <w:fldChar w:fldCharType="end"/>
      </w:r>
      <w:r w:rsidR="00E74455">
        <w:t xml:space="preserve">. </w:t>
      </w:r>
      <w:r w:rsidR="008B1E28">
        <w:t xml:space="preserve">Aber auch bei der Entstehung des Ruhetremors sind Veränderungen in den Basalganglien wieder beteiligt </w:t>
      </w:r>
      <w:r w:rsidR="008B1E28">
        <w:fldChar w:fldCharType="begin"/>
      </w:r>
      <w:r w:rsidR="008B1E28">
        <w:instrText xml:space="preserve"> ADDIN ZOTERO_ITEM CSL_CITATION {"citationID":"dSvjDU7P","properties":{"formattedCitation":"(R. Helmich &amp; Dirkx, 2017)","plainCitation":"(R. Helmich &amp; Dirkx, 2017)","noteIndex":0},"citationItems":[{"id":123,"uris":["http://zotero.org/users/local/AhaM3qLx/items/KZ2XKYQ7"],"itemData":{"id":123,"type":"article-journal","container-title":"Seminars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8B1E28">
        <w:fldChar w:fldCharType="separate"/>
      </w:r>
      <w:r w:rsidR="008B1E28" w:rsidRPr="008B1E28">
        <w:rPr>
          <w:rFonts w:ascii="Calibri" w:hAnsi="Calibri" w:cs="Calibri"/>
        </w:rPr>
        <w:t>(R. Helmich &amp; Dirkx, 2017)</w:t>
      </w:r>
      <w:r w:rsidR="008B1E28">
        <w:fldChar w:fldCharType="end"/>
      </w:r>
      <w:r w:rsidR="00306F70">
        <w:t xml:space="preserve">. </w:t>
      </w:r>
      <w:r w:rsidR="00DB5039">
        <w:t xml:space="preserve">All diese Erkenntnisse haben einen wichtigen Beitrag für den Fortschritt </w:t>
      </w:r>
      <w:r w:rsidR="006045B8">
        <w:t xml:space="preserve">in der klinischen Forschung von Parkinson geleistet und dafür gesorgt, dass einige effektive Behandlungsformen bereits seit einiger Zeit angewendet werden. </w:t>
      </w:r>
    </w:p>
    <w:p w:rsidR="006045B8" w:rsidRDefault="006045B8" w:rsidP="000D188D">
      <w:r>
        <w:t>1.3 Behandlung von Morbus Parkinson</w:t>
      </w:r>
    </w:p>
    <w:p w:rsidR="0092475B" w:rsidRDefault="0092475B" w:rsidP="000D188D">
      <w:r>
        <w:t>1.3.1 Medikamentöse Behandlung</w:t>
      </w:r>
    </w:p>
    <w:p w:rsidR="0092475B" w:rsidRDefault="0000655A" w:rsidP="000D188D">
      <w:r>
        <w:t>Auch wenn es bis heute nicht endgültig geheilt werden kann, haben die Fortschritte in der Forschung Morbus Parkinson zu der ersten neurodegenerativen Krankheit gemacht, mit der auf eine Weise umgegangen werden kann, bei der die Symptome kontrolliert und die Lebensqualität aufrecht erhal</w:t>
      </w:r>
      <w:r w:rsidR="00A546EE">
        <w:t xml:space="preserve">ten werden können </w:t>
      </w:r>
      <w:r w:rsidR="00A546EE">
        <w:fldChar w:fldCharType="begin"/>
      </w:r>
      <w:r w:rsidR="00A546EE">
        <w:instrText xml:space="preserve"> ADDIN ZOTERO_ITEM CSL_CITATION {"citationID":"wKXOv6la","properties":{"formattedCitation":"(Poewe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w:instrText>
      </w:r>
      <w:r w:rsidR="00A546EE">
        <w:rPr>
          <w:rFonts w:ascii="Cambria Math" w:hAnsi="Cambria Math" w:cs="Cambria Math"/>
        </w:rPr>
        <w:instrText>‑</w:instrText>
      </w:r>
      <w:r w:rsidR="00A546EE">
        <w:instrText>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w:instrText>
      </w:r>
      <w:r w:rsidR="00A546EE">
        <w:rPr>
          <w:rFonts w:ascii="Cambria Math" w:hAnsi="Cambria Math" w:cs="Cambria Math"/>
        </w:rPr>
        <w:instrText>‑</w:instrText>
      </w:r>
      <w:r w:rsidR="00A546EE">
        <w:instrText>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w:instrText>
      </w:r>
      <w:r w:rsidR="00A546EE">
        <w:rPr>
          <w:rFonts w:ascii="Cambria Math" w:hAnsi="Cambria Math" w:cs="Cambria Math"/>
        </w:rPr>
        <w:instrText>‑</w:instrText>
      </w:r>
      <w:r w:rsidR="00A546EE">
        <w:instrText>DOPA-related motor complications. Experimental therapies have tried to restore striatal dopamine by gene-based and cell-based approaches, and most recently, aggregation and cellular transport of α</w:instrText>
      </w:r>
      <w:r w:rsidR="00A546EE">
        <w:rPr>
          <w:rFonts w:ascii="Cambria Math" w:hAnsi="Cambria Math" w:cs="Cambria Math"/>
        </w:rPr>
        <w:instrText>‑</w:instrText>
      </w:r>
      <w:r w:rsidR="00A546EE">
        <w:instrText xml:space="preserve">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fldChar w:fldCharType="separate"/>
      </w:r>
      <w:r w:rsidR="00A546EE" w:rsidRPr="00A546EE">
        <w:rPr>
          <w:rFonts w:ascii="Calibri" w:hAnsi="Calibri" w:cs="Calibri"/>
        </w:rPr>
        <w:t>(Poewe et al., 2017)</w:t>
      </w:r>
      <w:r w:rsidR="00A546EE">
        <w:fldChar w:fldCharType="end"/>
      </w:r>
      <w:r>
        <w:t>.</w:t>
      </w:r>
      <w:r w:rsidR="00746345">
        <w:t xml:space="preserve"> </w:t>
      </w:r>
      <w:r w:rsidR="00267210">
        <w:t>Die</w:t>
      </w:r>
      <w:r w:rsidR="00C87F2F">
        <w:t xml:space="preserve"> Verminderung </w:t>
      </w:r>
      <w:r w:rsidR="00267210">
        <w:t xml:space="preserve">von Dopamin im </w:t>
      </w:r>
      <w:proofErr w:type="spellStart"/>
      <w:r w:rsidR="00267210">
        <w:t>Striatum</w:t>
      </w:r>
      <w:proofErr w:type="spellEnd"/>
      <w:r w:rsidR="00267210">
        <w:t xml:space="preserve"> </w:t>
      </w:r>
      <w:r w:rsidR="00C87F2F">
        <w:t xml:space="preserve">wird durch die medikamentöse </w:t>
      </w:r>
      <w:r w:rsidR="00F77EC2">
        <w:t xml:space="preserve">Zugabe von </w:t>
      </w:r>
      <w:proofErr w:type="spellStart"/>
      <w:r w:rsidR="00F77EC2">
        <w:t>Levodopa</w:t>
      </w:r>
      <w:proofErr w:type="spellEnd"/>
      <w:r w:rsidR="00F77EC2">
        <w:t>, der Vorstufe von Dopamin, ausgeglichen und kontrolliert.</w:t>
      </w:r>
      <w:r w:rsidR="00267210">
        <w:t xml:space="preserve"> Die medikamentöse Behandlung mit </w:t>
      </w:r>
      <w:proofErr w:type="spellStart"/>
      <w:r w:rsidR="00267210">
        <w:t>Levodopa</w:t>
      </w:r>
      <w:proofErr w:type="spellEnd"/>
      <w:r w:rsidR="00267210">
        <w:t xml:space="preserve"> führt zu einer Verringerung der Power im </w:t>
      </w:r>
      <w:proofErr w:type="spellStart"/>
      <w:r w:rsidR="00267210">
        <w:t>Betaband</w:t>
      </w:r>
      <w:proofErr w:type="spellEnd"/>
      <w:r w:rsidR="00267210">
        <w:t>, die wiederum mit der Verringerung der motorische</w:t>
      </w:r>
      <w:r w:rsidR="00FD199E">
        <w:t>n Symptome korreliert</w:t>
      </w:r>
      <w:r w:rsidR="00D556BB">
        <w:t xml:space="preserve"> </w:t>
      </w:r>
      <w:r w:rsidR="00D556BB">
        <w:fldChar w:fldCharType="begin"/>
      </w:r>
      <w:r w:rsidR="00847716">
        <w:instrText xml:space="preserve"> ADDIN ZOTERO_ITEM CSL_CITATION {"citationID":"peLDwR4I","properties":{"formattedCitation":"(R. Helmich &amp; Dirkx, 2017; K\\uc0\\u252{}hn et al., 2006)","plainCitation":"(R. Helmich &amp; Dirkx, 2017; Kühn et al., 2006)","noteIndex":0},"citationItems":[{"id":123,"uris":["http://zotero.org/users/local/AhaM3qLx/items/KZ2XKYQ7"],"itemData":{"id":123,"type":"article-journal","container-title":"Seminars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D556BB">
        <w:fldChar w:fldCharType="separate"/>
      </w:r>
      <w:r w:rsidR="00847716" w:rsidRPr="00847716">
        <w:rPr>
          <w:rFonts w:ascii="Calibri" w:hAnsi="Calibri" w:cs="Calibri"/>
          <w:szCs w:val="24"/>
        </w:rPr>
        <w:t>(R. Helmich &amp; Dirkx, 2017; Kühn et al., 2006)</w:t>
      </w:r>
      <w:r w:rsidR="00D556BB">
        <w:fldChar w:fldCharType="end"/>
      </w:r>
      <w:r w:rsidR="00267210">
        <w:t xml:space="preserve">. </w:t>
      </w:r>
      <w:r w:rsidR="00F77EC2">
        <w:t xml:space="preserve">Diese Behandlungsform, die vor über 50 Jahren bahnbrechend war, ist immer noch Teil des Goldstandards zur Behandlung von Morbus Parkinson, sodass nahezu jede erkrankte Person im Laufe der Zeit damit behandelt </w:t>
      </w:r>
      <w:r w:rsidR="00D556BB">
        <w:t xml:space="preserve">wird </w:t>
      </w:r>
      <w:r w:rsidR="00D556BB">
        <w:fldChar w:fldCharType="begin"/>
      </w:r>
      <w:r w:rsidR="00D556BB">
        <w:instrText xml:space="preserve"> ADDIN ZOTERO_ITEM CSL_CITATION {"citationID":"lMpVPgOr","properties":{"formattedCitation":"(Poewe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w:instrText>
      </w:r>
      <w:r w:rsidR="00D556BB">
        <w:rPr>
          <w:rFonts w:ascii="Cambria Math" w:hAnsi="Cambria Math" w:cs="Cambria Math"/>
        </w:rPr>
        <w:instrText>‑</w:instrText>
      </w:r>
      <w:r w:rsidR="00D556BB">
        <w:instrText>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w:instrText>
      </w:r>
      <w:r w:rsidR="00D556BB">
        <w:rPr>
          <w:rFonts w:ascii="Cambria Math" w:hAnsi="Cambria Math" w:cs="Cambria Math"/>
        </w:rPr>
        <w:instrText>‑</w:instrText>
      </w:r>
      <w:r w:rsidR="00D556BB">
        <w:instrText>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w:instrText>
      </w:r>
      <w:r w:rsidR="00D556BB">
        <w:rPr>
          <w:rFonts w:ascii="Cambria Math" w:hAnsi="Cambria Math" w:cs="Cambria Math"/>
        </w:rPr>
        <w:instrText>‑</w:instrText>
      </w:r>
      <w:r w:rsidR="00D556BB">
        <w:instrText>DOPA-related motor complications. Experimental therapies have tried to restore striatal dopamine by gene-based and cell-based approaches, and most recently, aggregation and cellular transport of α</w:instrText>
      </w:r>
      <w:r w:rsidR="00D556BB">
        <w:rPr>
          <w:rFonts w:ascii="Cambria Math" w:hAnsi="Cambria Math" w:cs="Cambria Math"/>
        </w:rPr>
        <w:instrText>‑</w:instrText>
      </w:r>
      <w:r w:rsidR="00D556BB">
        <w:instrText xml:space="preserve">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fldChar w:fldCharType="separate"/>
      </w:r>
      <w:r w:rsidR="00D556BB" w:rsidRPr="00D556BB">
        <w:rPr>
          <w:rFonts w:ascii="Calibri" w:hAnsi="Calibri" w:cs="Calibri"/>
        </w:rPr>
        <w:t>(Poewe et al., 2017)</w:t>
      </w:r>
      <w:r w:rsidR="00D556BB">
        <w:fldChar w:fldCharType="end"/>
      </w:r>
      <w:r w:rsidR="00A05DBF">
        <w:t xml:space="preserve">. Der Einfluss von </w:t>
      </w:r>
      <w:proofErr w:type="spellStart"/>
      <w:r w:rsidR="00A05DBF">
        <w:lastRenderedPageBreak/>
        <w:t>Levodopa</w:t>
      </w:r>
      <w:proofErr w:type="spellEnd"/>
      <w:r w:rsidR="00A05DBF">
        <w:t xml:space="preserve"> auf Rigor gilt als einer der vertrauenswürdigsten Hinweise, um die Reaktion auf </w:t>
      </w:r>
      <w:r w:rsidR="00942BDB">
        <w:t xml:space="preserve">das Medikament einzuschätzen </w:t>
      </w:r>
      <w:r w:rsidR="00A05DBF">
        <w:fldChar w:fldCharType="begin"/>
      </w:r>
      <w:r w:rsidR="00A05DBF">
        <w:instrText xml:space="preserve"> ADDIN ZOTERO_ITEM CSL_CITATION {"citationID":"6bkWBBVV","properties":{"formattedCitation":"(Hess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A05DBF">
        <w:fldChar w:fldCharType="separate"/>
      </w:r>
      <w:r w:rsidR="00A05DBF" w:rsidRPr="00A05DBF">
        <w:rPr>
          <w:rFonts w:ascii="Calibri" w:hAnsi="Calibri" w:cs="Calibri"/>
        </w:rPr>
        <w:t>(Hess &amp; Hallett, 2017)</w:t>
      </w:r>
      <w:r w:rsidR="00A05DBF">
        <w:fldChar w:fldCharType="end"/>
      </w:r>
      <w:r w:rsidR="00A05DBF">
        <w:t xml:space="preserve">. </w:t>
      </w:r>
    </w:p>
    <w:p w:rsidR="006045B8" w:rsidRDefault="00B312D7" w:rsidP="000D188D">
      <w:r>
        <w:t xml:space="preserve">Es können auch einige nicht-motorische Symptome mit </w:t>
      </w:r>
      <w:proofErr w:type="spellStart"/>
      <w:r>
        <w:t>dopaminergen</w:t>
      </w:r>
      <w:proofErr w:type="spellEnd"/>
      <w:r>
        <w:t xml:space="preserve"> Medikamenten behandelt werden, allerdings werden einige andere nicht-motorische Symptome dadurch verstärkt, weshalb eine Kombination aus pharmakologischer und nicht-pharmakologischer Behandlung angewandt werden muss, die auf die Patient*innen angepasst ist. </w:t>
      </w:r>
      <w:r w:rsidR="00942FA8">
        <w:t xml:space="preserve">Allerdings löst die Behandlung mit </w:t>
      </w:r>
      <w:proofErr w:type="spellStart"/>
      <w:r w:rsidR="00942FA8">
        <w:t>Levodopa</w:t>
      </w:r>
      <w:proofErr w:type="spellEnd"/>
      <w:r w:rsidR="00942FA8">
        <w:t xml:space="preserve"> langfristig neue Bewegungsstörungen und </w:t>
      </w:r>
      <w:proofErr w:type="spellStart"/>
      <w:r w:rsidR="00942FA8">
        <w:t>Dys</w:t>
      </w:r>
      <w:r w:rsidR="00D556BB">
        <w:t>kinesien</w:t>
      </w:r>
      <w:proofErr w:type="spellEnd"/>
      <w:r w:rsidR="00D556BB">
        <w:t xml:space="preserve"> aus </w:t>
      </w:r>
      <w:r w:rsidR="00D556BB">
        <w:fldChar w:fldCharType="begin"/>
      </w:r>
      <w:r w:rsidR="00D556BB">
        <w:instrText xml:space="preserve"> ADDIN ZOTERO_ITEM CSL_CITATION {"citationID":"Q9golfrk","properties":{"formattedCitation":"(Poewe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w:instrText>
      </w:r>
      <w:r w:rsidR="00D556BB">
        <w:rPr>
          <w:rFonts w:ascii="Cambria Math" w:hAnsi="Cambria Math" w:cs="Cambria Math"/>
        </w:rPr>
        <w:instrText>‑</w:instrText>
      </w:r>
      <w:r w:rsidR="00D556BB">
        <w:instrText>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w:instrText>
      </w:r>
      <w:r w:rsidR="00D556BB">
        <w:rPr>
          <w:rFonts w:ascii="Cambria Math" w:hAnsi="Cambria Math" w:cs="Cambria Math"/>
        </w:rPr>
        <w:instrText>‑</w:instrText>
      </w:r>
      <w:r w:rsidR="00D556BB">
        <w:instrText>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w:instrText>
      </w:r>
      <w:r w:rsidR="00D556BB">
        <w:rPr>
          <w:rFonts w:ascii="Cambria Math" w:hAnsi="Cambria Math" w:cs="Cambria Math"/>
        </w:rPr>
        <w:instrText>‑</w:instrText>
      </w:r>
      <w:r w:rsidR="00D556BB">
        <w:instrText>DOPA-related motor complications. Experimental therapies have tried to restore striatal dopamine by gene-based and cell-based approaches, and most recently, aggregation and cellular transport of α</w:instrText>
      </w:r>
      <w:r w:rsidR="00D556BB">
        <w:rPr>
          <w:rFonts w:ascii="Cambria Math" w:hAnsi="Cambria Math" w:cs="Cambria Math"/>
        </w:rPr>
        <w:instrText>‑</w:instrText>
      </w:r>
      <w:r w:rsidR="00D556BB">
        <w:instrText xml:space="preserve">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fldChar w:fldCharType="separate"/>
      </w:r>
      <w:r w:rsidR="00D556BB" w:rsidRPr="00D556BB">
        <w:rPr>
          <w:rFonts w:ascii="Calibri" w:hAnsi="Calibri" w:cs="Calibri"/>
        </w:rPr>
        <w:t>(</w:t>
      </w:r>
      <w:proofErr w:type="spellStart"/>
      <w:r w:rsidR="00D556BB" w:rsidRPr="00D556BB">
        <w:rPr>
          <w:rFonts w:ascii="Calibri" w:hAnsi="Calibri" w:cs="Calibri"/>
        </w:rPr>
        <w:t>Poewe</w:t>
      </w:r>
      <w:proofErr w:type="spellEnd"/>
      <w:r w:rsidR="00D556BB" w:rsidRPr="00D556BB">
        <w:rPr>
          <w:rFonts w:ascii="Calibri" w:hAnsi="Calibri" w:cs="Calibri"/>
        </w:rPr>
        <w:t xml:space="preserve"> et al., 2017)</w:t>
      </w:r>
      <w:r w:rsidR="00D556BB">
        <w:fldChar w:fldCharType="end"/>
      </w:r>
      <w:r w:rsidR="00942FA8">
        <w:t xml:space="preserve">. Die Gründe dafür sind immer noch nicht vollständig aufgeklärt. </w:t>
      </w:r>
      <w:r w:rsidR="00250996">
        <w:t xml:space="preserve">In </w:t>
      </w:r>
      <w:r w:rsidR="00465D1F">
        <w:t xml:space="preserve">einer Studie konnte gezeigt werden, dass die Komplikationen von </w:t>
      </w:r>
      <w:proofErr w:type="spellStart"/>
      <w:r w:rsidR="00465D1F">
        <w:t>dopaminergen</w:t>
      </w:r>
      <w:proofErr w:type="spellEnd"/>
      <w:r w:rsidR="00465D1F">
        <w:t xml:space="preserve"> Medikamenten von allen Faktoren den drittgrößten Einfluss auf die Verringerung der Lebensqualität haben (Gomez-Esteban et al., 2007). Auch die Anzahl der Jahre, in denen </w:t>
      </w:r>
      <w:proofErr w:type="spellStart"/>
      <w:r w:rsidR="00465D1F">
        <w:t>Levodopa</w:t>
      </w:r>
      <w:proofErr w:type="spellEnd"/>
      <w:r w:rsidR="00465D1F">
        <w:t xml:space="preserve"> genommen wurde, hatte einen negativen Zusammenhang mit der Lebensqualität, allerdings einen geringeren. </w:t>
      </w:r>
    </w:p>
    <w:p w:rsidR="0092475B" w:rsidRDefault="0092475B" w:rsidP="000D188D">
      <w:r>
        <w:t>1.3.2 Tiefe Hirnstimulation</w:t>
      </w:r>
    </w:p>
    <w:p w:rsidR="0092475B" w:rsidRDefault="00875986" w:rsidP="000D188D">
      <w:r>
        <w:t>I</w:t>
      </w:r>
      <w:r w:rsidR="00C37B5C">
        <w:t xml:space="preserve">m Jahr 1995 haben </w:t>
      </w:r>
      <w:r w:rsidR="00C37B5C">
        <w:fldChar w:fldCharType="begin"/>
      </w:r>
      <w:r w:rsidR="00783604">
        <w:instrText xml:space="preserve"> ADDIN ZOTERO_ITEM CSL_CITATION {"citationID":"COdeFRH7","properties":{"formattedCitation":"(Limousin et al., 1995)","plainCitation":"(Limousin et al., 1995)","dontUpdate":true,"noteIndex":0},"citationItems":[{"id":44,"uris":["http://zotero.org/users/local/AhaM3qLx/items/KIEB24NC"],"itemData":{"id":44,"type":"article-journal","abstract":"In monkeys rendered parkinsonian, lesions and electrical stimulation of the subthalamic nucleus reduce all major motor disturbances. The effect of electrical stimulation of the subthalamic nucleus was assessed in three patients with disabling akinetic-rigid Parkinson’s disease and severe motor fluctuations.","container-title":"The Lancet","DOI":"10.1016/S0140-6736(95)90062-4","ISSN":"01406736","issue":"8942","journalAbbreviation":"The Lancet","language":"en","page":"91-95","source":"DOI.org (Crossref)","title":"Effect on parkinsonian signs and symptoms of bilateral subthalamic nucleus stimulation","volume":"345","author":[{"family":"Limousin","given":"P."},{"family":"Pollak","given":"P."},{"family":"Benazzouz","given":"A."},{"family":"Hoffmann","given":"D."},{"family":"Le Bas","given":"J-F."},{"family":"Perret","given":"J.E."},{"family":"Benabid","given":"A-L."},{"family":"Broussolle","given":"El"}],"issued":{"date-parts":[["1995",1]]}}}],"schema":"https://github.com/citation-style-language/schema/raw/master/csl-citation.json"} </w:instrText>
      </w:r>
      <w:r w:rsidR="00C37B5C">
        <w:fldChar w:fldCharType="separate"/>
      </w:r>
      <w:r w:rsidR="00C37B5C">
        <w:rPr>
          <w:rFonts w:ascii="Calibri" w:hAnsi="Calibri" w:cs="Calibri"/>
        </w:rPr>
        <w:t>Limousin et al.</w:t>
      </w:r>
      <w:r w:rsidR="00C37B5C">
        <w:fldChar w:fldCharType="end"/>
      </w:r>
      <w:r>
        <w:t xml:space="preserve"> zum ersten Mal die Wirkung von elektrischer Stimulation der STK bei Patient*innen mit Morbus Parkinson untersucht und eine deutliche Verbesserung der täglichen Aktivitäten und motorischen Symptome entdeckt. Nachdem die STK als sinnvolles Ziel für eine Tiefe Hirnstimu</w:t>
      </w:r>
      <w:r w:rsidR="0092475B">
        <w:t>lation (THS) festgestellt wurde</w:t>
      </w:r>
      <w:r>
        <w:t>,</w:t>
      </w:r>
      <w:r w:rsidR="004C7615">
        <w:t xml:space="preserve"> kam </w:t>
      </w:r>
      <w:r>
        <w:t xml:space="preserve">dies </w:t>
      </w:r>
      <w:r w:rsidR="004C7615">
        <w:t xml:space="preserve">als alternative Behandlungsmöglichkeit </w:t>
      </w:r>
      <w:r w:rsidR="00EB624F">
        <w:t xml:space="preserve">für Morbus Parkinson </w:t>
      </w:r>
      <w:r>
        <w:t>z</w:t>
      </w:r>
      <w:r w:rsidR="00D556BB">
        <w:t xml:space="preserve">um Vorschein </w:t>
      </w:r>
      <w:r w:rsidR="00D556BB">
        <w:fldChar w:fldCharType="begin"/>
      </w:r>
      <w:r w:rsidR="00D556BB">
        <w:instrText xml:space="preserve"> ADDIN ZOTERO_ITEM CSL_CITATION {"citationID":"6p9HQwIO","properties":{"formattedCitation":"(Poewe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w:instrText>
      </w:r>
      <w:r w:rsidR="00D556BB">
        <w:rPr>
          <w:rFonts w:ascii="Cambria Math" w:hAnsi="Cambria Math" w:cs="Cambria Math"/>
        </w:rPr>
        <w:instrText>‑</w:instrText>
      </w:r>
      <w:r w:rsidR="00D556BB">
        <w:instrText>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w:instrText>
      </w:r>
      <w:r w:rsidR="00D556BB">
        <w:rPr>
          <w:rFonts w:ascii="Cambria Math" w:hAnsi="Cambria Math" w:cs="Cambria Math"/>
        </w:rPr>
        <w:instrText>‑</w:instrText>
      </w:r>
      <w:r w:rsidR="00D556BB">
        <w:instrText>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w:instrText>
      </w:r>
      <w:r w:rsidR="00D556BB">
        <w:rPr>
          <w:rFonts w:ascii="Cambria Math" w:hAnsi="Cambria Math" w:cs="Cambria Math"/>
        </w:rPr>
        <w:instrText>‑</w:instrText>
      </w:r>
      <w:r w:rsidR="00D556BB">
        <w:instrText>DOPA-related motor complications. Experimental therapies have tried to restore striatal dopamine by gene-based and cell-based approaches, and most recently, aggregation and cellular transport of α</w:instrText>
      </w:r>
      <w:r w:rsidR="00D556BB">
        <w:rPr>
          <w:rFonts w:ascii="Cambria Math" w:hAnsi="Cambria Math" w:cs="Cambria Math"/>
        </w:rPr>
        <w:instrText>‑</w:instrText>
      </w:r>
      <w:r w:rsidR="00D556BB">
        <w:instrText xml:space="preserve">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fldChar w:fldCharType="separate"/>
      </w:r>
      <w:r w:rsidR="00D556BB" w:rsidRPr="00D556BB">
        <w:rPr>
          <w:rFonts w:ascii="Calibri" w:hAnsi="Calibri" w:cs="Calibri"/>
        </w:rPr>
        <w:t>(Poewe et al., 2017)</w:t>
      </w:r>
      <w:r w:rsidR="00D556BB">
        <w:fldChar w:fldCharType="end"/>
      </w:r>
      <w:r w:rsidR="004C7615">
        <w:t>.</w:t>
      </w:r>
      <w:r w:rsidR="001B40C0">
        <w:t xml:space="preserve"> Die THS basiert auf dem Befund, dass hochfrequente elek</w:t>
      </w:r>
      <w:r w:rsidR="00EB624F">
        <w:t>trische Stimulation von 100 – 200 H</w:t>
      </w:r>
      <w:r w:rsidR="001B40C0">
        <w:t>z auf bestimmte Bereiche des Gehirns den gleichen Effekt hat wi</w:t>
      </w:r>
      <w:r w:rsidR="00D556BB">
        <w:t xml:space="preserve">e eine Läsion </w:t>
      </w:r>
      <w:r w:rsidR="00D556BB">
        <w:fldChar w:fldCharType="begin"/>
      </w:r>
      <w:r w:rsidR="00D556BB">
        <w:instrText xml:space="preserve"> ADDIN ZOTERO_ITEM CSL_CITATION {"citationID":"sANab6Oo","properties":{"formattedCitation":"(Poewe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w:instrText>
      </w:r>
      <w:r w:rsidR="00D556BB">
        <w:rPr>
          <w:rFonts w:ascii="Cambria Math" w:hAnsi="Cambria Math" w:cs="Cambria Math"/>
        </w:rPr>
        <w:instrText>‑</w:instrText>
      </w:r>
      <w:r w:rsidR="00D556BB">
        <w:instrText>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w:instrText>
      </w:r>
      <w:r w:rsidR="00D556BB">
        <w:rPr>
          <w:rFonts w:ascii="Cambria Math" w:hAnsi="Cambria Math" w:cs="Cambria Math"/>
        </w:rPr>
        <w:instrText>‑</w:instrText>
      </w:r>
      <w:r w:rsidR="00D556BB">
        <w:instrText>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w:instrText>
      </w:r>
      <w:r w:rsidR="00D556BB">
        <w:rPr>
          <w:rFonts w:ascii="Cambria Math" w:hAnsi="Cambria Math" w:cs="Cambria Math"/>
        </w:rPr>
        <w:instrText>‑</w:instrText>
      </w:r>
      <w:r w:rsidR="00D556BB">
        <w:instrText>DOPA-related motor complications. Experimental therapies have tried to restore striatal dopamine by gene-based and cell-based approaches, and most recently, aggregation and cellular transport of α</w:instrText>
      </w:r>
      <w:r w:rsidR="00D556BB">
        <w:rPr>
          <w:rFonts w:ascii="Cambria Math" w:hAnsi="Cambria Math" w:cs="Cambria Math"/>
        </w:rPr>
        <w:instrText>‑</w:instrText>
      </w:r>
      <w:r w:rsidR="00D556BB">
        <w:instrText xml:space="preserve">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fldChar w:fldCharType="separate"/>
      </w:r>
      <w:r w:rsidR="00D556BB" w:rsidRPr="00D556BB">
        <w:rPr>
          <w:rFonts w:ascii="Calibri" w:hAnsi="Calibri" w:cs="Calibri"/>
        </w:rPr>
        <w:t>(Poewe et al., 2017)</w:t>
      </w:r>
      <w:r w:rsidR="00D556BB">
        <w:fldChar w:fldCharType="end"/>
      </w:r>
      <w:r w:rsidR="00C00E12">
        <w:t>.</w:t>
      </w:r>
      <w:r w:rsidR="001B40C0">
        <w:t xml:space="preserve"> </w:t>
      </w:r>
      <w:r w:rsidR="00C00E12">
        <w:t>Nebeneffekte, die durch die Stimulation induziert sind, sind im Gegensatz zu einer Läsion reversibel und durch Anpassung der Einstellungen kann ein Kompromiss zwischen der Abwesenheit von Nebeneffekten und der Verbesserung der Symptomat</w:t>
      </w:r>
      <w:r w:rsidR="00D556BB">
        <w:t xml:space="preserve">ik bewirkt werden </w:t>
      </w:r>
      <w:r w:rsidR="00D556BB">
        <w:fldChar w:fldCharType="begin"/>
      </w:r>
      <w:r w:rsidR="00D556BB">
        <w:instrText xml:space="preserve"> ADDIN ZOTERO_ITEM CSL_CITATION {"citationID":"bvUUHcyY","properties":{"formattedCitation":"(Benabid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D556BB">
        <w:fldChar w:fldCharType="separate"/>
      </w:r>
      <w:r w:rsidR="00D556BB" w:rsidRPr="00D556BB">
        <w:rPr>
          <w:rFonts w:ascii="Calibri" w:hAnsi="Calibri" w:cs="Calibri"/>
        </w:rPr>
        <w:t>(Benabid et al., 2009)</w:t>
      </w:r>
      <w:r w:rsidR="00D556BB">
        <w:fldChar w:fldCharType="end"/>
      </w:r>
      <w:r w:rsidR="00C54190">
        <w:t>. Die Behandlung mit THS ist seitdem ausführlich klinisch getestet und untersucht worden.</w:t>
      </w:r>
      <w:r w:rsidR="00267210">
        <w:t xml:space="preserve"> </w:t>
      </w:r>
      <w:r w:rsidR="004C3764">
        <w:t>In ei</w:t>
      </w:r>
      <w:r w:rsidR="00D556BB">
        <w:t xml:space="preserve">nem Review von </w:t>
      </w:r>
      <w:r w:rsidR="00F26471">
        <w:fldChar w:fldCharType="begin"/>
      </w:r>
      <w:r w:rsidR="009244FB">
        <w:instrText xml:space="preserve"> ADDIN ZOTERO_ITEM CSL_CITATION {"citationID":"yMLhCwFj","properties":{"formattedCitation":"(Fox et al., 2011)","plainCitation":"(Fox et al., 2011)","dontUpdate":true,"noteIndex":0},"citationItems":[{"id":92,"uris":["http://zotero.org/users/local/AhaM3qLx/items/E4MHYZ3P"],"itemData":{"id":92,"type":"article-journal","container-title":"Movement Disorders","DOI":"10.1002/mds.23829","ISSN":"08853185","issue":"S3","journalAbbreviation":"Mov. Disord.","language":"en","page":"S2-S41","source":"DOI.org (Crossref)","title":"The Movement Disorder Society Evidence-Based Medicine Review Update: Treatments for the motor symptoms of Parkinson's disease","title-short":"The Movement Disorder Society Evidence-Based Medicine Review Update","volume":"26","author":[{"family":"Fox","given":"Susan H."},{"family":"Katzenschlager","given":"Regina"},{"family":"Lim","given":"Shen-Yang"},{"family":"Ravina","given":"Bernard"},{"family":"Seppi","given":"Klaus"},{"family":"Coelho","given":"Miguel"},{"family":"Poewe","given":"Werner"},{"family":"Rascol","given":"Olivier"},{"family":"Goetz","given":"Christopher G."},{"family":"Sampaio","given":"Cristina"}],"issued":{"date-parts":[["2011",10]]}}}],"schema":"https://github.com/citation-style-language/schema/raw/master/csl-citation.json"} </w:instrText>
      </w:r>
      <w:r w:rsidR="00F26471">
        <w:fldChar w:fldCharType="separate"/>
      </w:r>
      <w:r w:rsidR="00F26471">
        <w:rPr>
          <w:rFonts w:ascii="Calibri" w:hAnsi="Calibri" w:cs="Calibri"/>
        </w:rPr>
        <w:t>Fox et al.</w:t>
      </w:r>
      <w:r w:rsidR="00F26471" w:rsidRPr="00F26471">
        <w:rPr>
          <w:rFonts w:ascii="Calibri" w:hAnsi="Calibri" w:cs="Calibri"/>
        </w:rPr>
        <w:t xml:space="preserve"> </w:t>
      </w:r>
      <w:r w:rsidR="00F26471">
        <w:rPr>
          <w:rFonts w:ascii="Calibri" w:hAnsi="Calibri" w:cs="Calibri"/>
        </w:rPr>
        <w:t>(</w:t>
      </w:r>
      <w:r w:rsidR="00F26471" w:rsidRPr="00F26471">
        <w:rPr>
          <w:rFonts w:ascii="Calibri" w:hAnsi="Calibri" w:cs="Calibri"/>
        </w:rPr>
        <w:t>2011)</w:t>
      </w:r>
      <w:r w:rsidR="00F26471">
        <w:fldChar w:fldCharType="end"/>
      </w:r>
      <w:r w:rsidR="004C3764">
        <w:t xml:space="preserve"> wurden einige Studien zusammengefasst, die darauf hinweisen, dass die </w:t>
      </w:r>
      <w:proofErr w:type="spellStart"/>
      <w:r w:rsidR="004C3764">
        <w:t>bilatertale</w:t>
      </w:r>
      <w:proofErr w:type="spellEnd"/>
      <w:r w:rsidR="004C3764">
        <w:t xml:space="preserve"> DBS der STK wirksam ist für die Behandlung von </w:t>
      </w:r>
      <w:proofErr w:type="spellStart"/>
      <w:r w:rsidR="004C3764">
        <w:t>Dyskinesien</w:t>
      </w:r>
      <w:proofErr w:type="spellEnd"/>
      <w:r w:rsidR="004C3764">
        <w:t xml:space="preserve"> und motorische Schwankungen.</w:t>
      </w:r>
      <w:r w:rsidR="00381D25">
        <w:t xml:space="preserve"> Es konnte außerdem gezeigt werden, dass die bilaterale THS des STK die Aktivitäten im Alltag, die motorischen Symptome und die Lebensqualität erheblich verbessert, selbst im Vergleich zur bestmöglichen medikamentösen B</w:t>
      </w:r>
      <w:r w:rsidR="00F26471">
        <w:t xml:space="preserve">ehandlung </w:t>
      </w:r>
      <w:r w:rsidR="00F26471">
        <w:fldChar w:fldCharType="begin"/>
      </w:r>
      <w:r w:rsidR="00F26471">
        <w:instrText xml:space="preserve"> ADDIN ZOTERO_ITEM CSL_CITATION {"citationID":"ZAWdlpFA","properties":{"formattedCitation":"(Deuschl &amp; Agid, 2013)","plainCitation":"(Deuschl &amp; Agid, 2013)","noteIndex":0},"citationItems":[{"id":34,"uris":["http://zotero.org/users/local/AhaM3qLx/items/B4PAAJWZ"],"itemData":{"id":34,"type":"article-journal","container-title":"The Lancet Neurology","DOI":"10.1016/S1474-4422(13)70151-0","ISSN":"14744422","issue":"10","journalAbbreviation":"The Lancet Neurology","language":"en","page":"1025-1034","source":"DOI.org (Crossref)","title":"Subthalamic neurostimulation for Parkinson's disease with early fluctuations: balancing the risks and benefits","title-short":"Subthalamic neurostimulation for Parkinson's disease with early fluctuations","volume":"12","author":[{"family":"Deuschl","given":"Günther"},{"family":"Agid","given":"Yves"}],"issued":{"date-parts":[["2013",10]]}}}],"schema":"https://github.com/citation-style-language/schema/raw/master/csl-citation.json"} </w:instrText>
      </w:r>
      <w:r w:rsidR="00F26471">
        <w:fldChar w:fldCharType="separate"/>
      </w:r>
      <w:r w:rsidR="00F26471" w:rsidRPr="00F26471">
        <w:rPr>
          <w:rFonts w:ascii="Calibri" w:hAnsi="Calibri" w:cs="Calibri"/>
        </w:rPr>
        <w:t>(Deuschl &amp; Agid, 2013)</w:t>
      </w:r>
      <w:r w:rsidR="00F26471">
        <w:fldChar w:fldCharType="end"/>
      </w:r>
      <w:r w:rsidR="00381D25">
        <w:t>.</w:t>
      </w:r>
      <w:r w:rsidR="004C3764">
        <w:t xml:space="preserve"> Aufgrund dieser Befunde</w:t>
      </w:r>
      <w:r w:rsidR="00EA3C7A">
        <w:t>, ist die THS des STK</w:t>
      </w:r>
      <w:r w:rsidR="00C54190">
        <w:t xml:space="preserve"> schon seit einiger Zeit eine etablierte und evidenzbasierte Option zur Behandlung von motorischen Symptomen bei fortgeschrittener Erkrankung an Morbus Parkinson </w:t>
      </w:r>
      <w:r w:rsidR="00F26471">
        <w:fldChar w:fldCharType="begin"/>
      </w:r>
      <w:r w:rsidR="00F26471">
        <w:instrText xml:space="preserve"> ADDIN ZOTERO_ITEM CSL_CITATION {"citationID":"PXOOb2nl","properties":{"formattedCitation":"(Poewe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w:instrText>
      </w:r>
      <w:r w:rsidR="00F26471">
        <w:rPr>
          <w:rFonts w:ascii="Cambria Math" w:hAnsi="Cambria Math" w:cs="Cambria Math"/>
        </w:rPr>
        <w:instrText>‑</w:instrText>
      </w:r>
      <w:r w:rsidR="00F26471">
        <w:instrText>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w:instrText>
      </w:r>
      <w:r w:rsidR="00F26471">
        <w:rPr>
          <w:rFonts w:ascii="Cambria Math" w:hAnsi="Cambria Math" w:cs="Cambria Math"/>
        </w:rPr>
        <w:instrText>‑</w:instrText>
      </w:r>
      <w:r w:rsidR="00F26471">
        <w:instrText>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w:instrText>
      </w:r>
      <w:r w:rsidR="00F26471">
        <w:rPr>
          <w:rFonts w:ascii="Cambria Math" w:hAnsi="Cambria Math" w:cs="Cambria Math"/>
        </w:rPr>
        <w:instrText>‑</w:instrText>
      </w:r>
      <w:r w:rsidR="00F26471">
        <w:instrText>DOPA-related motor complications. Experimental therapies have tried to restore striatal dopamine by gene-based and cell-based approaches, and most recently, aggregation and cellular transport of α</w:instrText>
      </w:r>
      <w:r w:rsidR="00F26471">
        <w:rPr>
          <w:rFonts w:ascii="Cambria Math" w:hAnsi="Cambria Math" w:cs="Cambria Math"/>
        </w:rPr>
        <w:instrText>‑</w:instrText>
      </w:r>
      <w:r w:rsidR="00F26471">
        <w:instrText xml:space="preserve">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fldChar w:fldCharType="separate"/>
      </w:r>
      <w:r w:rsidR="00F26471" w:rsidRPr="00F26471">
        <w:rPr>
          <w:rFonts w:ascii="Calibri" w:hAnsi="Calibri" w:cs="Calibri"/>
        </w:rPr>
        <w:t>(Poewe et al., 2017)</w:t>
      </w:r>
      <w:r w:rsidR="00F26471">
        <w:fldChar w:fldCharType="end"/>
      </w:r>
      <w:r w:rsidR="00C54190">
        <w:t>.</w:t>
      </w:r>
      <w:r w:rsidR="00FC5862">
        <w:t xml:space="preserve"> </w:t>
      </w:r>
    </w:p>
    <w:p w:rsidR="00997325" w:rsidRDefault="004C3764" w:rsidP="000D188D">
      <w:r>
        <w:t xml:space="preserve">Die THS des STK weist die gleiche Verringerung der Power im </w:t>
      </w:r>
      <w:proofErr w:type="spellStart"/>
      <w:r>
        <w:t>Betaband</w:t>
      </w:r>
      <w:proofErr w:type="spellEnd"/>
      <w:r>
        <w:t xml:space="preserve"> auf, die mit einer verringerten motorischen Symptomatik ass</w:t>
      </w:r>
      <w:r w:rsidR="00F26471">
        <w:t xml:space="preserve">oziiert ist </w:t>
      </w:r>
      <w:r w:rsidR="00F26471">
        <w:fldChar w:fldCharType="begin"/>
      </w:r>
      <w:r w:rsidR="00F26471">
        <w:instrText xml:space="preserve"> ADDIN ZOTERO_ITEM CSL_CITATION {"citationID":"dqn5pq0U","properties":{"formattedCitation":"(K\\uc0\\u252{}hn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F26471">
        <w:fldChar w:fldCharType="separate"/>
      </w:r>
      <w:r w:rsidR="00F26471" w:rsidRPr="00F26471">
        <w:rPr>
          <w:rFonts w:ascii="Calibri" w:hAnsi="Calibri" w:cs="Calibri"/>
          <w:szCs w:val="24"/>
        </w:rPr>
        <w:t>(Kühn et al., 2006)</w:t>
      </w:r>
      <w:r w:rsidR="00F26471">
        <w:fldChar w:fldCharType="end"/>
      </w:r>
      <w:r>
        <w:t xml:space="preserve">. </w:t>
      </w:r>
      <w:r w:rsidR="00FC5862">
        <w:t xml:space="preserve">Da die Verringerung der Symptomatik bei der Behandlung mit THS und der Behandlung mit </w:t>
      </w:r>
      <w:proofErr w:type="spellStart"/>
      <w:r w:rsidR="00FC5862">
        <w:t>Levodopa</w:t>
      </w:r>
      <w:proofErr w:type="spellEnd"/>
      <w:r w:rsidR="00FC5862">
        <w:t xml:space="preserve"> a</w:t>
      </w:r>
      <w:r w:rsidR="00EB624F">
        <w:t>uf demselben Mechanismus basieren</w:t>
      </w:r>
      <w:r w:rsidR="00FC5862">
        <w:t>, sprechen Patient*innen meist</w:t>
      </w:r>
      <w:r w:rsidR="0092475B">
        <w:t xml:space="preserve">ens nicht auf die THS an, wenn </w:t>
      </w:r>
      <w:r w:rsidR="00FC5862">
        <w:t xml:space="preserve">die Behandlung mit </w:t>
      </w:r>
      <w:proofErr w:type="spellStart"/>
      <w:r w:rsidR="00FC5862">
        <w:t>dopaminerger</w:t>
      </w:r>
      <w:proofErr w:type="spellEnd"/>
      <w:r w:rsidR="00FC5862">
        <w:t xml:space="preserve"> Medikation bereits keine Wirkung </w:t>
      </w:r>
      <w:r w:rsidR="00087CA9">
        <w:t>ge</w:t>
      </w:r>
      <w:r w:rsidR="00FC5862">
        <w:t>zeigt</w:t>
      </w:r>
      <w:r w:rsidR="00087CA9">
        <w:t xml:space="preserve"> hat</w:t>
      </w:r>
      <w:r w:rsidR="00F26471">
        <w:t xml:space="preserve"> </w:t>
      </w:r>
      <w:r w:rsidR="00F26471">
        <w:fldChar w:fldCharType="begin"/>
      </w:r>
      <w:r w:rsidR="00F26471">
        <w:instrText xml:space="preserve"> ADDIN ZOTERO_ITEM CSL_CITATION {"citationID":"ebADCWQ7","properties":{"formattedCitation":"(Poewe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w:instrText>
      </w:r>
      <w:r w:rsidR="00F26471">
        <w:rPr>
          <w:rFonts w:ascii="Cambria Math" w:hAnsi="Cambria Math" w:cs="Cambria Math"/>
        </w:rPr>
        <w:instrText>‑</w:instrText>
      </w:r>
      <w:r w:rsidR="00F26471">
        <w:instrText>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w:instrText>
      </w:r>
      <w:r w:rsidR="00F26471">
        <w:rPr>
          <w:rFonts w:ascii="Cambria Math" w:hAnsi="Cambria Math" w:cs="Cambria Math"/>
        </w:rPr>
        <w:instrText>‑</w:instrText>
      </w:r>
      <w:r w:rsidR="00F26471">
        <w:instrText>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w:instrText>
      </w:r>
      <w:r w:rsidR="00F26471">
        <w:rPr>
          <w:rFonts w:ascii="Cambria Math" w:hAnsi="Cambria Math" w:cs="Cambria Math"/>
        </w:rPr>
        <w:instrText>‑</w:instrText>
      </w:r>
      <w:r w:rsidR="00F26471">
        <w:instrText>DOPA-related motor complications. Experimental therapies have tried to restore striatal dopamine by gene-based and cell-based approaches, and most recently, aggregation and cellular transport of α</w:instrText>
      </w:r>
      <w:r w:rsidR="00F26471">
        <w:rPr>
          <w:rFonts w:ascii="Cambria Math" w:hAnsi="Cambria Math" w:cs="Cambria Math"/>
        </w:rPr>
        <w:instrText>‑</w:instrText>
      </w:r>
      <w:r w:rsidR="00F26471">
        <w:instrText xml:space="preserve">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fldChar w:fldCharType="separate"/>
      </w:r>
      <w:r w:rsidR="00F26471" w:rsidRPr="00F26471">
        <w:rPr>
          <w:rFonts w:ascii="Calibri" w:hAnsi="Calibri" w:cs="Calibri"/>
        </w:rPr>
        <w:t>(Poewe et al., 2017)</w:t>
      </w:r>
      <w:r w:rsidR="00F26471">
        <w:fldChar w:fldCharType="end"/>
      </w:r>
      <w:r w:rsidR="00FC5862">
        <w:t>. Die besten Voraussetzung</w:t>
      </w:r>
      <w:r w:rsidR="009829BB">
        <w:t>en sind daher</w:t>
      </w:r>
      <w:r w:rsidR="00BB72C8">
        <w:t xml:space="preserve"> erfüllt</w:t>
      </w:r>
      <w:r w:rsidR="009829BB">
        <w:t xml:space="preserve">, wenn </w:t>
      </w:r>
      <w:r w:rsidR="00B94287">
        <w:t xml:space="preserve">Patient*innen mit Morbus Parkinson sehr gut auf </w:t>
      </w:r>
      <w:proofErr w:type="spellStart"/>
      <w:r w:rsidR="00B94287">
        <w:t>Levodopa</w:t>
      </w:r>
      <w:proofErr w:type="spellEnd"/>
      <w:r w:rsidR="00B94287">
        <w:t xml:space="preserve"> reagieren, aber langfristig neue motorische Symptome durch</w:t>
      </w:r>
      <w:r w:rsidR="006C5A40">
        <w:t xml:space="preserve"> die Medikation entstanden sind</w:t>
      </w:r>
      <w:r w:rsidR="00B94287">
        <w:t xml:space="preserve"> </w:t>
      </w:r>
      <w:r w:rsidR="00F26471">
        <w:fldChar w:fldCharType="begin"/>
      </w:r>
      <w:r w:rsidR="00F26471">
        <w:instrText xml:space="preserve"> ADDIN ZOTERO_ITEM CSL_CITATION {"citationID":"M5Lpxzun","properties":{"formattedCitation":"(Morgante et al., 2007)","plainCitation":"(Morgante et al., 2007)","noteIndex":0},"citationItems":[{"id":94,"uris":["http://zotero.org/users/local/AhaM3qLx/items/MQZ8ZDE6"],"itemData":{"id":94,"type":"article-journal","abstract":"We used a CAPSIT-based questionnaire to estimate the percentage of parkinsonian patients suitable for subthalamic nucleus (STN) deep brain stimulation (DBS) in a movement disorders clinic. We found that out of 641 consecutive PD patients only 1.6% fulﬁlled strict STN-DBS criteria. When we applied more ﬂexible criteria, the percentage of eligibility increased to 4.5%. Most patients (60%) were ineligible because they did not satisfy multiple questionnaire items. Items related to disease severity were responsible for the largest number of exclusions. This knowledge will help make decisions on resource allocation in centres wishing to start DBS surgery.","container-title":"Parkinsonism &amp; Related Disorders","DOI":"10.1016/j.parkreldis.2006.12.013","ISSN":"13538020","issue":"8","journalAbbreviation":"Parkinsonism &amp; Related Disorders","language":"en","page":"528-531","source":"DOI.org (Crossref)","title":"How many parkinsonian patients are suitable candidates for deep brain stimulation of subthalamic nucleus? Results of a questionnaire","title-short":"How many parkinsonian patients are suitable candidates for deep brain stimulation of subthalamic nucleus?","volume":"13","author":[{"family":"Morgante","given":"Letterio"},{"family":"Morgante","given":"Francesca"},{"family":"Moro","given":"Elena"},{"family":"Epifanio","given":"Antonio"},{"family":"Girlanda","given":"Paolo"},{"family":"Ragonese","given":"Paolo"},{"family":"Antonini","given":"Angelo"},{"family":"Barone","given":"Paolo"},{"family":"Bonuccelli","given":"Ubaldo"},{"family":"Contarino","given":"Maria Fiorella"},{"family":"Capus","given":"Livio"},{"family":"Ceravolo","given":"Maria Gabriella"},{"family":"Marconi","given":"Roberto"},{"family":"Ceravolo","given":"Roberto"},{"family":"D’Amelio","given":"Marco"},{"family":"Savettieri","given":"Giovanni"}],"issued":{"date-parts":[["2007",12]]}}}],"schema":"https://github.com/citation-style-language/schema/raw/master/csl-citation.json"} </w:instrText>
      </w:r>
      <w:r w:rsidR="00F26471">
        <w:fldChar w:fldCharType="separate"/>
      </w:r>
      <w:r w:rsidR="00F26471" w:rsidRPr="00F26471">
        <w:rPr>
          <w:rFonts w:ascii="Calibri" w:hAnsi="Calibri" w:cs="Calibri"/>
        </w:rPr>
        <w:t>(Morgante et al., 2007)</w:t>
      </w:r>
      <w:r w:rsidR="00F26471">
        <w:fldChar w:fldCharType="end"/>
      </w:r>
      <w:r w:rsidR="00B94287">
        <w:t xml:space="preserve">. </w:t>
      </w:r>
      <w:r w:rsidR="00997325">
        <w:t>Nach der Operation wird die Dosie</w:t>
      </w:r>
      <w:r w:rsidR="00087CA9">
        <w:t>rung der Medikation schrittweise</w:t>
      </w:r>
      <w:r w:rsidR="00997325">
        <w:t xml:space="preserve"> runtergesetzt, allerdings trotzdem nicht vollständig abgesetzt. Der Globus </w:t>
      </w:r>
      <w:proofErr w:type="spellStart"/>
      <w:r w:rsidR="00997325">
        <w:t>Pallidus</w:t>
      </w:r>
      <w:proofErr w:type="spellEnd"/>
      <w:r w:rsidR="00997325">
        <w:t xml:space="preserve"> </w:t>
      </w:r>
      <w:proofErr w:type="spellStart"/>
      <w:r w:rsidR="00997325">
        <w:t>Internus</w:t>
      </w:r>
      <w:proofErr w:type="spellEnd"/>
      <w:r w:rsidR="00997325">
        <w:t xml:space="preserve"> ist ein alternativ mögliches Ziel für eine Operation zur Behandlung der motorischen Symptome, erlaubt aber häufig nicht die Reduktion der Medika</w:t>
      </w:r>
      <w:r w:rsidR="00F26471">
        <w:t xml:space="preserve">tion </w:t>
      </w:r>
      <w:r w:rsidR="00F26471">
        <w:fldChar w:fldCharType="begin"/>
      </w:r>
      <w:r w:rsidR="00F26471">
        <w:instrText xml:space="preserve"> ADDIN ZOTERO_ITEM CSL_CITATION {"citationID":"iVtrJWDO","properties":{"formattedCitation":"(Odekerken et al., 2013)","plainCitation":"(Odekerken et al., 2013)","noteIndex":0},"citationItems":[{"id":46,"uris":["http://zotero.org/users/local/AhaM3qLx/items/HLTLAFJ7"],"itemData":{"id":46,"type":"article-journal","abstract":"Background Patients with advanced Parkinson’s disease often have rapid swings between mobility and immobility, and many respond unsatisfactorily to adjustments in pharmacological treatment. We assessed whether globus pallidus pars interna (GPi) deep brain stimulation (DBS) gives greater functional improvement than does subthalamic nucleus (STN) DBS.","container-title":"The Lancet Neurology","DOI":"10.1016/S1474-4422(12)70264-8","ISSN":"14744422","issue":"1","journalAbbreviation":"The Lancet Neurology","language":"en","page":"37-44","source":"DOI.org (Crossref)","title":"Subthalamic nucleus versus globus pallidus bilateral deep brain stimulation for advanced Parkinson's disease (NSTAPS study): a randomised controlled trial","title-short":"Subthalamic nucleus versus globus pallidus bilateral deep brain stimulation for advanced Parkinson's disease (NSTAPS study)","volume":"12","author":[{"family":"Odekerken","given":"Vincent JJ"},{"family":"Laar","given":"Teus","non-dropping-particle":"van"},{"family":"Staal","given":"Michiel J"},{"family":"Mosch","given":"Arne"},{"family":"Hoffmann","given":"Carel FE"},{"family":"Nijssen","given":"Peter CG"},{"family":"Beute","given":"Guus N"},{"family":"Vugt","given":"Jeroen PP","non-dropping-particle":"van"},{"family":"Lenders","given":"Mathieu WPM"},{"family":"Contarino","given":"M Fiorella"},{"family":"Mink","given":"Marieke SJ"},{"family":"Bour","given":"Lo J"},{"family":"Munckhof","given":"Pepijn","non-dropping-particle":"van den"},{"family":"Schmand","given":"Ben A"},{"family":"Haan","given":"Rob J","non-dropping-particle":"de"},{"family":"Schuurman","given":"P Richard"},{"family":"Bie","given":"Rob MA","non-dropping-particle":"de"}],"issued":{"date-parts":[["2013",1]]}}}],"schema":"https://github.com/citation-style-language/schema/raw/master/csl-citation.json"} </w:instrText>
      </w:r>
      <w:r w:rsidR="00F26471">
        <w:fldChar w:fldCharType="separate"/>
      </w:r>
      <w:r w:rsidR="00F26471" w:rsidRPr="00F26471">
        <w:rPr>
          <w:rFonts w:ascii="Calibri" w:hAnsi="Calibri" w:cs="Calibri"/>
        </w:rPr>
        <w:t>(Odekerken et al., 2013)</w:t>
      </w:r>
      <w:r w:rsidR="00F26471">
        <w:fldChar w:fldCharType="end"/>
      </w:r>
      <w:r w:rsidR="00997325">
        <w:t>.</w:t>
      </w:r>
    </w:p>
    <w:p w:rsidR="00183EF5" w:rsidRDefault="00FE115F" w:rsidP="00441A07">
      <w:r>
        <w:t>Auch die THS ist</w:t>
      </w:r>
      <w:r w:rsidR="00183EF5">
        <w:t xml:space="preserve"> </w:t>
      </w:r>
      <w:r>
        <w:t xml:space="preserve">jedoch </w:t>
      </w:r>
      <w:r w:rsidR="00183EF5">
        <w:t xml:space="preserve">nicht frei von Komplikationen. </w:t>
      </w:r>
      <w:r w:rsidR="00A92E93">
        <w:t>Wegen der geringen Gr</w:t>
      </w:r>
      <w:r>
        <w:t xml:space="preserve">öße des </w:t>
      </w:r>
      <w:r w:rsidR="00EB624F">
        <w:t>senso</w:t>
      </w:r>
      <w:r>
        <w:t>motorischen Bereichs im</w:t>
      </w:r>
      <w:r w:rsidR="00A92E93">
        <w:t xml:space="preserve"> STK, muss die Elektrode sehr präzise positioniert werden, da die Spannung sich sonst auf umliegende Bereiche ausbreite</w:t>
      </w:r>
      <w:r w:rsidR="00F26471">
        <w:t xml:space="preserve">n könnte </w:t>
      </w:r>
      <w:r w:rsidR="00F26471">
        <w:fldChar w:fldCharType="begin"/>
      </w:r>
      <w:r w:rsidR="00F26471">
        <w:instrText xml:space="preserve"> ADDIN ZOTERO_ITEM CSL_CITATION {"citationID":"QljVB7rs","properties":{"formattedCitation":"(Thompson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fldChar w:fldCharType="separate"/>
      </w:r>
      <w:r w:rsidR="00F26471" w:rsidRPr="00F26471">
        <w:rPr>
          <w:rFonts w:ascii="Calibri" w:hAnsi="Calibri" w:cs="Calibri"/>
        </w:rPr>
        <w:t>(Thompson et al., 2018)</w:t>
      </w:r>
      <w:r w:rsidR="00F26471">
        <w:fldChar w:fldCharType="end"/>
      </w:r>
      <w:r w:rsidR="00A92E93">
        <w:t xml:space="preserve">. </w:t>
      </w:r>
      <w:r w:rsidR="00A458C8">
        <w:t>Dabei kann es zu Nebeneffekten kommen wie Sprachstörungen, Kontraktionen, Parästhesien,</w:t>
      </w:r>
      <w:r w:rsidR="00C36D16">
        <w:t xml:space="preserve"> Störungen der </w:t>
      </w:r>
      <w:r w:rsidR="00C36D16">
        <w:lastRenderedPageBreak/>
        <w:t>Augenbewegung,</w:t>
      </w:r>
      <w:r w:rsidR="00A458C8">
        <w:t xml:space="preserve"> psychiatrische Symptome </w:t>
      </w:r>
      <w:r w:rsidR="00F26471">
        <w:t xml:space="preserve">und noch viele weitere </w:t>
      </w:r>
      <w:r w:rsidR="00F26471">
        <w:fldChar w:fldCharType="begin"/>
      </w:r>
      <w:r w:rsidR="00F26471">
        <w:instrText xml:space="preserve"> ADDIN ZOTERO_ITEM CSL_CITATION {"citationID":"MJPIszlH","properties":{"formattedCitation":"(Benabid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F26471">
        <w:fldChar w:fldCharType="separate"/>
      </w:r>
      <w:r w:rsidR="00F26471" w:rsidRPr="00F26471">
        <w:rPr>
          <w:rFonts w:ascii="Calibri" w:hAnsi="Calibri" w:cs="Calibri"/>
        </w:rPr>
        <w:t>(Benabid et al., 2009)</w:t>
      </w:r>
      <w:r w:rsidR="00F26471">
        <w:fldChar w:fldCharType="end"/>
      </w:r>
      <w:r w:rsidR="00A458C8">
        <w:t xml:space="preserve">. </w:t>
      </w:r>
      <w:r w:rsidR="00FF4E18">
        <w:t>Deshalb sind Neurochirurgen auf bildgebende Verfahren, Elektrophysiologie, kinästhetische Reaktionen und dem Testen der Stim</w:t>
      </w:r>
      <w:r w:rsidR="00D82EED">
        <w:t>ulation angewiesen</w:t>
      </w:r>
      <w:r w:rsidR="00761855">
        <w:t xml:space="preserve">, wie es in der Arbeit von </w:t>
      </w:r>
      <w:r w:rsidR="00F26471">
        <w:fldChar w:fldCharType="begin"/>
      </w:r>
      <w:r w:rsidR="009244FB">
        <w:instrText xml:space="preserve"> ADDIN ZOTERO_ITEM CSL_CITATION {"citationID":"n2qPUwW6","properties":{"formattedCitation":"(Abosch et al., 2013)","plainCitation":"(Abosch et al., 2013)","dontUpdate":true,"noteIndex":0},"citationItems":[{"id":29,"uris":["http://zotero.org/users/local/AhaM3qLx/items/WNN5Y6WY"],"itemData":{"id":29,"type":"article-journal","container-title":"Stereotactic and Functional Neurosurgery","DOI":"10.1159/000343207","ISSN":"1011-6125, 1423-0372","issue":"1","journalAbbreviation":"Stereotact Funct Neurosurg","language":"en","page":"1-11","source":"DOI.org (Crossref)","title":"An International Survey of Deep Brain Stimulation Procedural Steps","volume":"91","author":[{"family":"Abosch","given":"Aviva"},{"family":"Timmermann","given":"Lars"},{"family":"Bartley","given":"Sylvia"},{"family":"Rietkerk","given":"Hans Guido"},{"family":"Whiting","given":"Donald"},{"family":"Connolly","given":"Patrick J."},{"family":"Lanctin","given":"David"},{"family":"Hariz","given":"Marwan I."}],"issued":{"date-parts":[["2013"]]}}}],"schema":"https://github.com/citation-style-language/schema/raw/master/csl-citation.json"} </w:instrText>
      </w:r>
      <w:r w:rsidR="00F26471">
        <w:fldChar w:fldCharType="separate"/>
      </w:r>
      <w:r w:rsidR="00F26471">
        <w:rPr>
          <w:rFonts w:ascii="Calibri" w:hAnsi="Calibri" w:cs="Calibri"/>
        </w:rPr>
        <w:t>Abosch et al.</w:t>
      </w:r>
      <w:r w:rsidR="00F26471" w:rsidRPr="00F26471">
        <w:rPr>
          <w:rFonts w:ascii="Calibri" w:hAnsi="Calibri" w:cs="Calibri"/>
        </w:rPr>
        <w:t xml:space="preserve"> </w:t>
      </w:r>
      <w:r w:rsidR="00F26471">
        <w:rPr>
          <w:rFonts w:ascii="Calibri" w:hAnsi="Calibri" w:cs="Calibri"/>
        </w:rPr>
        <w:t>(</w:t>
      </w:r>
      <w:r w:rsidR="00F26471" w:rsidRPr="00F26471">
        <w:rPr>
          <w:rFonts w:ascii="Calibri" w:hAnsi="Calibri" w:cs="Calibri"/>
        </w:rPr>
        <w:t>2013)</w:t>
      </w:r>
      <w:r w:rsidR="00F26471">
        <w:fldChar w:fldCharType="end"/>
      </w:r>
      <w:r w:rsidR="00761855">
        <w:t xml:space="preserve"> über das Verfahren der DBS beschrieben ist. Nach dieser Arbeit basiert der Standard</w:t>
      </w:r>
      <w:r w:rsidR="00FF4E18">
        <w:t xml:space="preserve"> für die optimale </w:t>
      </w:r>
      <w:r w:rsidR="00EA3C7A">
        <w:t>Bestimmung d</w:t>
      </w:r>
      <w:r w:rsidR="006A7676">
        <w:t>es sensomotorischen Bereichs im</w:t>
      </w:r>
      <w:r w:rsidR="00EA3C7A">
        <w:t xml:space="preserve"> STK auf Mikr</w:t>
      </w:r>
      <w:r w:rsidR="00A93D10">
        <w:t>oelektroden-Aufzeichnungen</w:t>
      </w:r>
      <w:r w:rsidR="00EA3C7A">
        <w:t xml:space="preserve"> der neuronalen Aktivität, die in den geplanten Trajekten der </w:t>
      </w:r>
      <w:r w:rsidR="00956D07">
        <w:t xml:space="preserve">Implantation der Elektroden </w:t>
      </w:r>
      <w:r w:rsidR="00D82EED">
        <w:t>zu finden s</w:t>
      </w:r>
      <w:r w:rsidR="008A2AD0">
        <w:t>ind</w:t>
      </w:r>
      <w:r w:rsidR="00E85563">
        <w:t>. Mittels</w:t>
      </w:r>
      <w:r w:rsidR="00EA3C7A">
        <w:t xml:space="preserve"> diese</w:t>
      </w:r>
      <w:r w:rsidR="00E85563">
        <w:t>r</w:t>
      </w:r>
      <w:r w:rsidR="00EA3C7A">
        <w:t xml:space="preserve"> Aufzeichnungen können </w:t>
      </w:r>
      <w:r w:rsidR="00E85563">
        <w:t xml:space="preserve">durch </w:t>
      </w:r>
      <w:proofErr w:type="spellStart"/>
      <w:r w:rsidR="00E85563">
        <w:t>oszillatorische</w:t>
      </w:r>
      <w:proofErr w:type="spellEnd"/>
      <w:r w:rsidR="00E85563">
        <w:t xml:space="preserve"> Aktivitätsmuster die dorsalen und ventralen </w:t>
      </w:r>
      <w:r w:rsidR="00EA3C7A">
        <w:t xml:space="preserve">Grenzen des STK </w:t>
      </w:r>
      <w:r w:rsidR="00E85563">
        <w:t xml:space="preserve">mit hoher Genauigkeit identifiziert werden </w:t>
      </w:r>
      <w:r w:rsidR="00F26471">
        <w:fldChar w:fldCharType="begin"/>
      </w:r>
      <w:r w:rsidR="00F26471">
        <w:instrText xml:space="preserve"> ADDIN ZOTERO_ITEM CSL_CITATION {"citationID":"M8F7SPLj","properties":{"formattedCitation":"(Thompson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fldChar w:fldCharType="separate"/>
      </w:r>
      <w:r w:rsidR="00F26471" w:rsidRPr="00F26471">
        <w:rPr>
          <w:rFonts w:ascii="Calibri" w:hAnsi="Calibri" w:cs="Calibri"/>
        </w:rPr>
        <w:t>(Thompson et al., 2018)</w:t>
      </w:r>
      <w:r w:rsidR="00F26471">
        <w:fldChar w:fldCharType="end"/>
      </w:r>
      <w:r w:rsidR="00B43C14">
        <w:t xml:space="preserve">. </w:t>
      </w:r>
      <w:r w:rsidR="00441A07">
        <w:t>Die THS ist daher eine komplexe Behandlungsmethode, die ein groß</w:t>
      </w:r>
      <w:r w:rsidR="00A93D10">
        <w:t>es Maß an interdisziplinä</w:t>
      </w:r>
      <w:r w:rsidR="00D659D2">
        <w:t>rer</w:t>
      </w:r>
      <w:r w:rsidR="00441A07">
        <w:t xml:space="preserve"> Expertise verlangt, um die Elektrode sinnvoll zu positionieren, die Stimulation anschließend zu programmieren und die Medikation anzupassen </w:t>
      </w:r>
      <w:r w:rsidR="00F26471">
        <w:fldChar w:fldCharType="begin"/>
      </w:r>
      <w:r w:rsidR="00F26471">
        <w:instrText xml:space="preserve"> ADDIN ZOTERO_ITEM CSL_CITATION {"citationID":"JVJjtvDN","properties":{"formattedCitation":"(Poewe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w:instrText>
      </w:r>
      <w:r w:rsidR="00F26471">
        <w:rPr>
          <w:rFonts w:ascii="Cambria Math" w:hAnsi="Cambria Math" w:cs="Cambria Math"/>
        </w:rPr>
        <w:instrText>‑</w:instrText>
      </w:r>
      <w:r w:rsidR="00F26471">
        <w:instrText>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w:instrText>
      </w:r>
      <w:r w:rsidR="00F26471">
        <w:rPr>
          <w:rFonts w:ascii="Cambria Math" w:hAnsi="Cambria Math" w:cs="Cambria Math"/>
        </w:rPr>
        <w:instrText>‑</w:instrText>
      </w:r>
      <w:r w:rsidR="00F26471">
        <w:instrText>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w:instrText>
      </w:r>
      <w:r w:rsidR="00F26471">
        <w:rPr>
          <w:rFonts w:ascii="Cambria Math" w:hAnsi="Cambria Math" w:cs="Cambria Math"/>
        </w:rPr>
        <w:instrText>‑</w:instrText>
      </w:r>
      <w:r w:rsidR="00F26471">
        <w:instrText>DOPA-related motor complications. Experimental therapies have tried to restore striatal dopamine by gene-based and cell-based approaches, and most recently, aggregation and cellular transport of α</w:instrText>
      </w:r>
      <w:r w:rsidR="00F26471">
        <w:rPr>
          <w:rFonts w:ascii="Cambria Math" w:hAnsi="Cambria Math" w:cs="Cambria Math"/>
        </w:rPr>
        <w:instrText>‑</w:instrText>
      </w:r>
      <w:r w:rsidR="00F26471">
        <w:instrText xml:space="preserve">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fldChar w:fldCharType="separate"/>
      </w:r>
      <w:r w:rsidR="00F26471" w:rsidRPr="00F26471">
        <w:rPr>
          <w:rFonts w:ascii="Calibri" w:hAnsi="Calibri" w:cs="Calibri"/>
        </w:rPr>
        <w:t>(Poewe et al., 2017)</w:t>
      </w:r>
      <w:r w:rsidR="00F26471">
        <w:fldChar w:fldCharType="end"/>
      </w:r>
      <w:r w:rsidR="00441A07">
        <w:t>. Um die Elektrode sinnvoll zu positionieren, ist die Interpretation dieser elektrophysiologischen Aktivitätsmuster abhängig von erfahrenen Neuropsychologen weshalb dieses Vorgehen teilweise auch subjektiven Entsche</w:t>
      </w:r>
      <w:r w:rsidR="00F26471">
        <w:t xml:space="preserve">idungen unterliegt </w:t>
      </w:r>
      <w:r w:rsidR="00F26471">
        <w:fldChar w:fldCharType="begin"/>
      </w:r>
      <w:r w:rsidR="00F26471">
        <w:instrText xml:space="preserve"> ADDIN ZOTERO_ITEM CSL_CITATION {"citationID":"ggBccDSz","properties":{"formattedCitation":"(Thompson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fldChar w:fldCharType="separate"/>
      </w:r>
      <w:r w:rsidR="00F26471" w:rsidRPr="00F26471">
        <w:rPr>
          <w:rFonts w:ascii="Calibri" w:hAnsi="Calibri" w:cs="Calibri"/>
        </w:rPr>
        <w:t>(Thompson et al., 2018)</w:t>
      </w:r>
      <w:r w:rsidR="00F26471">
        <w:fldChar w:fldCharType="end"/>
      </w:r>
      <w:r w:rsidR="00441A07">
        <w:t>.</w:t>
      </w:r>
      <w:r w:rsidR="00B43C14">
        <w:t xml:space="preserve"> </w:t>
      </w:r>
      <w:r w:rsidR="00EA3C7A">
        <w:t xml:space="preserve">   </w:t>
      </w:r>
      <w:r w:rsidR="00FF4E18">
        <w:t xml:space="preserve"> </w:t>
      </w:r>
    </w:p>
    <w:p w:rsidR="0092475B" w:rsidRDefault="00094EA7" w:rsidP="00255E11">
      <w:r>
        <w:t>1.3.3 Elektrophysiologische Maße</w:t>
      </w:r>
    </w:p>
    <w:p w:rsidR="00255E11" w:rsidRPr="00030807" w:rsidRDefault="00DA1F01" w:rsidP="00255E11">
      <w:pPr>
        <w:rPr>
          <w:rFonts w:cstheme="minorHAnsi"/>
        </w:rPr>
      </w:pPr>
      <w:r>
        <w:t xml:space="preserve">Um diesem Umstand entgegenzuwirken und die Durchführung der THS einfacher und effizienter zu machen, gibt es einige rechnerische Modelle, die die beste Position für die Elektrode </w:t>
      </w:r>
      <w:r w:rsidR="00F26471">
        <w:t xml:space="preserve">vorhersagen sollen </w:t>
      </w:r>
      <w:r w:rsidR="00F26471">
        <w:fldChar w:fldCharType="begin"/>
      </w:r>
      <w:r w:rsidR="00F26471">
        <w:instrText xml:space="preserve"> ADDIN ZOTERO_ITEM CSL_CITATION {"citationID":"oVc0iztC","properties":{"formattedCitation":"(Thompson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fldChar w:fldCharType="separate"/>
      </w:r>
      <w:r w:rsidR="00F26471" w:rsidRPr="00F26471">
        <w:rPr>
          <w:rFonts w:ascii="Calibri" w:hAnsi="Calibri" w:cs="Calibri"/>
        </w:rPr>
        <w:t>(Thompson et al., 2018)</w:t>
      </w:r>
      <w:r w:rsidR="00F26471">
        <w:fldChar w:fldCharType="end"/>
      </w:r>
      <w:r>
        <w:t xml:space="preserve">. Dabei werden meist </w:t>
      </w:r>
      <w:proofErr w:type="spellStart"/>
      <w:r>
        <w:t>oszillatorische</w:t>
      </w:r>
      <w:proofErr w:type="spellEnd"/>
      <w:r>
        <w:t xml:space="preserve"> </w:t>
      </w:r>
      <w:r w:rsidR="008E1846">
        <w:t>Aktivitätsm</w:t>
      </w:r>
      <w:r>
        <w:t xml:space="preserve">uster in bestimmten Frequenzbändern </w:t>
      </w:r>
      <w:r w:rsidR="00D659D2">
        <w:t>der Lokalen Feldpotentiale (LFP</w:t>
      </w:r>
      <w:r>
        <w:t xml:space="preserve">) genutzt, die </w:t>
      </w:r>
      <w:r w:rsidR="009E164B">
        <w:t xml:space="preserve">aus den Mikroelektroden-Aufzeichnungen abgeleitet werden, die </w:t>
      </w:r>
      <w:r>
        <w:t xml:space="preserve">während der </w:t>
      </w:r>
      <w:r w:rsidR="00997D2F">
        <w:t xml:space="preserve">Implantierung einer Elektrode </w:t>
      </w:r>
      <w:r>
        <w:t>au</w:t>
      </w:r>
      <w:r w:rsidR="00CB74F0">
        <w:t>fgezeichnet we</w:t>
      </w:r>
      <w:r w:rsidR="00F26471">
        <w:t xml:space="preserve">rden </w:t>
      </w:r>
      <w:r w:rsidR="00F26471">
        <w:fldChar w:fldCharType="begin"/>
      </w:r>
      <w:r w:rsidR="00F26471">
        <w:instrText xml:space="preserve"> ADDIN ZOTERO_ITEM CSL_CITATION {"citationID":"yWkexML7","properties":{"formattedCitation":"(Telkes et al., 2016)","plainCitation":"(Telkes et al., 2016)","noteIndex":0},"citationItems":[{"id":52,"uris":["http://zotero.org/users/local/AhaM3qLx/items/HHX5BJSB"],"itemData":{"id":52,"type":"article-journal","container-title":"Frontiers in Neuroscience","DOI":"10.3389/fnins.2016.00198","ISSN":"1662-453X","journalAbbreviation":"Front. Neurosci.","language":"en","source":"DOI.org (Crossref)","title":"Prediction of STN-DBS Electrode Implantation Track in Parkinson's Disease by Using Local Field Potentials","URL":"http://journal.frontiersin.org/Article/10.3389/fnins.2016.00198/abstract","volume":"10","author":[{"family":"Telkes","given":"Ilknur"},{"family":"Jimenez-Shahed","given":"Joohi"},{"family":"Viswanathan","given":"Ashwin"},{"family":"Abosch","given":"Aviva"},{"family":"Ince","given":"Nuri F."}],"accessed":{"date-parts":[["2022",4,1]]},"issued":{"date-parts":[["2016",5,9]]}}}],"schema":"https://github.com/citation-style-language/schema/raw/master/csl-citation.json"} </w:instrText>
      </w:r>
      <w:r w:rsidR="00F26471">
        <w:fldChar w:fldCharType="separate"/>
      </w:r>
      <w:r w:rsidR="00F26471" w:rsidRPr="00F26471">
        <w:rPr>
          <w:rFonts w:ascii="Calibri" w:hAnsi="Calibri" w:cs="Calibri"/>
        </w:rPr>
        <w:t>(Telkes et al., 2016)</w:t>
      </w:r>
      <w:r w:rsidR="00F26471">
        <w:fldChar w:fldCharType="end"/>
      </w:r>
      <w:r>
        <w:t xml:space="preserve">. </w:t>
      </w:r>
      <w:r w:rsidR="001B2C1C">
        <w:t>Es hat sich gezeigt, dass die Positionierung der Elektrode in Bereichen innerhalb des STK, die in der B</w:t>
      </w:r>
      <w:r w:rsidR="00D659D2">
        <w:t>eta-Frequenz</w:t>
      </w:r>
      <w:r w:rsidR="008E1846">
        <w:t xml:space="preserve"> von 13 – 30 H</w:t>
      </w:r>
      <w:r w:rsidR="00D659D2">
        <w:t>z</w:t>
      </w:r>
      <w:r w:rsidR="001B2C1C">
        <w:t xml:space="preserve"> eine erhöhte spektrale Power aufweisen, mit einem verbesse</w:t>
      </w:r>
      <w:r w:rsidR="00986457">
        <w:t>rt</w:t>
      </w:r>
      <w:r w:rsidR="00F26471">
        <w:t xml:space="preserve">em Ergebnis zusammenhängen </w:t>
      </w:r>
      <w:r w:rsidR="00F26471">
        <w:fldChar w:fldCharType="begin"/>
      </w:r>
      <w:r w:rsidR="00F26471">
        <w:instrText xml:space="preserve"> ADDIN ZOTERO_ITEM CSL_CITATION {"citationID":"BJ1DaYsZ","properties":{"formattedCitation":"(Zaidel et al., 2010)","plainCitation":"(Zaidel et al., 2010)","noteIndex":0},"citationItems":[{"id":55,"uris":["http://zotero.org/users/local/AhaM3qLx/items/ACQWHFNX"],"itemData":{"id":55,"type":"article-journal","container-title":"Brain","DOI":"10.1093/brain/awq144","ISSN":"0006-8950,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fldChar w:fldCharType="separate"/>
      </w:r>
      <w:r w:rsidR="00F26471" w:rsidRPr="00F26471">
        <w:rPr>
          <w:rFonts w:ascii="Calibri" w:hAnsi="Calibri" w:cs="Calibri"/>
        </w:rPr>
        <w:t>(Zaidel et al., 2010)</w:t>
      </w:r>
      <w:r w:rsidR="00F26471">
        <w:fldChar w:fldCharType="end"/>
      </w:r>
      <w:r w:rsidR="001B2C1C">
        <w:t xml:space="preserve">. Die halbautomatische </w:t>
      </w:r>
      <w:r w:rsidR="00EE1234">
        <w:t xml:space="preserve">Software </w:t>
      </w:r>
      <w:proofErr w:type="spellStart"/>
      <w:r w:rsidR="00EE1234">
        <w:t>HaG</w:t>
      </w:r>
      <w:r w:rsidR="00997D2F">
        <w:t>uide</w:t>
      </w:r>
      <w:proofErr w:type="spellEnd"/>
      <w:r w:rsidR="00997D2F">
        <w:t xml:space="preserve"> Tool wird bei der Implantierung der Elektroden</w:t>
      </w:r>
      <w:r w:rsidR="00EE1234">
        <w:t xml:space="preserve"> genutzt, um </w:t>
      </w:r>
      <w:r w:rsidR="00626AE7">
        <w:t>die Grenzen des STK und die optimale Zielposition</w:t>
      </w:r>
      <w:r w:rsidR="00997D2F">
        <w:t xml:space="preserve"> für die Elektrode</w:t>
      </w:r>
      <w:r w:rsidR="00EE1234">
        <w:t xml:space="preserve"> zu b</w:t>
      </w:r>
      <w:r w:rsidR="00F26471">
        <w:t xml:space="preserve">estimmen </w:t>
      </w:r>
      <w:r w:rsidR="00F26471">
        <w:fldChar w:fldCharType="begin"/>
      </w:r>
      <w:r w:rsidR="00F26471">
        <w:instrText xml:space="preserve"> ADDIN ZOTERO_ITEM CSL_CITATION {"citationID":"4AgfnHKK","properties":{"formattedCitation":"(Thompson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fldChar w:fldCharType="separate"/>
      </w:r>
      <w:r w:rsidR="00F26471" w:rsidRPr="00F26471">
        <w:rPr>
          <w:rFonts w:ascii="Calibri" w:hAnsi="Calibri" w:cs="Calibri"/>
        </w:rPr>
        <w:t>(Thompson et al., 2018)</w:t>
      </w:r>
      <w:r w:rsidR="00F26471">
        <w:fldChar w:fldCharType="end"/>
      </w:r>
      <w:r w:rsidR="00EE1234">
        <w:t>. Für die Bestimmung der Grenzen des STK wird</w:t>
      </w:r>
      <w:r w:rsidR="00255E11">
        <w:t xml:space="preserve"> die Spike-Aktivität als Maß verwendet</w:t>
      </w:r>
      <w:r w:rsidR="00EE1234">
        <w:t xml:space="preserve">. Sobald die Elektrode sich innerhalb des STK befindet, sind in der </w:t>
      </w:r>
      <w:r w:rsidR="00255E11">
        <w:t>Mikroelektroden-</w:t>
      </w:r>
      <w:r w:rsidR="00EE1234">
        <w:t>Au</w:t>
      </w:r>
      <w:r w:rsidR="00D659D2">
        <w:t>fzeichnung mehr Spikes zu sehen. D</w:t>
      </w:r>
      <w:r w:rsidR="00EE1234">
        <w:t>eshalb</w:t>
      </w:r>
      <w:r w:rsidR="00C33B2D">
        <w:t xml:space="preserve"> wird der </w:t>
      </w:r>
      <w:proofErr w:type="spellStart"/>
      <w:r w:rsidR="00C33B2D">
        <w:t>root-mean-square</w:t>
      </w:r>
      <w:proofErr w:type="spellEnd"/>
      <w:r w:rsidR="00255E11">
        <w:t xml:space="preserve"> </w:t>
      </w:r>
      <w:r w:rsidR="00C33B2D">
        <w:t xml:space="preserve">(RMS) </w:t>
      </w:r>
      <w:r w:rsidR="00255E11">
        <w:t>des Signals aus der Mikroelektrod</w:t>
      </w:r>
      <w:r w:rsidR="009C2B17">
        <w:t>en-Aufzeichnung verwendet, da er</w:t>
      </w:r>
      <w:r w:rsidR="00255E11">
        <w:t xml:space="preserve"> sensibel ist für Veränderungen in der Signaldichte und</w:t>
      </w:r>
      <w:r w:rsidR="00EE1234">
        <w:t xml:space="preserve"> deutlich größer</w:t>
      </w:r>
      <w:r w:rsidR="00255E11">
        <w:t xml:space="preserve"> wird</w:t>
      </w:r>
      <w:r w:rsidR="00EE1234">
        <w:t xml:space="preserve">, sobald die erste Grenze erreicht ist. </w:t>
      </w:r>
      <w:r w:rsidR="00030807">
        <w:t>Um den RMS des Signals aus der Mikroelektroden-Aufzeichnun</w:t>
      </w:r>
      <w:r w:rsidR="00ED5162">
        <w:t xml:space="preserve">g zu berechnen wird die Formel </w:t>
      </w:r>
      <m:oMath>
        <m:sSub>
          <m:sSubPr>
            <m:ctrlPr>
              <w:rPr>
                <w:rFonts w:ascii="Cambria Math" w:hAnsi="Cambria Math" w:cstheme="minorHAnsi"/>
                <w:i/>
              </w:rPr>
            </m:ctrlPr>
          </m:sSubPr>
          <m:e>
            <m:r>
              <m:rPr>
                <m:nor/>
              </m:rPr>
              <w:rPr>
                <w:rFonts w:cstheme="minorHAnsi"/>
              </w:rPr>
              <m:t>x</m:t>
            </m:r>
          </m:e>
          <m:sub>
            <m:r>
              <m:rPr>
                <m:nor/>
              </m:rPr>
              <w:rPr>
                <w:rFonts w:cstheme="minorHAnsi"/>
              </w:rPr>
              <m:t>RMS</m:t>
            </m:r>
          </m:sub>
        </m:sSub>
        <m:r>
          <m:rPr>
            <m:nor/>
          </m:rPr>
          <w:rPr>
            <w:rFonts w:cstheme="minorHAnsi"/>
          </w:rPr>
          <m:t xml:space="preserve"> = </m:t>
        </m:r>
        <m:rad>
          <m:radPr>
            <m:degHide m:val="1"/>
            <m:ctrlPr>
              <w:rPr>
                <w:rFonts w:ascii="Cambria Math" w:hAnsi="Cambria Math" w:cstheme="minorHAnsi"/>
                <w:i/>
              </w:rPr>
            </m:ctrlPr>
          </m:radPr>
          <m:deg/>
          <m:e>
            <m:r>
              <m:rPr>
                <m:nor/>
              </m:rPr>
              <w:rPr>
                <w:rFonts w:cstheme="minorHAnsi"/>
              </w:rPr>
              <m:t xml:space="preserve">(1/N)* </m:t>
            </m:r>
            <m:sSup>
              <m:sSupPr>
                <m:ctrlPr>
                  <w:rPr>
                    <w:rFonts w:ascii="Cambria Math" w:hAnsi="Cambria Math" w:cstheme="minorHAnsi"/>
                    <w:i/>
                  </w:rPr>
                </m:ctrlPr>
              </m:sSupPr>
              <m:e>
                <m:nary>
                  <m:naryPr>
                    <m:chr m:val="∑"/>
                    <m:limLoc m:val="subSup"/>
                    <m:ctrlPr>
                      <w:rPr>
                        <w:rFonts w:ascii="Cambria Math" w:hAnsi="Cambria Math" w:cstheme="minorHAnsi"/>
                        <w:i/>
                      </w:rPr>
                    </m:ctrlPr>
                  </m:naryPr>
                  <m:sub>
                    <m:r>
                      <m:rPr>
                        <m:nor/>
                      </m:rPr>
                      <w:rPr>
                        <w:rFonts w:cstheme="minorHAnsi"/>
                      </w:rPr>
                      <m:t>n=1</m:t>
                    </m:r>
                  </m:sub>
                  <m:sup>
                    <m:r>
                      <m:rPr>
                        <m:nor/>
                      </m:rPr>
                      <w:rPr>
                        <w:rFonts w:cstheme="minorHAnsi"/>
                      </w:rPr>
                      <m:t>N</m:t>
                    </m:r>
                  </m:sup>
                  <m:e>
                    <m:r>
                      <m:rPr>
                        <m:nor/>
                      </m:rPr>
                      <w:rPr>
                        <w:rFonts w:cstheme="minorHAnsi"/>
                      </w:rPr>
                      <m:t>|</m:t>
                    </m:r>
                    <m:sSub>
                      <m:sSubPr>
                        <m:ctrlPr>
                          <w:rPr>
                            <w:rFonts w:ascii="Cambria Math" w:hAnsi="Cambria Math" w:cstheme="minorHAnsi"/>
                            <w:i/>
                          </w:rPr>
                        </m:ctrlPr>
                      </m:sSubPr>
                      <m:e>
                        <m:r>
                          <m:rPr>
                            <m:nor/>
                          </m:rPr>
                          <w:rPr>
                            <w:rFonts w:cstheme="minorHAnsi"/>
                          </w:rPr>
                          <m:t>x</m:t>
                        </m:r>
                      </m:e>
                      <m:sub>
                        <m:r>
                          <m:rPr>
                            <m:nor/>
                          </m:rPr>
                          <w:rPr>
                            <w:rFonts w:cstheme="minorHAnsi"/>
                          </w:rPr>
                          <m:t>n</m:t>
                        </m:r>
                      </m:sub>
                    </m:sSub>
                    <m:r>
                      <m:rPr>
                        <m:nor/>
                      </m:rPr>
                      <w:rPr>
                        <w:rFonts w:cstheme="minorHAnsi"/>
                      </w:rPr>
                      <m:t>|</m:t>
                    </m:r>
                  </m:e>
                </m:nary>
              </m:e>
              <m:sup>
                <m:r>
                  <m:rPr>
                    <m:nor/>
                  </m:rPr>
                  <w:rPr>
                    <w:rFonts w:cstheme="minorHAnsi"/>
                  </w:rPr>
                  <m:t>2</m:t>
                </m:r>
              </m:sup>
            </m:sSup>
          </m:e>
        </m:rad>
      </m:oMath>
      <w:r w:rsidR="00FF204A">
        <w:rPr>
          <w:rFonts w:eastAsiaTheme="minorEastAsia"/>
        </w:rPr>
        <w:t xml:space="preserve"> verwendet.</w:t>
      </w:r>
    </w:p>
    <w:p w:rsidR="00DA1F01" w:rsidRDefault="00EE1234" w:rsidP="00255E11">
      <w:r>
        <w:t xml:space="preserve">Es ist bekannt, dass sich der sensomotorische Bereich des STK im </w:t>
      </w:r>
      <w:proofErr w:type="spellStart"/>
      <w:r>
        <w:t>dorsolateralen</w:t>
      </w:r>
      <w:proofErr w:type="spellEnd"/>
      <w:r>
        <w:t xml:space="preserve"> Bereich b</w:t>
      </w:r>
      <w:r w:rsidR="005A139C">
        <w:t xml:space="preserve">efindet </w:t>
      </w:r>
      <w:r w:rsidR="00F26471">
        <w:fldChar w:fldCharType="begin"/>
      </w:r>
      <w:r w:rsidR="00F26471">
        <w:instrText xml:space="preserve"> ADDIN ZOTERO_ITEM CSL_CITATION {"citationID":"eOzmDcJt","properties":{"formattedCitation":"(Dembek et al., 2019; Zaidel et al., 2010)","plainCitation":"(Dembek et al., 2019; Zaidel et al., 2010)","noteIndex":0},"citationItems":[{"id":33,"uris":["http://zotero.org/users/local/AhaM3qLx/items/7LQZH74L"],"itemData":{"id":33,"type":"article-journal","container-title":"Annals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fldChar w:fldCharType="separate"/>
      </w:r>
      <w:r w:rsidR="00F26471" w:rsidRPr="00F26471">
        <w:rPr>
          <w:rFonts w:ascii="Calibri" w:hAnsi="Calibri" w:cs="Calibri"/>
        </w:rPr>
        <w:t>(</w:t>
      </w:r>
      <w:proofErr w:type="spellStart"/>
      <w:r w:rsidR="00F26471" w:rsidRPr="00F26471">
        <w:rPr>
          <w:rFonts w:ascii="Calibri" w:hAnsi="Calibri" w:cs="Calibri"/>
        </w:rPr>
        <w:t>Dembek</w:t>
      </w:r>
      <w:proofErr w:type="spellEnd"/>
      <w:r w:rsidR="00F26471" w:rsidRPr="00F26471">
        <w:rPr>
          <w:rFonts w:ascii="Calibri" w:hAnsi="Calibri" w:cs="Calibri"/>
        </w:rPr>
        <w:t xml:space="preserve"> et al., 2019; Zaidel et al., 2010)</w:t>
      </w:r>
      <w:r w:rsidR="00F26471">
        <w:fldChar w:fldCharType="end"/>
      </w:r>
      <w:r w:rsidR="003A467F">
        <w:t>. D</w:t>
      </w:r>
      <w:r w:rsidR="005A139C">
        <w:t>ort</w:t>
      </w:r>
      <w:r w:rsidR="003A467F">
        <w:t xml:space="preserve"> ist</w:t>
      </w:r>
      <w:r w:rsidR="00BA6F4A">
        <w:t xml:space="preserve"> im LFP</w:t>
      </w:r>
      <w:r w:rsidR="005A139C">
        <w:t xml:space="preserve"> ein erhöhtes Powe</w:t>
      </w:r>
      <w:r w:rsidR="00997D2F">
        <w:t xml:space="preserve">rspektrum im </w:t>
      </w:r>
      <w:proofErr w:type="spellStart"/>
      <w:r w:rsidR="00997D2F">
        <w:t>Betaband</w:t>
      </w:r>
      <w:proofErr w:type="spellEnd"/>
      <w:r w:rsidR="00997D2F">
        <w:t xml:space="preserve"> bei 13 – 30 Hz </w:t>
      </w:r>
      <w:r w:rsidR="003A467F">
        <w:t>zu finden</w:t>
      </w:r>
      <w:r w:rsidR="00F26471">
        <w:t xml:space="preserve"> </w:t>
      </w:r>
      <w:r w:rsidR="00F26471">
        <w:fldChar w:fldCharType="begin"/>
      </w:r>
      <w:r w:rsidR="00F26471">
        <w:instrText xml:space="preserve"> ADDIN ZOTERO_ITEM CSL_CITATION {"citationID":"o9yB0pd8","properties":{"formattedCitation":"(Telkes et al., 2020; Zaidel et al., 2010)","plainCitation":"(Telkes et al., 2020; Zaidel et al., 2010)","noteIndex":0},"citationItems":[{"id":75,"uris":["http://zotero.org/users/local/AhaM3qLx/items/D3JKTRMA"],"itemData":{"id":75,"type":"article-journal","abstract":"Background: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fldChar w:fldCharType="separate"/>
      </w:r>
      <w:r w:rsidR="00F26471" w:rsidRPr="00F26471">
        <w:rPr>
          <w:rFonts w:ascii="Calibri" w:hAnsi="Calibri" w:cs="Calibri"/>
        </w:rPr>
        <w:t>(Telkes et al., 2020; Zaidel et al., 2010)</w:t>
      </w:r>
      <w:r w:rsidR="00F26471">
        <w:fldChar w:fldCharType="end"/>
      </w:r>
      <w:r w:rsidR="005A139C">
        <w:t>.</w:t>
      </w:r>
      <w:r>
        <w:t xml:space="preserve"> </w:t>
      </w:r>
      <w:r w:rsidR="004B1A26">
        <w:t xml:space="preserve">Die Software war </w:t>
      </w:r>
      <w:r w:rsidR="00087CA9">
        <w:t xml:space="preserve">mit Hilfe dieser Informationen </w:t>
      </w:r>
      <w:r w:rsidR="004B1A26">
        <w:t>dazu in der Lage eine vertrauenswür</w:t>
      </w:r>
      <w:r w:rsidR="00A93D10">
        <w:t>dige Schätzung für das Ein-</w:t>
      </w:r>
      <w:r w:rsidR="004B1A26">
        <w:t xml:space="preserve"> und Au</w:t>
      </w:r>
      <w:r w:rsidR="00A93D10">
        <w:t>streten der Elektrode in Bezug auf den STK und d</w:t>
      </w:r>
      <w:r w:rsidR="004B1A26">
        <w:t xml:space="preserve">ie optimale Position der Elektrode mit starkem Zusammenhang zu den Beobachtungen eines erfahrenen Neurochirurgen/Neurophysiologen </w:t>
      </w:r>
      <w:r w:rsidR="00A93D10">
        <w:t xml:space="preserve">zu bestimmen </w:t>
      </w:r>
      <w:r w:rsidR="00F26471">
        <w:fldChar w:fldCharType="begin"/>
      </w:r>
      <w:r w:rsidR="00F26471">
        <w:instrText xml:space="preserve"> ADDIN ZOTERO_ITEM CSL_CITATION {"citationID":"hICPZagm","properties":{"formattedCitation":"(Thompson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fldChar w:fldCharType="separate"/>
      </w:r>
      <w:r w:rsidR="00F26471" w:rsidRPr="00F26471">
        <w:rPr>
          <w:rFonts w:ascii="Calibri" w:hAnsi="Calibri" w:cs="Calibri"/>
        </w:rPr>
        <w:t>(Thompson et al., 2018)</w:t>
      </w:r>
      <w:r w:rsidR="00F26471">
        <w:fldChar w:fldCharType="end"/>
      </w:r>
      <w:r w:rsidR="004B1A26">
        <w:t>.</w:t>
      </w:r>
    </w:p>
    <w:p w:rsidR="00087CA9" w:rsidRDefault="00545DE5" w:rsidP="004B1A26">
      <w:r>
        <w:t>1.4 Versuchsidee</w:t>
      </w:r>
    </w:p>
    <w:p w:rsidR="00545DE5" w:rsidRDefault="00545DE5" w:rsidP="004B1A26">
      <w:r>
        <w:t>Der Nutzen der Spike-Aktivität</w:t>
      </w:r>
      <w:r w:rsidR="000A2779">
        <w:t xml:space="preserve"> für die Bestimmung, bei welcher Position die Elektrode in den STK eintritt,</w:t>
      </w:r>
      <w:r>
        <w:t xml:space="preserve"> wurde bereits in vielerlei Hinsicht erforscht und nach</w:t>
      </w:r>
      <w:r w:rsidR="00F26471">
        <w:t xml:space="preserve">gewiesen </w:t>
      </w:r>
      <w:r w:rsidR="00F26471">
        <w:fldChar w:fldCharType="begin"/>
      </w:r>
      <w:r w:rsidR="00F26471">
        <w:instrText xml:space="preserve"> ADDIN ZOTERO_ITEM CSL_CITATION {"citationID":"BUjotoj0","properties":{"formattedCitation":"(Koirala et al., 2020; Thompson et al., 2018)","plainCitation":"(Koirala et al., 2020; Thompson et al., 2018)","noteIndex":0},"citationItems":[{"id":42,"uris":["http://zotero.org/users/local/AhaM3qLx/items/S3TPVWC6"],"itemData":{"id":42,"type":"article-journal","abstract":"Abstract\n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fldChar w:fldCharType="separate"/>
      </w:r>
      <w:r w:rsidR="00F26471" w:rsidRPr="00F26471">
        <w:rPr>
          <w:rFonts w:ascii="Calibri" w:hAnsi="Calibri" w:cs="Calibri"/>
        </w:rPr>
        <w:t>(Koirala et al., 2020; Thompson et al., 2018)</w:t>
      </w:r>
      <w:r w:rsidR="00F26471">
        <w:fldChar w:fldCharType="end"/>
      </w:r>
      <w:r w:rsidR="00F07B62">
        <w:t>.</w:t>
      </w:r>
      <w:r w:rsidR="00D659D2">
        <w:t xml:space="preserve"> </w:t>
      </w:r>
      <w:r w:rsidR="005F0D0D">
        <w:t>Allerdings ist die Spike-Aktivität kein eindeutiges und physiologisches Maß</w:t>
      </w:r>
      <w:r w:rsidR="001B5C96">
        <w:t xml:space="preserve"> für die Position einer Elektrode</w:t>
      </w:r>
      <w:r w:rsidR="005F0D0D">
        <w:t>. Es ist unklar, durch welche unterschiedlichen Faktoren die Spike-Aktivität beeinflusst wird,</w:t>
      </w:r>
      <w:r w:rsidR="00F209E7">
        <w:t xml:space="preserve"> da</w:t>
      </w:r>
      <w:r w:rsidR="005F0D0D">
        <w:t xml:space="preserve"> auch Artefakte </w:t>
      </w:r>
      <w:r w:rsidR="00C76B2F">
        <w:t>von</w:t>
      </w:r>
      <w:r w:rsidR="005F0D0D">
        <w:t xml:space="preserve"> elektrische</w:t>
      </w:r>
      <w:r w:rsidR="00C76B2F">
        <w:t>n</w:t>
      </w:r>
      <w:r w:rsidR="005F0D0D">
        <w:t xml:space="preserve"> Geräte</w:t>
      </w:r>
      <w:r w:rsidR="00C76B2F">
        <w:t>n</w:t>
      </w:r>
      <w:r w:rsidR="005F0D0D">
        <w:t xml:space="preserve"> oder andere Störvariablen darin abgebildet sein</w:t>
      </w:r>
      <w:r w:rsidR="00F209E7">
        <w:t xml:space="preserve"> könnten</w:t>
      </w:r>
      <w:r w:rsidR="005F0D0D">
        <w:t xml:space="preserve">. </w:t>
      </w:r>
      <w:r w:rsidR="00D659D2">
        <w:t>Der funktionale Nutzen von LFP</w:t>
      </w:r>
      <w:r>
        <w:t xml:space="preserve"> in direktionaler THS ist </w:t>
      </w:r>
      <w:r w:rsidR="00F07B62">
        <w:t xml:space="preserve">jedoch noch </w:t>
      </w:r>
      <w:r w:rsidR="00F07B62">
        <w:lastRenderedPageBreak/>
        <w:t>nicht gut erfor</w:t>
      </w:r>
      <w:r w:rsidR="00F209E7">
        <w:t>scht. Auch wenn die Relevanz der Power des</w:t>
      </w:r>
      <w:r w:rsidR="00F07B62">
        <w:t xml:space="preserve"> </w:t>
      </w:r>
      <w:r w:rsidR="00C648A4">
        <w:t xml:space="preserve">Betabandes innerhalb des </w:t>
      </w:r>
      <w:proofErr w:type="spellStart"/>
      <w:r w:rsidR="00C648A4">
        <w:t>dorsolateralen</w:t>
      </w:r>
      <w:proofErr w:type="spellEnd"/>
      <w:r w:rsidR="00C648A4">
        <w:t xml:space="preserve"> Bereichs des STK bereits nachgewiesen ist, sind diese Befunde meist nicht einheitlich. Es scheint jedoch übergreifend nachgewiesen zu sein,</w:t>
      </w:r>
      <w:r w:rsidR="00F209E7">
        <w:t xml:space="preserve"> dass im Frequenzband von 13 – 30 H</w:t>
      </w:r>
      <w:r w:rsidR="00C648A4">
        <w:t>z für Beta die Power größer wird, wenn die Elektrode sich der Position nähert, die die beste Verringerung der Symptome zur Folge hat</w:t>
      </w:r>
      <w:r w:rsidR="00516698">
        <w:t xml:space="preserve"> </w:t>
      </w:r>
      <w:r w:rsidR="00516698">
        <w:fldChar w:fldCharType="begin"/>
      </w:r>
      <w:r w:rsidR="00516698">
        <w:instrText xml:space="preserve"> ADDIN ZOTERO_ITEM CSL_CITATION {"citationID":"tSTNyuaC","properties":{"formattedCitation":"(Cole et al., 2017; Koirala et al., 2020; Telkes et al., 2020; Zaidel et al., 2010)","plainCitation":"(Cole et al., 2017; Koirala et al., 2020; Telkes et al., 2020; Zaidel et al., 2010)","noteIndex":0},"citationItems":[{"id":32,"uris":["http://zotero.org/users/local/AhaM3qLx/items/SCVR9YVX"],"itemData":{"id":32,"type":"article-journal","container-title":"The Journal of Neuroscience","DOI":"10.1523/JNEUROSCI.2208-16.2017","ISSN":"0270-6474, 1529-2401","issue":"18","journalAbbreviation":"J. Neurosci.","language":"en","page":"4830-4840","source":"DOI.org (Crossref)","title":"Nonsinusoidal Beta Oscillations Reflect Cortical Pathophysiology in Parkinson's Disease","volume":"37","author":[{"family":"Cole","given":"Scott R."},{"family":"Meij","given":"Roemer","non-dropping-particle":"van der"},{"family":"Peterson","given":"Erik J."},{"family":"Hemptinne","given":"Coralie","non-dropping-particle":"de"},{"family":"Starr","given":"Philip A."},{"family":"Voytek","given":"Bradley"}],"issued":{"date-parts":[["2017",5,3]]}}},{"id":42,"uris":["http://zotero.org/users/local/AhaM3qLx/items/S3TPVWC6"],"itemData":{"id":42,"type":"article-journal","abstract":"Abstract\n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516698">
        <w:fldChar w:fldCharType="separate"/>
      </w:r>
      <w:r w:rsidR="00516698" w:rsidRPr="00516698">
        <w:rPr>
          <w:rFonts w:ascii="Calibri" w:hAnsi="Calibri" w:cs="Calibri"/>
        </w:rPr>
        <w:t>(Cole et al., 2017; Koirala et al., 2020; Telkes et al., 2020; Zaidel et al., 2010)</w:t>
      </w:r>
      <w:r w:rsidR="00516698">
        <w:fldChar w:fldCharType="end"/>
      </w:r>
      <w:r w:rsidR="00516698">
        <w:t>.</w:t>
      </w:r>
    </w:p>
    <w:p w:rsidR="001C57BB" w:rsidRDefault="001C57BB" w:rsidP="004B1A26">
      <w:r>
        <w:t>Eine tiefgründige Aufschlüsselung der einzelnen Faktoren, mit denen die Position der Elektrode im Gehirn bestimmt werden kann, ermöglicht potenziell ein genaueres und effizienteres Vorgehen be</w:t>
      </w:r>
      <w:r w:rsidR="00E26200">
        <w:t>i der Vorbereitung der Implantation der Elektrode</w:t>
      </w:r>
      <w:r>
        <w:t>. Außerdem wird mit den aktuellen Methoden lediglich kontinuierliche Stimulation angewandt, die Therapie dazu wird open-loop THS genannt. Das bedeutet, dass das Verhalten der Patient*innen und ihre Umweltfaktoren ignoriert werden, da darüber nicht genug Informationen vorliegen</w:t>
      </w:r>
      <w:r w:rsidR="00516698">
        <w:t xml:space="preserve"> </w:t>
      </w:r>
      <w:r w:rsidR="00516698">
        <w:fldChar w:fldCharType="begin"/>
      </w:r>
      <w:r w:rsidR="00516698">
        <w:instrText xml:space="preserve"> ADDIN ZOTERO_ITEM CSL_CITATION {"citationID":"vPhMOyPc","properties":{"formattedCitation":"(Opri et al., 2020)","plainCitation":"(Opri et al., 2020)","noteIndex":0},"citationItems":[{"id":47,"uris":["http://zotero.org/users/local/AhaM3qLx/items/BKK2EUES"],"itemData":{"id":47,"type":"article-journal","abstract":"Effective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fldChar w:fldCharType="separate"/>
      </w:r>
      <w:r w:rsidR="00516698" w:rsidRPr="00516698">
        <w:rPr>
          <w:rFonts w:ascii="Calibri" w:hAnsi="Calibri" w:cs="Calibri"/>
        </w:rPr>
        <w:t>(Opri et al., 2020)</w:t>
      </w:r>
      <w:r w:rsidR="00516698">
        <w:fldChar w:fldCharType="end"/>
      </w:r>
      <w:r>
        <w:t xml:space="preserve">. Dies führt zu einer weniger effizienten Therapie, als es möglich sein könnte. Ein langfristiges Ziel in der Forschung der THS ist es, eine </w:t>
      </w:r>
      <w:proofErr w:type="spellStart"/>
      <w:r>
        <w:t>closed</w:t>
      </w:r>
      <w:proofErr w:type="spellEnd"/>
      <w:r>
        <w:t xml:space="preserve">-loop THS </w:t>
      </w:r>
      <w:r w:rsidR="000A59CC">
        <w:t>zu entwickeln, bei der die Stimulation sich von selbst an die Gegebenheiten anpasst.</w:t>
      </w:r>
      <w:r w:rsidR="00516698">
        <w:t xml:space="preserve"> </w:t>
      </w:r>
      <w:r w:rsidR="00516698">
        <w:fldChar w:fldCharType="begin"/>
      </w:r>
      <w:r w:rsidR="009244FB">
        <w:instrText xml:space="preserve"> ADDIN ZOTERO_ITEM CSL_CITATION {"citationID":"44qaeLuL","properties":{"formattedCitation":"(Opri et al., 2020)","plainCitation":"(Opri et al., 2020)","dontUpdate":true,"noteIndex":0},"citationItems":[{"id":47,"uris":["http://zotero.org/users/local/AhaM3qLx/items/BKK2EUES"],"itemData":{"id":47,"type":"article-journal","abstract":"Effective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fldChar w:fldCharType="separate"/>
      </w:r>
      <w:r w:rsidR="00516698">
        <w:rPr>
          <w:rFonts w:ascii="Calibri" w:hAnsi="Calibri" w:cs="Calibri"/>
        </w:rPr>
        <w:t>Opri et al.</w:t>
      </w:r>
      <w:r w:rsidR="00516698" w:rsidRPr="00516698">
        <w:rPr>
          <w:rFonts w:ascii="Calibri" w:hAnsi="Calibri" w:cs="Calibri"/>
        </w:rPr>
        <w:t xml:space="preserve"> </w:t>
      </w:r>
      <w:r w:rsidR="00516698">
        <w:rPr>
          <w:rFonts w:ascii="Calibri" w:hAnsi="Calibri" w:cs="Calibri"/>
        </w:rPr>
        <w:t>(</w:t>
      </w:r>
      <w:r w:rsidR="00516698" w:rsidRPr="00516698">
        <w:rPr>
          <w:rFonts w:ascii="Calibri" w:hAnsi="Calibri" w:cs="Calibri"/>
        </w:rPr>
        <w:t>2020)</w:t>
      </w:r>
      <w:r w:rsidR="00516698">
        <w:fldChar w:fldCharType="end"/>
      </w:r>
      <w:r w:rsidR="00325C5E">
        <w:t xml:space="preserve"> haben mit </w:t>
      </w:r>
      <w:proofErr w:type="spellStart"/>
      <w:r w:rsidR="00325C5E">
        <w:t>closed</w:t>
      </w:r>
      <w:proofErr w:type="spellEnd"/>
      <w:r w:rsidR="00325C5E">
        <w:t xml:space="preserve">-loop THS bei Patient*innen mit essentiellem Tremor experimentiert. Dafür konnte eine kortikale Elektrode erkennen, ob motorische Aktivität in den oberen Extremitäten vorhanden ist, durch die Veränderung des </w:t>
      </w:r>
      <w:r w:rsidR="00A47FB2">
        <w:t xml:space="preserve">oszillatorischen Aktivitätsmusters </w:t>
      </w:r>
      <w:r w:rsidR="00325C5E">
        <w:t xml:space="preserve">in dem jeweiligen Bereich des Gehirns. Da der essentielle Tremor genau dann auftritt, wenn eine motorische Handlung durchgeführt wird, konnte die </w:t>
      </w:r>
      <w:proofErr w:type="spellStart"/>
      <w:r w:rsidR="00325C5E">
        <w:t>closed</w:t>
      </w:r>
      <w:proofErr w:type="spellEnd"/>
      <w:r w:rsidR="00325C5E">
        <w:t>-loop THS so eingestellt werden, dass</w:t>
      </w:r>
      <w:r w:rsidR="00CD47DF">
        <w:t xml:space="preserve"> die Stimulation nur in solchen</w:t>
      </w:r>
      <w:r w:rsidR="00325C5E">
        <w:t xml:space="preserve"> Situation</w:t>
      </w:r>
      <w:r w:rsidR="00CD47DF">
        <w:t>en angewandt wird, in denen</w:t>
      </w:r>
      <w:r w:rsidR="00325C5E">
        <w:t xml:space="preserve"> der Tremor auch auftreten würde.</w:t>
      </w:r>
      <w:r w:rsidR="005B2AEA">
        <w:t xml:space="preserve"> </w:t>
      </w:r>
      <w:r w:rsidR="00516698">
        <w:fldChar w:fldCharType="begin"/>
      </w:r>
      <w:r w:rsidR="009244FB">
        <w:instrText xml:space="preserve"> ADDIN ZOTERO_ITEM CSL_CITATION {"citationID":"BeHXuiIO","properties":{"formattedCitation":"(He et al., 2020)","plainCitation":"(He et al., 2020)","dontUpdate":true,"noteIndex":0},"citationItems":[{"id":39,"uris":["http://zotero.org/users/local/AhaM3qLx/items/TH4QA2FM"],"itemData":{"id":39,"type":"paper-conference","abstract":"High frequency Deep Brain Stimulation (DBS) targeting the motor thalamus is an effective therapy for essential tremor (ET). However, since tremor mainly affects periods of voluntary movements and sustained postures in ET, conventional continuous stimulation may deliver unnecessary current to the brain. Here we tried to decode movement states based on local field potentials (LFPs) recorded from motor thalamus and zona incerta in real-time to trigger the switching on and off of DBS in three patients with ET. Patient-specific models were first identified using thalamic LFPs recorded while the patient performed movements that tended to trigger tremor in everyday life. During the real-time test, LFPs were continuously recorded to decode movements and tremor, and the detection triggered stimulation. Results show that voluntary movements can be detected with a mean sensitivity ranging from 76.8% to 88.6% and a false positive rate ranging from 16.0% to 23.1% Postural tremor was detected with similar accuracy. The closed-loop DBS triggered by tremor detection suppressed intention tremor by 90.5% with a false positive rate of 20.3%.","container-title":"2020 42nd Annual International Conference of the IEEE Engineering in Medicine &amp; Biology Society (EMBC)","DOI":"10.1109/EMBC44109.2020.9175433","event":"2020 42nd Annual International Conference of the IEEE Engineering in Medicine and Biology Society (EMBC) in conjunction with the 43rd Annual Conference of the Canadian Medical and Biological Engineering Society","event-place":"Montreal, QC, Canada","ISBN":"978-1-72811-990-8","language":"en","page":"3602-3605","publisher":"IEEE","publisher-place":"Montreal, QC, Canada","source":"DOI.org (Crossref)","title":"Closed-loop DBS triggered by real-time movement and tremor decoding based on thalamic LFPs for essential tremor","URL":"https://ieeexplore.ieee.org/document/9175433/","author":[{"family":"He","given":"Shenghong"},{"family":"Debarros","given":"Jean"},{"family":"Khawaldeh","given":"Saed"},{"family":"Pogosyan","given":"Alek"},{"family":"Mostofi","given":"Abteen"},{"family":"Baig","given":"Fahd"},{"family":"Pereira","given":"Erlick"},{"family":"Brown","given":"Peter"},{"family":"Tan","given":"Huiling"}],"accessed":{"date-parts":[["2022",4,1]]},"issued":{"date-parts":[["2020",7]]}}}],"schema":"https://github.com/citation-style-language/schema/raw/master/csl-citation.json"} </w:instrText>
      </w:r>
      <w:r w:rsidR="00516698">
        <w:fldChar w:fldCharType="separate"/>
      </w:r>
      <w:r w:rsidR="00516698">
        <w:rPr>
          <w:rFonts w:ascii="Calibri" w:hAnsi="Calibri" w:cs="Calibri"/>
        </w:rPr>
        <w:t>He et al.</w:t>
      </w:r>
      <w:r w:rsidR="00516698" w:rsidRPr="00516698">
        <w:rPr>
          <w:rFonts w:ascii="Calibri" w:hAnsi="Calibri" w:cs="Calibri"/>
        </w:rPr>
        <w:t xml:space="preserve"> </w:t>
      </w:r>
      <w:r w:rsidR="00516698">
        <w:rPr>
          <w:rFonts w:ascii="Calibri" w:hAnsi="Calibri" w:cs="Calibri"/>
        </w:rPr>
        <w:t>(</w:t>
      </w:r>
      <w:r w:rsidR="00516698" w:rsidRPr="00516698">
        <w:rPr>
          <w:rFonts w:ascii="Calibri" w:hAnsi="Calibri" w:cs="Calibri"/>
        </w:rPr>
        <w:t>2020)</w:t>
      </w:r>
      <w:r w:rsidR="00516698">
        <w:fldChar w:fldCharType="end"/>
      </w:r>
      <w:r w:rsidR="006F1E21">
        <w:t xml:space="preserve"> konnten eine </w:t>
      </w:r>
      <w:proofErr w:type="spellStart"/>
      <w:r w:rsidR="006F1E21">
        <w:t>closed</w:t>
      </w:r>
      <w:proofErr w:type="spellEnd"/>
      <w:r w:rsidR="006F1E21">
        <w:t>-loop THS anwenden, die durch</w:t>
      </w:r>
      <w:r w:rsidR="00254332">
        <w:t xml:space="preserve"> Echtzeit-</w:t>
      </w:r>
      <w:r w:rsidR="006F1E21">
        <w:t>Bewegungen und Tremor</w:t>
      </w:r>
      <w:r w:rsidR="00254332">
        <w:t xml:space="preserve">, die ausschließlich auf LFP aus dem Thalamus basierten, </w:t>
      </w:r>
      <w:r w:rsidR="006F1E21">
        <w:t>die Stimulation steuerte</w:t>
      </w:r>
      <w:r w:rsidR="00254332">
        <w:t>.</w:t>
      </w:r>
      <w:r w:rsidR="006F1E21">
        <w:t xml:space="preserve"> </w:t>
      </w:r>
      <w:r w:rsidR="005B2AEA">
        <w:t>Es werden also erste Schritte gemacht, dass die Stimulation bei der THS nur stattfindet, wenn sie notwendig ist, und auf eine Art und Weise, bei der Energie gespart, Nebenwirkungen vollständig vermieden und Aufwand minimiert werden kann. Dafür ist es notwendig, so viele detaillierte Informationen über</w:t>
      </w:r>
      <w:r w:rsidR="00CD47DF">
        <w:t xml:space="preserve"> die Zusammenhänge zwischen den oszillatorischen Aktiv</w:t>
      </w:r>
      <w:r w:rsidR="00626AE7">
        <w:t>itätsmustern des Gehirns und der jeweiligen Zielposition</w:t>
      </w:r>
      <w:r w:rsidR="005B2AEA">
        <w:t xml:space="preserve"> zu erforschen, wie es möglich ist.</w:t>
      </w:r>
      <w:r w:rsidR="00325C5E">
        <w:t xml:space="preserve"> </w:t>
      </w:r>
      <w:r w:rsidR="000A59CC">
        <w:t xml:space="preserve"> </w:t>
      </w:r>
      <w:r>
        <w:t xml:space="preserve">   </w:t>
      </w:r>
    </w:p>
    <w:p w:rsidR="000C5BA2" w:rsidRDefault="000C5BA2" w:rsidP="004B1A26">
      <w:r>
        <w:t>Wir haben die Möglichkeit für diese Masterarbeit einige Datensätze von Patient*innen zu bekommen, die an Morbus Parkinson erkrankt sind und</w:t>
      </w:r>
      <w:r w:rsidR="00B84E11">
        <w:t xml:space="preserve"> im UKSH Kiel</w:t>
      </w:r>
      <w:r>
        <w:t xml:space="preserve"> mit der THS behandelt wurden.</w:t>
      </w:r>
      <w:r w:rsidR="00956D07">
        <w:t xml:space="preserve"> </w:t>
      </w:r>
      <w:r w:rsidR="004E28B4">
        <w:t xml:space="preserve">Das Ziel dieser Masterarbeit ist es, die Frage zu beantworten, ob anhand dieser </w:t>
      </w:r>
      <w:r w:rsidR="00956D07">
        <w:t xml:space="preserve">Datensätze </w:t>
      </w:r>
      <w:r w:rsidR="00D13501">
        <w:t>ein stabiler Effekt für die</w:t>
      </w:r>
      <w:r w:rsidR="004E28B4">
        <w:t xml:space="preserve"> bisher gefunden Zusammenhänge </w:t>
      </w:r>
      <w:r w:rsidR="00400442">
        <w:t>aufgezeigt werden kann</w:t>
      </w:r>
      <w:r w:rsidR="00117895">
        <w:t xml:space="preserve"> und ob noch weitere Zusammenhänge zu finden </w:t>
      </w:r>
      <w:r w:rsidR="00400442">
        <w:t xml:space="preserve">sind. </w:t>
      </w:r>
      <w:r w:rsidR="00956D07">
        <w:t xml:space="preserve">Im Fokus stehen dabei die Zusammenhänge zwischen </w:t>
      </w:r>
      <w:r w:rsidR="00527BD2">
        <w:t>den oszillatorischen Aktiv</w:t>
      </w:r>
      <w:r w:rsidR="00626AE7">
        <w:t>itätsmustern des Gehirns und der jeweiligen Zielposition</w:t>
      </w:r>
      <w:r w:rsidR="00956D07">
        <w:t>.</w:t>
      </w:r>
      <w:r w:rsidR="00341361">
        <w:t xml:space="preserve"> Da</w:t>
      </w:r>
      <w:r w:rsidR="00626AE7">
        <w:t xml:space="preserve"> </w:t>
      </w:r>
      <w:r w:rsidR="0001456B">
        <w:t>die P</w:t>
      </w:r>
      <w:r w:rsidR="00341361">
        <w:t>ower</w:t>
      </w:r>
      <w:r w:rsidR="0001456B">
        <w:t xml:space="preserve"> Im </w:t>
      </w:r>
      <w:proofErr w:type="spellStart"/>
      <w:r w:rsidR="0001456B">
        <w:t>Betaband</w:t>
      </w:r>
      <w:proofErr w:type="spellEnd"/>
      <w:r w:rsidR="00341361">
        <w:t xml:space="preserve"> mit der Schwere der Erkrankung bei Patient*innen mit Morbus Parkinson korreliert, gilt sie als vielversprechendes physiologisches Maß für die Krankheit. Es konnte gezeigt wer</w:t>
      </w:r>
      <w:r w:rsidR="0001456B">
        <w:t xml:space="preserve">den, dass der Peak der Power im </w:t>
      </w:r>
      <w:proofErr w:type="spellStart"/>
      <w:r w:rsidR="0001456B">
        <w:t>Betaband</w:t>
      </w:r>
      <w:proofErr w:type="spellEnd"/>
      <w:r w:rsidR="00341361">
        <w:t xml:space="preserve"> im sensomotorischen Bereich des STK zu finden ist (Horn, Neumann, Degen, Schneider &amp; Kühn</w:t>
      </w:r>
      <w:r w:rsidR="0053542A">
        <w:t>, 2017).</w:t>
      </w:r>
      <w:r w:rsidR="00341361">
        <w:t xml:space="preserve"> Deshalb ist im Falle der THS der sensomotorische Bereich des STK die Zielposition</w:t>
      </w:r>
      <w:r w:rsidR="00694CDE">
        <w:t>.</w:t>
      </w:r>
      <w:r w:rsidR="0053542A">
        <w:t xml:space="preserve"> Die größte Verbesserung der motorischen Symptome </w:t>
      </w:r>
      <w:r w:rsidR="006B0A1E">
        <w:t>konnte bei Stimulation im dorsalen Bereich des STK entdec</w:t>
      </w:r>
      <w:r w:rsidR="00516698">
        <w:t xml:space="preserve">kt werden </w:t>
      </w:r>
      <w:r w:rsidR="00516698">
        <w:fldChar w:fldCharType="begin"/>
      </w:r>
      <w:r w:rsidR="00516698">
        <w:instrText xml:space="preserve"> ADDIN ZOTERO_ITEM CSL_CITATION {"citationID":"eeq7KxU2","properties":{"formattedCitation":"(Dembek et al., 2019)","plainCitation":"(Dembek et al., 2019)","noteIndex":0},"citationItems":[{"id":33,"uris":["http://zotero.org/users/local/AhaM3qLx/items/7LQZH74L"],"itemData":{"id":33,"type":"article-journal","container-title":"Annals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T."},{"family":"Timmermann","given":"Lars"}],"issued":{"date-parts":[["2019",10]]}}}],"schema":"https://github.com/citation-style-language/schema/raw/master/csl-citation.json"} </w:instrText>
      </w:r>
      <w:r w:rsidR="00516698">
        <w:fldChar w:fldCharType="separate"/>
      </w:r>
      <w:r w:rsidR="00516698" w:rsidRPr="00516698">
        <w:rPr>
          <w:rFonts w:ascii="Calibri" w:hAnsi="Calibri" w:cs="Calibri"/>
        </w:rPr>
        <w:t>(Dembek et al., 2019)</w:t>
      </w:r>
      <w:r w:rsidR="00516698">
        <w:fldChar w:fldCharType="end"/>
      </w:r>
      <w:r w:rsidR="006B0A1E">
        <w:t>.</w:t>
      </w:r>
      <w:r w:rsidR="00956D07">
        <w:t xml:space="preserve"> </w:t>
      </w:r>
      <w:r w:rsidR="00663B3B">
        <w:t>Aufgrund dieser Befunde</w:t>
      </w:r>
      <w:r w:rsidR="006B0A1E">
        <w:t xml:space="preserve"> ist zum einen die Power im </w:t>
      </w:r>
      <w:proofErr w:type="spellStart"/>
      <w:r w:rsidR="006B0A1E">
        <w:t>Betaband</w:t>
      </w:r>
      <w:proofErr w:type="spellEnd"/>
      <w:r w:rsidR="006B0A1E">
        <w:t xml:space="preserve"> des LFP b</w:t>
      </w:r>
      <w:r w:rsidR="00400442">
        <w:t>esonders interessant, da diese Information</w:t>
      </w:r>
      <w:r w:rsidR="00117895">
        <w:t xml:space="preserve"> durch den </w:t>
      </w:r>
      <w:proofErr w:type="spellStart"/>
      <w:r w:rsidR="00527BD2">
        <w:t>HaGuide</w:t>
      </w:r>
      <w:proofErr w:type="spellEnd"/>
      <w:r w:rsidR="00527BD2">
        <w:t xml:space="preserve"> bei der</w:t>
      </w:r>
      <w:r w:rsidR="00117895">
        <w:t xml:space="preserve"> </w:t>
      </w:r>
      <w:r w:rsidR="00527BD2">
        <w:t>Implantation der Elektrode</w:t>
      </w:r>
      <w:r w:rsidR="00117895">
        <w:t xml:space="preserve"> bereits zur Positionier</w:t>
      </w:r>
      <w:r w:rsidR="00400442">
        <w:t>ung der Elektrode</w:t>
      </w:r>
      <w:r w:rsidR="0020690E">
        <w:t xml:space="preserve"> und zur </w:t>
      </w:r>
      <w:r w:rsidR="009563DC">
        <w:t>Bestimmung</w:t>
      </w:r>
      <w:r w:rsidR="0020690E">
        <w:t xml:space="preserve"> des sensomotorischen Bereichs des STK</w:t>
      </w:r>
      <w:r w:rsidR="00400442">
        <w:t xml:space="preserve"> genu</w:t>
      </w:r>
      <w:r w:rsidR="00516698">
        <w:t xml:space="preserve">tzt wird </w:t>
      </w:r>
      <w:r w:rsidR="00516698">
        <w:fldChar w:fldCharType="begin"/>
      </w:r>
      <w:r w:rsidR="00516698">
        <w:instrText xml:space="preserve"> ADDIN ZOTERO_ITEM CSL_CITATION {"citationID":"coHenaQw","properties":{"formattedCitation":"(Thompson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16698">
        <w:fldChar w:fldCharType="separate"/>
      </w:r>
      <w:r w:rsidR="00516698" w:rsidRPr="00516698">
        <w:rPr>
          <w:rFonts w:ascii="Calibri" w:hAnsi="Calibri" w:cs="Calibri"/>
        </w:rPr>
        <w:t>(Thompson et al., 2018)</w:t>
      </w:r>
      <w:r w:rsidR="00516698">
        <w:fldChar w:fldCharType="end"/>
      </w:r>
      <w:r w:rsidR="00400442">
        <w:t>. Ebenfalls interessant ist</w:t>
      </w:r>
      <w:r w:rsidR="0066637E">
        <w:t xml:space="preserve"> die Spike-Aktivität im elektrischen Signal</w:t>
      </w:r>
      <w:r w:rsidR="00400442">
        <w:t xml:space="preserve">, da auch das im </w:t>
      </w:r>
      <w:proofErr w:type="spellStart"/>
      <w:r w:rsidR="00400442">
        <w:t>HaGuide</w:t>
      </w:r>
      <w:proofErr w:type="spellEnd"/>
      <w:r w:rsidR="00400442">
        <w:t xml:space="preserve"> genutzt wird</w:t>
      </w:r>
      <w:r w:rsidR="0020690E">
        <w:t>, um die Grenzen des STK zu bestimmen</w:t>
      </w:r>
      <w:r w:rsidR="00400442">
        <w:t xml:space="preserve">. </w:t>
      </w:r>
      <w:r w:rsidR="0020690E">
        <w:t xml:space="preserve">Damit wir diese Zusammenhänge überprüfen können, sehen wir uns die </w:t>
      </w:r>
      <w:r w:rsidR="009563DC">
        <w:t xml:space="preserve">jeweiligen </w:t>
      </w:r>
      <w:r w:rsidR="0020690E">
        <w:t>oszillat</w:t>
      </w:r>
      <w:r w:rsidR="00626AE7">
        <w:t>orischen Aktivitätsmuster in der Zielposition an, in der</w:t>
      </w:r>
      <w:r w:rsidR="0020690E">
        <w:t xml:space="preserve"> die Elektroden implantiert wurden.</w:t>
      </w:r>
      <w:r w:rsidR="009563DC">
        <w:t xml:space="preserve"> Dort sollte sich der sensomotorische Bereich des STK befinden.</w:t>
      </w:r>
      <w:r w:rsidR="0020690E">
        <w:t xml:space="preserve"> Aus </w:t>
      </w:r>
      <w:r w:rsidR="00400442">
        <w:t>der bisherigen Literatur ergibt</w:t>
      </w:r>
      <w:r w:rsidR="00D13501">
        <w:t xml:space="preserve"> sich </w:t>
      </w:r>
      <w:r w:rsidR="00400442">
        <w:t>die folgende Annahme</w:t>
      </w:r>
      <w:r w:rsidR="00D13501">
        <w:t xml:space="preserve">: </w:t>
      </w:r>
    </w:p>
    <w:p w:rsidR="00D13501" w:rsidRDefault="00D13501" w:rsidP="004B1A26">
      <w:r>
        <w:lastRenderedPageBreak/>
        <w:t>Hypothese 1</w:t>
      </w:r>
      <w:r w:rsidR="00942303">
        <w:t>.1</w:t>
      </w:r>
      <w:r>
        <w:t xml:space="preserve">: Die Power im </w:t>
      </w:r>
      <w:proofErr w:type="spellStart"/>
      <w:r>
        <w:t>Betaband</w:t>
      </w:r>
      <w:proofErr w:type="spellEnd"/>
      <w:r w:rsidR="004C62A2">
        <w:t xml:space="preserve"> </w:t>
      </w:r>
      <w:r w:rsidR="00527BD2">
        <w:t xml:space="preserve">des LFP </w:t>
      </w:r>
      <w:r w:rsidR="00942303">
        <w:t>ist</w:t>
      </w:r>
      <w:r w:rsidR="00626AE7">
        <w:t xml:space="preserve"> in der Nähe der Zielposition</w:t>
      </w:r>
      <w:r w:rsidR="0020690E">
        <w:t xml:space="preserve"> </w:t>
      </w:r>
      <w:r w:rsidR="00E17525">
        <w:t>größer</w:t>
      </w:r>
      <w:r w:rsidR="00B47553">
        <w:t xml:space="preserve"> als in weiter</w:t>
      </w:r>
      <w:r w:rsidR="00626AE7">
        <w:t xml:space="preserve"> Entfernung von der Zielposition</w:t>
      </w:r>
      <w:r>
        <w:t>.</w:t>
      </w:r>
    </w:p>
    <w:p w:rsidR="00942303" w:rsidRDefault="0066637E" w:rsidP="00942303">
      <w:r>
        <w:t>Hypothese 1.2: Die</w:t>
      </w:r>
      <w:r w:rsidR="00942303">
        <w:t xml:space="preserve"> </w:t>
      </w:r>
      <w:r>
        <w:t xml:space="preserve">Spike-Aktivität im elektrischen Signal </w:t>
      </w:r>
      <w:r w:rsidR="00942303">
        <w:t>ist in d</w:t>
      </w:r>
      <w:r w:rsidR="00626AE7">
        <w:t>er Nähe der Zielposition</w:t>
      </w:r>
      <w:r w:rsidR="00E17525">
        <w:t xml:space="preserve"> größer</w:t>
      </w:r>
      <w:r w:rsidR="00626AE7">
        <w:t xml:space="preserve"> als in weiter Entfernung von</w:t>
      </w:r>
      <w:r w:rsidR="00942303">
        <w:t xml:space="preserve"> </w:t>
      </w:r>
      <w:r w:rsidR="00626AE7">
        <w:t>der Zielposition</w:t>
      </w:r>
      <w:r w:rsidR="00942303">
        <w:t>.</w:t>
      </w:r>
    </w:p>
    <w:p w:rsidR="00C354B8" w:rsidRDefault="00D13501" w:rsidP="004B1A26">
      <w:r>
        <w:t>Ebenfalls von besonderem Interesse ist die aperiodische Komponente de</w:t>
      </w:r>
      <w:r w:rsidR="00B20E7A">
        <w:t>s LFP</w:t>
      </w:r>
      <w:r>
        <w:t xml:space="preserve">. </w:t>
      </w:r>
      <w:r w:rsidR="00B20E7A">
        <w:t>Das LFP</w:t>
      </w:r>
      <w:r>
        <w:t xml:space="preserve"> enthält periodische und aperiodische Eigenschaften. In der Forschung wurden bisher in den meisten </w:t>
      </w:r>
      <w:r w:rsidR="005F4B73">
        <w:t>Bereichen zur Analyse neuraler Aktivität übergreifend definierte Frequenzbänder untersucht</w:t>
      </w:r>
      <w:r>
        <w:t>, während der aperiodische Anteil, der einer 1/f-Verteilun</w:t>
      </w:r>
      <w:r w:rsidR="00B20E7A">
        <w:t>g entspricht</w:t>
      </w:r>
      <w:r w:rsidR="00562463">
        <w:t>, nur als Hintergrundra</w:t>
      </w:r>
      <w:r w:rsidR="005F4B73">
        <w:t>uschen</w:t>
      </w:r>
      <w:r w:rsidR="00516698">
        <w:t xml:space="preserve"> ignoriert wurde </w:t>
      </w:r>
      <w:r w:rsidR="00516698">
        <w:fldChar w:fldCharType="begin"/>
      </w:r>
      <w:r w:rsidR="00516698">
        <w:instrText xml:space="preserve"> ADDIN ZOTERO_ITEM CSL_CITATION {"citationID":"PdmhtKKo","properties":{"formattedCitation":"(Donoghue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fldChar w:fldCharType="separate"/>
      </w:r>
      <w:r w:rsidR="00516698" w:rsidRPr="00516698">
        <w:rPr>
          <w:rFonts w:ascii="Calibri" w:hAnsi="Calibri" w:cs="Calibri"/>
        </w:rPr>
        <w:t>(Donoghue et al., 2020)</w:t>
      </w:r>
      <w:r w:rsidR="00516698">
        <w:fldChar w:fldCharType="end"/>
      </w:r>
      <w:r w:rsidR="00C141B0">
        <w:t>.</w:t>
      </w:r>
      <w:r w:rsidR="00193E0E">
        <w:t xml:space="preserve"> Dass die periodischen Oszillationen mit physiologischen, kognitiven und </w:t>
      </w:r>
      <w:proofErr w:type="spellStart"/>
      <w:r w:rsidR="00193E0E">
        <w:t>behavioralen</w:t>
      </w:r>
      <w:proofErr w:type="spellEnd"/>
      <w:r w:rsidR="00193E0E">
        <w:t xml:space="preserve"> Zuständen sowie mit Krankheitseigenschaften zusammenhängen, konnte in der Vergangenheit nachgewiesen werden</w:t>
      </w:r>
      <w:r w:rsidR="00516698">
        <w:t xml:space="preserve"> </w:t>
      </w:r>
      <w:r w:rsidR="00516698">
        <w:fldChar w:fldCharType="begin"/>
      </w:r>
      <w:r w:rsidR="00516698">
        <w:instrText xml:space="preserve"> ADDIN ZOTERO_ITEM CSL_CITATION {"citationID":"9fDPhuTn","properties":{"formattedCitation":"(Voytek &amp; Knight, 2015)","plainCitation":"(Voytek &amp; Knight, 2015)","noteIndex":0},"citationItems":[{"id":76,"uris":["http://zotero.org/users/local/AhaM3qLx/items/XBLGR2UH"],"itemData":{"id":76,"type":"article-journal","abstract":"Perception, cognition, and social interaction depend upon coordinated neural activity. This coordination operates within noisy, overlapping, and distributed neural networks operating at multiple timescales. These networks are built upon a structural scaffolding with intrinsic neuroplasticity that changes with development, aging, disease, and personal experience. In this article, we begin from the perspective that successful interregional communication relies upon the transient synchronization between distinct low-frequency (,80 Hz) oscillations, allowing for brief windows of communication via phase-coordinated local neuronal spiking. From this, we construct a theoretical framework for dynamic network communication, arguing that these networks reﬂect a balance between oscillatory coupling and local population spiking activity and that these two levels of activity interact. We theorize that when oscillatory coupling is too strong, spike timing within the local neuronal population becomes too synchronous; when oscillatory coupling is too weak, spike timing is too disorganized. Each results in speciﬁc disruptions to neural communication. These alterations in communication dynamics may underlie cognitive changes associated with healthy development and aging, in addition to neurological and psychiatric disorders. A number of neurological and psychiatric disorders —including Parkinson’s disease, autism, depression, schizophrenia, and anxiety—are associated with abnormalities in oscillatory activity. Although aging, psychiatric and neurological disease, and experience differ in the biological changes to structural gray or white matter, neurotransmission, and gene expression, our framework suggests that any resultant cognitive and behavioral changes in normal or disordered states or their treatment are a product of how these physical processes affect dynamic network communication.","container-title":"Biological Psychiatry","DOI":"10.1016/j.biopsych.2015.04.016","ISSN":"00063223","issue":"12","journalAbbreviation":"Biological Psychiatry","language":"en","page":"1089-1097","source":"DOI.org (Crossref)","title":"Dynamic Network Communication as a Unifying Neural Basis for Cognition, Development, Aging, and Disease","volume":"77","author":[{"family":"Voytek","given":"Bradley"},{"family":"Knight","given":"Robert T."}],"issued":{"date-parts":[["2015",6]]}}}],"schema":"https://github.com/citation-style-language/schema/raw/master/csl-citation.json"} </w:instrText>
      </w:r>
      <w:r w:rsidR="00516698">
        <w:fldChar w:fldCharType="separate"/>
      </w:r>
      <w:r w:rsidR="00516698" w:rsidRPr="00516698">
        <w:rPr>
          <w:rFonts w:ascii="Calibri" w:hAnsi="Calibri" w:cs="Calibri"/>
        </w:rPr>
        <w:t>(Voytek &amp; Knight, 2015)</w:t>
      </w:r>
      <w:r w:rsidR="00516698">
        <w:fldChar w:fldCharType="end"/>
      </w:r>
      <w:r w:rsidR="00193E0E">
        <w:t>. Nun gibt es aber auch Hinweise darauf, dass</w:t>
      </w:r>
      <w:r w:rsidR="00A43F20">
        <w:t xml:space="preserve"> sich</w:t>
      </w:r>
      <w:r w:rsidR="00193E0E">
        <w:t xml:space="preserve"> die aperiodische Komponente ebenfalls </w:t>
      </w:r>
      <w:r w:rsidR="00A43F20">
        <w:t xml:space="preserve">in Abhängigkeit von Alter, Aufgabenanforderungen und kognitiven Zuständen verändert und somit eher eine physiologisch interpretierbare Eigenschaft darstellt, statt eines zufälligen Hintergrundrauschens. Durch einen neuen Algorithmus </w:t>
      </w:r>
      <w:r w:rsidR="00CB3F02">
        <w:t xml:space="preserve">(FOOOF) </w:t>
      </w:r>
      <w:r w:rsidR="00516698">
        <w:t xml:space="preserve">von </w:t>
      </w:r>
      <w:r w:rsidR="00516698">
        <w:fldChar w:fldCharType="begin"/>
      </w:r>
      <w:r w:rsidR="009244FB">
        <w:instrText xml:space="preserve"> ADDIN ZOTERO_ITEM CSL_CITATION {"citationID":"KinTarbW","properties":{"formattedCitation":"(Donoghue et al., 2020)","plainCitation":"(Donoghue et al., 2020)","dontUpdate":true,"noteIndex":0},"citationItems":[{"id":71,"uris":["http://zotero.org/users/local/AhaM3qLx/items/NYIFV3S8"],"itemData":{"id":71,"type":"article-journal","container-title":"Nature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fldChar w:fldCharType="separate"/>
      </w:r>
      <w:r w:rsidR="00516698">
        <w:rPr>
          <w:rFonts w:ascii="Calibri" w:hAnsi="Calibri" w:cs="Calibri"/>
        </w:rPr>
        <w:t>Donoghue et al.</w:t>
      </w:r>
      <w:r w:rsidR="00516698" w:rsidRPr="00516698">
        <w:rPr>
          <w:rFonts w:ascii="Calibri" w:hAnsi="Calibri" w:cs="Calibri"/>
        </w:rPr>
        <w:t xml:space="preserve"> </w:t>
      </w:r>
      <w:r w:rsidR="00516698">
        <w:rPr>
          <w:rFonts w:ascii="Calibri" w:hAnsi="Calibri" w:cs="Calibri"/>
        </w:rPr>
        <w:t>(</w:t>
      </w:r>
      <w:r w:rsidR="00516698" w:rsidRPr="00516698">
        <w:rPr>
          <w:rFonts w:ascii="Calibri" w:hAnsi="Calibri" w:cs="Calibri"/>
        </w:rPr>
        <w:t>2020)</w:t>
      </w:r>
      <w:r w:rsidR="00516698">
        <w:fldChar w:fldCharType="end"/>
      </w:r>
      <w:r w:rsidR="00A43F20">
        <w:t xml:space="preserve"> kann der aperiodische Anteil des Signals von den periodischen Anteilen getrennt werden</w:t>
      </w:r>
      <w:r w:rsidR="00C354B8">
        <w:t>. Dadurch können w</w:t>
      </w:r>
      <w:r w:rsidR="00CB3F02">
        <w:t xml:space="preserve">ir die reine Power der periodischen Oszillationen </w:t>
      </w:r>
      <w:r w:rsidR="00B21298">
        <w:t>ohne aperiodischen Anteil für die</w:t>
      </w:r>
      <w:r w:rsidR="00CB3F02">
        <w:t xml:space="preserve"> einzelnen</w:t>
      </w:r>
      <w:r w:rsidR="00C354B8">
        <w:t xml:space="preserve"> Frequenzbänder errechnen, aber auch die aperiodische Komponente selbst als Faktor untersuchen. Dabei gehen wir davon aus, dass </w:t>
      </w:r>
      <w:r w:rsidR="008C2BEA">
        <w:t xml:space="preserve">der aperiodische Exponent in der Nähe der Zielposition sich von dem aperiodischen Exponenten in weiter Entfernung von der Zielposition unterscheidet. Außerdem wird überprüft, ob </w:t>
      </w:r>
      <w:r w:rsidR="00C354B8">
        <w:t xml:space="preserve">es </w:t>
      </w:r>
      <w:r w:rsidR="00E17525">
        <w:t xml:space="preserve">auch </w:t>
      </w:r>
      <w:r w:rsidR="008C2BEA">
        <w:t>eine</w:t>
      </w:r>
      <w:r w:rsidR="00492E17">
        <w:t>n</w:t>
      </w:r>
      <w:r w:rsidR="00C354B8">
        <w:t xml:space="preserve"> </w:t>
      </w:r>
      <w:r w:rsidR="00492E17">
        <w:t>Zusammenhang</w:t>
      </w:r>
      <w:r w:rsidR="008C2BEA">
        <w:t xml:space="preserve"> </w:t>
      </w:r>
      <w:r w:rsidR="00C354B8">
        <w:t>zwischen der aperiodischen Kompo</w:t>
      </w:r>
      <w:r w:rsidR="00A236E8">
        <w:t>nente und der Zielposition</w:t>
      </w:r>
      <w:r w:rsidR="00C354B8">
        <w:t xml:space="preserve"> gibt</w:t>
      </w:r>
      <w:r w:rsidR="00E17525">
        <w:t>, in dem die Elektrode implantiert wurde</w:t>
      </w:r>
      <w:r w:rsidR="00C354B8">
        <w:t>.</w:t>
      </w:r>
      <w:r w:rsidR="008C2BEA">
        <w:t xml:space="preserve"> </w:t>
      </w:r>
    </w:p>
    <w:p w:rsidR="00E97C3E" w:rsidRDefault="00E97C3E" w:rsidP="004B1A26">
      <w:r>
        <w:t xml:space="preserve">Hypothese 2.1: Die aperiodische Komponente </w:t>
      </w:r>
      <w:r w:rsidR="00EA4FAA">
        <w:t>des LFP</w:t>
      </w:r>
      <w:r>
        <w:t xml:space="preserve"> in der Nähe der Zielposition</w:t>
      </w:r>
      <w:r w:rsidR="00EA4FAA">
        <w:t xml:space="preserve"> unterscheidet sich von der aperiodischen Komponente des LFP in</w:t>
      </w:r>
      <w:r>
        <w:t xml:space="preserve"> weiter Entfernung von der Zielposition.</w:t>
      </w:r>
    </w:p>
    <w:p w:rsidR="00D13501" w:rsidRDefault="008637AB" w:rsidP="004B1A26">
      <w:r>
        <w:t>Hypothese 2</w:t>
      </w:r>
      <w:r w:rsidR="00E97C3E">
        <w:t>.2</w:t>
      </w:r>
      <w:r w:rsidR="00C354B8">
        <w:t>: Die aperiod</w:t>
      </w:r>
      <w:r w:rsidR="004D0B8A">
        <w:t>ische Komponente des LFP</w:t>
      </w:r>
      <w:r w:rsidR="00E97C3E">
        <w:t xml:space="preserve"> korreliert </w:t>
      </w:r>
      <w:r w:rsidR="00BE20E5">
        <w:t>mit der Entfernu</w:t>
      </w:r>
      <w:r w:rsidR="00A236E8">
        <w:t>ng der Elektrode zu der Zielposition.</w:t>
      </w:r>
    </w:p>
    <w:p w:rsidR="008637AB" w:rsidRDefault="008637AB" w:rsidP="004B1A26">
      <w:r>
        <w:t xml:space="preserve">Es soll </w:t>
      </w:r>
      <w:r w:rsidR="009229BA">
        <w:t xml:space="preserve">zusätzlich </w:t>
      </w:r>
      <w:r>
        <w:t>explorativ überprüft werden, ob die bisherigen Befunde aus der Forschung in dem vorhandenen Datensatz zu finden sind und ob noch weitere As</w:t>
      </w:r>
      <w:r w:rsidR="00230440">
        <w:t>pekte eine Rolle für die Position der Elektrode spielen</w:t>
      </w:r>
      <w:r>
        <w:t xml:space="preserve">, die bisher nicht berücksichtigt worden sind. Die Power im Thetaband und im Alphaband wurde beispielsweise mit Tremor in Verbindung gebracht, aber nicht </w:t>
      </w:r>
      <w:r w:rsidR="00606DE4">
        <w:t xml:space="preserve">direkt </w:t>
      </w:r>
      <w:r>
        <w:t>mit der Positionierung der Elektrode im sensomotorischen Bereich des STK (</w:t>
      </w:r>
      <w:proofErr w:type="spellStart"/>
      <w:r>
        <w:t>Koirala</w:t>
      </w:r>
      <w:proofErr w:type="spellEnd"/>
      <w:r>
        <w:t xml:space="preserve"> et al., 2020).</w:t>
      </w:r>
    </w:p>
    <w:p w:rsidR="000C5BA2" w:rsidRDefault="000C5BA2" w:rsidP="004B1A26">
      <w:r>
        <w:t xml:space="preserve">Ein weiteres Ziel ist, am Ende der Masterarbeit ein Skript entwickelt zu haben, das zukünftige Forschung </w:t>
      </w:r>
      <w:r w:rsidR="00843FF4">
        <w:t xml:space="preserve">zu diesem Bereich </w:t>
      </w:r>
      <w:r>
        <w:t>erleichtert und ein automatisiertes Programm zu Verfügung stellt, mit dem andere Datensätze und Fragestellungen verarbeitet und untersucht werden können.</w:t>
      </w:r>
    </w:p>
    <w:p w:rsidR="00465D1F" w:rsidRDefault="00966214" w:rsidP="000D188D">
      <w:r>
        <w:t xml:space="preserve">2. Methoden </w:t>
      </w:r>
    </w:p>
    <w:p w:rsidR="00966214" w:rsidRDefault="00B67AB5" w:rsidP="000D188D">
      <w:r>
        <w:t>2.1 Intraoperative Ableitung</w:t>
      </w:r>
    </w:p>
    <w:p w:rsidR="00D21565" w:rsidRDefault="00966214" w:rsidP="000D188D">
      <w:r>
        <w:t>Es liegen Daten von 30 Patient*innen vor, die an Morbus Parkinson erkrankt sind und eine Behandlung durch THS</w:t>
      </w:r>
      <w:r w:rsidR="00AE35F8">
        <w:t xml:space="preserve"> erhalten haben. Pro Patient*in sind 38 bis 153 Momentaufnahmen vorhanden</w:t>
      </w:r>
      <w:r w:rsidR="0079625F">
        <w:t>,</w:t>
      </w:r>
      <w:r w:rsidR="00AE35F8">
        <w:t xml:space="preserve"> die während der Operation von Testelektroden aufgezeichnet wurden.</w:t>
      </w:r>
      <w:r w:rsidR="0079625F">
        <w:t xml:space="preserve"> </w:t>
      </w:r>
      <w:r w:rsidR="00AE35F8">
        <w:t>Jede Momentaufnahme</w:t>
      </w:r>
      <w:r>
        <w:t xml:space="preserve"> </w:t>
      </w:r>
      <w:r w:rsidR="00AE35F8">
        <w:t>e</w:t>
      </w:r>
      <w:r w:rsidR="001F6781">
        <w:t>nthält das elektrische</w:t>
      </w:r>
      <w:r w:rsidR="00AE35F8">
        <w:t xml:space="preserve"> Signal einer bestimmten Elektrodenposition.</w:t>
      </w:r>
      <w:r w:rsidR="001F6781">
        <w:t xml:space="preserve"> Neben den Rohdaten befinden sich in den Datensätzen noch einige weitere Versionen, bei denen das Signal auf unterschiedliche Weise bereits vorverarbeitet oder gefiltert wurde. </w:t>
      </w:r>
      <w:r w:rsidR="00AE35F8">
        <w:t>Es gibt für jede Momentaufnahmen Informationen über die</w:t>
      </w:r>
      <w:r w:rsidR="00E5355F">
        <w:t xml:space="preserve"> Seite, auf der die Elektrode eingeführt wurde. </w:t>
      </w:r>
      <w:r w:rsidR="001F6781">
        <w:t xml:space="preserve">Da bei der Therapie mit THS bilateral stimulier wird, kann die Elektrode sich </w:t>
      </w:r>
      <w:r w:rsidR="00F577BF">
        <w:t>in der rechten</w:t>
      </w:r>
      <w:r w:rsidR="00E5355F">
        <w:t xml:space="preserve"> (R)</w:t>
      </w:r>
      <w:r w:rsidR="00F577BF">
        <w:t xml:space="preserve"> oder linken </w:t>
      </w:r>
      <w:r w:rsidR="00F577BF">
        <w:lastRenderedPageBreak/>
        <w:t xml:space="preserve">Hemisphäre </w:t>
      </w:r>
      <w:r w:rsidR="00E5355F">
        <w:t xml:space="preserve">(L) </w:t>
      </w:r>
      <w:r w:rsidR="00F577BF">
        <w:t>befindet.</w:t>
      </w:r>
      <w:r w:rsidR="0035508D">
        <w:t xml:space="preserve"> </w:t>
      </w:r>
      <w:r w:rsidR="001F6781">
        <w:t xml:space="preserve">Zur Einführung der Elektrode wird sie außerdem in eine winkelstabile Vorrichtung eingeführt, die aus 5 Öffnungen besteht. </w:t>
      </w:r>
      <w:r w:rsidR="00E635F2">
        <w:t xml:space="preserve">Je nachdem in welche Öffnung </w:t>
      </w:r>
      <w:r w:rsidR="001F6781">
        <w:t>die Elektrode eingeführt wu</w:t>
      </w:r>
      <w:r w:rsidR="00E635F2">
        <w:t>rd</w:t>
      </w:r>
      <w:r w:rsidR="001F6781">
        <w:t>e, ist</w:t>
      </w:r>
      <w:r w:rsidR="00E635F2">
        <w:t xml:space="preserve"> die</w:t>
      </w:r>
      <w:r w:rsidR="001F6781">
        <w:t xml:space="preserve"> Position der</w:t>
      </w:r>
      <w:r w:rsidR="00E635F2">
        <w:t xml:space="preserve"> Elektrode entweder zentral (T1), </w:t>
      </w:r>
      <w:proofErr w:type="spellStart"/>
      <w:r w:rsidR="00E635F2">
        <w:t>anterior</w:t>
      </w:r>
      <w:proofErr w:type="spellEnd"/>
      <w:r w:rsidR="00E635F2">
        <w:t xml:space="preserve"> (T2), medial (T3 auf der linken Seite; T5 auf der rechten Seite), </w:t>
      </w:r>
      <w:proofErr w:type="spellStart"/>
      <w:r w:rsidR="00E635F2">
        <w:t>posterior</w:t>
      </w:r>
      <w:proofErr w:type="spellEnd"/>
      <w:r w:rsidR="00E635F2">
        <w:t xml:space="preserve"> (T4) oder lateral (T5 auf der linken Seite; T3 auf der linken Seite). </w:t>
      </w:r>
      <w:r w:rsidR="001F6781">
        <w:t>Die letzte relevante Information über die Position der Elektrode ist d</w:t>
      </w:r>
      <w:r w:rsidR="00CA7EC0">
        <w:t>ie Tiefe de</w:t>
      </w:r>
      <w:r w:rsidR="00D67C89">
        <w:t>r Elektrode in Relation zu einer Zielposition</w:t>
      </w:r>
      <w:r w:rsidR="00CA7EC0">
        <w:t>. Die Zielposition für die Elektrode wurde zuvor mittels MRT</w:t>
      </w:r>
      <w:r w:rsidR="001F6781">
        <w:t xml:space="preserve"> bestimmt und wird</w:t>
      </w:r>
      <w:r w:rsidR="00CA7EC0">
        <w:t xml:space="preserve"> als 0 kodiert. Die Messung des S</w:t>
      </w:r>
      <w:r w:rsidR="00D67C89">
        <w:t>ignals beginnt bei der Implantation der Elektrode</w:t>
      </w:r>
      <w:r w:rsidR="00CA7EC0">
        <w:t xml:space="preserve"> in der </w:t>
      </w:r>
      <w:r w:rsidR="001F6781">
        <w:t>Regel bei einer Tiefe von 10</w:t>
      </w:r>
      <w:r w:rsidR="00CA7EC0">
        <w:t>, also 10 mm vor der Zielposition.</w:t>
      </w:r>
      <w:r w:rsidR="0092094A">
        <w:t xml:space="preserve"> Wird die Elektrode über die Zielposition hinaus bewegt, bekommt die Tiefe ein negatives Vorzeichen</w:t>
      </w:r>
      <w:r w:rsidR="00D21565">
        <w:t>.</w:t>
      </w:r>
    </w:p>
    <w:p w:rsidR="0023392E" w:rsidRDefault="0023392E" w:rsidP="000D188D">
      <w:r>
        <w:t>2.2 Durchführung</w:t>
      </w:r>
    </w:p>
    <w:p w:rsidR="004A551C" w:rsidRDefault="00F96CB9" w:rsidP="000D188D">
      <w:r>
        <w:t>Bevor die Operation</w:t>
      </w:r>
      <w:r w:rsidR="00CD7FA9">
        <w:t xml:space="preserve"> zur Implantation der Elektroden</w:t>
      </w:r>
      <w:r>
        <w:t xml:space="preserve"> stattfindet, wird durch ein MRT des Gehirns die Position des STK bestimmt, um festzulegen, an welcher Stelle die Elektrode eingesetzt werden soll. Da die STK selbst im MRT oft nicht ausreichend erkennbar sind, muss die</w:t>
      </w:r>
      <w:r w:rsidR="00FA0E4A">
        <w:t xml:space="preserve"> Position durch die umliegenden Strukturen geschätzt werden. </w:t>
      </w:r>
      <w:r w:rsidR="00842EDA">
        <w:t>Für die Durchführung der Operation wurde als physiologisches Navigationssys</w:t>
      </w:r>
      <w:r w:rsidR="003C26E7">
        <w:t xml:space="preserve">tem zur Neurochirurgie das </w:t>
      </w:r>
      <w:proofErr w:type="spellStart"/>
      <w:r w:rsidR="003C26E7">
        <w:t>Neuro</w:t>
      </w:r>
      <w:proofErr w:type="spellEnd"/>
      <w:r w:rsidR="003C26E7">
        <w:t xml:space="preserve"> Omega System</w:t>
      </w:r>
      <w:r w:rsidR="00842EDA">
        <w:t xml:space="preserve"> von Alpha Omega </w:t>
      </w:r>
      <w:proofErr w:type="spellStart"/>
      <w:r w:rsidR="00842EDA">
        <w:t>Enginnering</w:t>
      </w:r>
      <w:proofErr w:type="spellEnd"/>
      <w:r w:rsidR="00842EDA">
        <w:t xml:space="preserve"> LTD.</w:t>
      </w:r>
      <w:r w:rsidR="003C26E7">
        <w:t xml:space="preserve"> </w:t>
      </w:r>
      <w:r w:rsidR="00842EDA">
        <w:t xml:space="preserve">verwendet. </w:t>
      </w:r>
      <w:r w:rsidR="003C26E7">
        <w:t xml:space="preserve">Es handelt sich dabei um ein Gerät mit dem intraoperativ </w:t>
      </w:r>
      <w:r w:rsidR="00BF1CB7">
        <w:t xml:space="preserve">neurophysiologische Aufzeichnungen und Stimulationen durchgeführt werden können. </w:t>
      </w:r>
      <w:r w:rsidR="000E3A63">
        <w:t>Z</w:t>
      </w:r>
      <w:r w:rsidR="003F70B6">
        <w:t>ur Durchführung der Operation wu</w:t>
      </w:r>
      <w:r w:rsidR="000E3A63">
        <w:t>rd</w:t>
      </w:r>
      <w:r w:rsidR="003F70B6">
        <w:t>e</w:t>
      </w:r>
      <w:r w:rsidR="00FA0E4A">
        <w:t xml:space="preserve"> an der</w:t>
      </w:r>
      <w:r w:rsidR="000E3A63">
        <w:t xml:space="preserve"> vorher bestimmten Stelle durch eine Bohrung di</w:t>
      </w:r>
      <w:r w:rsidR="003F70B6">
        <w:t>e Schädeldecke geöffnet. Dort wu</w:t>
      </w:r>
      <w:r w:rsidR="000E3A63">
        <w:t>rd</w:t>
      </w:r>
      <w:r w:rsidR="003F70B6">
        <w:t>e</w:t>
      </w:r>
      <w:r w:rsidR="000E3A63">
        <w:t xml:space="preserve"> zunächst erstmal eine Testelektrode eingeführt, um die Nebenwirkungen der THS durch das Anpassen der Position und der Stromstärke zu minimieren. </w:t>
      </w:r>
      <w:r w:rsidR="0092094A">
        <w:t xml:space="preserve"> </w:t>
      </w:r>
      <w:r w:rsidR="003F70B6">
        <w:t>Dafür wurden die Patient*innen geweckt, damit sie Fragen beantworten konnten. Ihre Antworten konnten Hinweise auf Sprach- oder Denkstörungen geben, die durch die THS neu entstanden sind.</w:t>
      </w:r>
      <w:r w:rsidR="00C62577">
        <w:t xml:space="preserve"> Da die im Voraus berechnete Stelle für die Platzierung der Elektrode </w:t>
      </w:r>
      <w:r w:rsidR="00D60E01">
        <w:t>meistens</w:t>
      </w:r>
      <w:r w:rsidR="00C62577">
        <w:t xml:space="preserve"> bereits ausreichend genau i</w:t>
      </w:r>
      <w:r w:rsidR="00D60E01">
        <w:t>st, wurde die Elektrode in der Regel</w:t>
      </w:r>
      <w:r w:rsidR="00C62577">
        <w:t xml:space="preserve"> nur in das zentrale Trajekt eingeführt. Falls dieses Trajekt doch nicht zu dem gewünschten Ergebnis führte, wurden in wenigen Fällen andere Trajekte ausprobiert, um die unerwünschten Nebenwirkungen der THS besser zu umgehen und die Verbesserung der Symptomatik zu maximieren.</w:t>
      </w:r>
      <w:r w:rsidR="00D21565">
        <w:t xml:space="preserve"> Es können</w:t>
      </w:r>
      <w:r w:rsidR="00396A46">
        <w:t xml:space="preserve"> daher die Aufzeichnungen von eins bis fünf Kanälen</w:t>
      </w:r>
      <w:r w:rsidR="007F6159">
        <w:t xml:space="preserve"> </w:t>
      </w:r>
      <w:r w:rsidR="00D60E01">
        <w:t>enthalten sein, wobei dies lediglich</w:t>
      </w:r>
      <w:r w:rsidR="00D21565">
        <w:t xml:space="preserve"> die Verwendung eines weiteren</w:t>
      </w:r>
      <w:r w:rsidR="00396A46">
        <w:t xml:space="preserve"> Trajekts bedeutete. </w:t>
      </w:r>
      <w:r w:rsidR="00D21565">
        <w:t>Bei insgesamt 3738 Momentaufnahmen</w:t>
      </w:r>
      <w:r w:rsidR="00912FB2">
        <w:t xml:space="preserve"> (</w:t>
      </w:r>
      <w:r w:rsidR="00912FB2" w:rsidRPr="00912FB2">
        <w:rPr>
          <w:i/>
        </w:rPr>
        <w:t>M</w:t>
      </w:r>
      <w:r w:rsidR="00912FB2">
        <w:t xml:space="preserve"> = 124.6, </w:t>
      </w:r>
      <w:r w:rsidR="00912FB2" w:rsidRPr="00912FB2">
        <w:rPr>
          <w:i/>
        </w:rPr>
        <w:t>SD</w:t>
      </w:r>
      <w:r w:rsidR="00CD7FA9">
        <w:t xml:space="preserve"> = 26.6</w:t>
      </w:r>
      <w:r w:rsidR="00912FB2">
        <w:t>) über die 30 Patient*innen, gab es 3971 Kanäle</w:t>
      </w:r>
      <w:r w:rsidR="00754537">
        <w:t>, wobei bei 8 Patient*innen mehr als ein Kanal vorhanden war</w:t>
      </w:r>
      <w:r w:rsidR="00912FB2">
        <w:t>.</w:t>
      </w:r>
      <w:r w:rsidR="00D23BEA">
        <w:t xml:space="preserve"> D</w:t>
      </w:r>
      <w:r w:rsidR="00754537">
        <w:t>ie höchste Anzahl an Kanälen</w:t>
      </w:r>
      <w:r w:rsidR="00D60E01">
        <w:t xml:space="preserve"> war 3</w:t>
      </w:r>
      <w:r w:rsidR="00754537">
        <w:t>.</w:t>
      </w:r>
      <w:r w:rsidR="00912FB2">
        <w:t xml:space="preserve"> In dem Ordner </w:t>
      </w:r>
      <w:r w:rsidR="00D21565">
        <w:t>mit den wenigsten Momentaufnahmen</w:t>
      </w:r>
      <w:r w:rsidR="00912FB2">
        <w:t>, befanden sic</w:t>
      </w:r>
      <w:r w:rsidR="00D21565">
        <w:t>h 38 Momentaufnahmen</w:t>
      </w:r>
      <w:r w:rsidR="00CD7FA9">
        <w:t xml:space="preserve">. In dem Ordner mit </w:t>
      </w:r>
      <w:r w:rsidR="00912FB2">
        <w:t xml:space="preserve">den meisten </w:t>
      </w:r>
      <w:r w:rsidR="00D21565">
        <w:t xml:space="preserve">Momentaufnahmen </w:t>
      </w:r>
      <w:r w:rsidR="00D60E01">
        <w:t>befanden sich 153</w:t>
      </w:r>
      <w:r w:rsidR="00D21565">
        <w:t xml:space="preserve"> Momentaufnahmen</w:t>
      </w:r>
      <w:r w:rsidR="00D60E01">
        <w:t xml:space="preserve">. </w:t>
      </w:r>
      <w:r w:rsidR="007F6159">
        <w:t>Sobald die Position</w:t>
      </w:r>
      <w:r w:rsidR="005F0D0D">
        <w:t xml:space="preserve"> der Elektrode ausgewählt wurde, die das</w:t>
      </w:r>
      <w:r w:rsidR="007F6159">
        <w:t xml:space="preserve"> </w:t>
      </w:r>
      <w:r w:rsidR="005F0D0D">
        <w:t>beste Ergebnis aufwies</w:t>
      </w:r>
      <w:r w:rsidR="007F6159">
        <w:t xml:space="preserve">, konnte anschließend die endgültige Elektrode eingeführt und die Operationsstelle verschlossen werden. Da bilateral stimuliert wird, wurde dieses Vorgehen sowohl für die linke, als auch für die rechte Hemisphäre durchgeführt. Abschließend wurde ein CT durchgeführt, um eventuelle Blutungen oder andere Gefahren zu überprüfen. </w:t>
      </w:r>
    </w:p>
    <w:p w:rsidR="0023392E" w:rsidRDefault="00C62D1C" w:rsidP="000D188D">
      <w:r>
        <w:t xml:space="preserve">2.3 </w:t>
      </w:r>
      <w:proofErr w:type="gramStart"/>
      <w:r>
        <w:t>Vorverarbeitung</w:t>
      </w:r>
      <w:proofErr w:type="gramEnd"/>
      <w:r w:rsidR="00D37F49">
        <w:t xml:space="preserve"> der Spike- und LFP-</w:t>
      </w:r>
      <w:r w:rsidR="0023392E">
        <w:t>Daten</w:t>
      </w:r>
    </w:p>
    <w:p w:rsidR="002128B3" w:rsidRDefault="002128B3" w:rsidP="000D188D">
      <w:r>
        <w:t>2.3.1 Einlesen der Daten</w:t>
      </w:r>
    </w:p>
    <w:p w:rsidR="002128B3" w:rsidRDefault="00610D3E" w:rsidP="000D188D">
      <w:r>
        <w:t>Die Datensätze wu</w:t>
      </w:r>
      <w:r w:rsidR="0023392E">
        <w:t>rde</w:t>
      </w:r>
      <w:r>
        <w:t>n</w:t>
      </w:r>
      <w:r w:rsidR="0023392E">
        <w:t xml:space="preserve"> mit Hilfe von</w:t>
      </w:r>
      <w:r w:rsidR="00B47FD4">
        <w:t xml:space="preserve"> selbsterstellten Skripten in</w:t>
      </w:r>
      <w:r w:rsidR="0023392E">
        <w:t xml:space="preserve"> </w:t>
      </w:r>
      <w:proofErr w:type="spellStart"/>
      <w:r w:rsidR="0023392E">
        <w:t>Matlab</w:t>
      </w:r>
      <w:proofErr w:type="spellEnd"/>
      <w:r w:rsidR="0023392E">
        <w:t xml:space="preserve"> (R2020b, </w:t>
      </w:r>
      <w:proofErr w:type="spellStart"/>
      <w:r w:rsidR="0023392E">
        <w:t>MathWorks</w:t>
      </w:r>
      <w:proofErr w:type="spellEnd"/>
      <w:r w:rsidR="0023392E">
        <w:t xml:space="preserve"> Inc.)</w:t>
      </w:r>
      <w:r>
        <w:t xml:space="preserve"> eingelesen, verarbeitet und visualisiert. </w:t>
      </w:r>
      <w:r w:rsidR="00B43223">
        <w:t xml:space="preserve">Um die Daten einzulesen und zu verarbeiten wurde die </w:t>
      </w:r>
      <w:proofErr w:type="spellStart"/>
      <w:r w:rsidR="00B43223">
        <w:t>Matlab</w:t>
      </w:r>
      <w:proofErr w:type="spellEnd"/>
      <w:r w:rsidR="00B43223">
        <w:t>-Toolbox F</w:t>
      </w:r>
      <w:r w:rsidR="00516698">
        <w:t xml:space="preserve">ieldtrip verwendet </w:t>
      </w:r>
      <w:r w:rsidR="00516698">
        <w:fldChar w:fldCharType="begin"/>
      </w:r>
      <w:r w:rsidR="00516698">
        <w:instrText xml:space="preserve"> ADDIN ZOTERO_ITEM CSL_CITATION {"citationID":"LiWGfAX1","properties":{"formattedCitation":"(Oostenveld et al., 2011)","plainCitation":"(Oostenveld et al., 2011)","noteIndex":0},"citationItems":[{"id":96,"uris":["http://zotero.org/users/local/AhaM3qLx/items/5T4EWQPI"],"itemData":{"id":96,"type":"article-journal","abstract":"This paper describes FieldTrip, an open source software package that we developed for the analysis of MEG, EEG, and other electrophysiological data. The software is implemented as a MATLAB toolbox and includes a complete set of consistent and user-friendly high-level functions that allow experimental neuroscientists to analyze experimental data. It includes algorithms for simple and advanced analysis, such as time-frequency analysis using multitapers, source reconstruction using dipoles, distributed sources and beamformers, connectivity analysis, and nonparametric statistical permutation tests at the channel and source level. The implementation as toolbox allows the user to perform elaborate and structured analyses of large data sets using the MATLAB command line and batch scripting. Furthermore, users and developers can easily extend the functionality and implement new algorithms. The modular design facilitates the reuse in other software packages.","container-title":"Computational Intelligence and Neuroscience","DOI":"10.1155/2011/156869","ISSN":"1687-5265, 1687-5273","journalAbbreviation":"Computational Intelligence and Neuroscience","language":"en","page":"1-9","source":"DOI.org (Crossref)","title":"FieldTrip: Open Source Software for Advanced Analysis of MEG, EEG, and Invasive Electrophysiological Data","title-short":"FieldTrip","volume":"2011","author":[{"family":"Oostenveld","given":"Robert"},{"family":"Fries","given":"Pascal"},{"family":"Maris","given":"Eric"},{"family":"Schoffelen","given":"Jan-Mathijs"}],"issued":{"date-parts":[["2011"]]}}}],"schema":"https://github.com/citation-style-language/schema/raw/master/csl-citation.json"} </w:instrText>
      </w:r>
      <w:r w:rsidR="00516698">
        <w:fldChar w:fldCharType="separate"/>
      </w:r>
      <w:r w:rsidR="00516698" w:rsidRPr="00516698">
        <w:rPr>
          <w:rFonts w:ascii="Calibri" w:hAnsi="Calibri" w:cs="Calibri"/>
        </w:rPr>
        <w:t>(</w:t>
      </w:r>
      <w:proofErr w:type="spellStart"/>
      <w:r w:rsidR="00516698" w:rsidRPr="00516698">
        <w:rPr>
          <w:rFonts w:ascii="Calibri" w:hAnsi="Calibri" w:cs="Calibri"/>
        </w:rPr>
        <w:t>Oostenveld</w:t>
      </w:r>
      <w:proofErr w:type="spellEnd"/>
      <w:r w:rsidR="00516698" w:rsidRPr="00516698">
        <w:rPr>
          <w:rFonts w:ascii="Calibri" w:hAnsi="Calibri" w:cs="Calibri"/>
        </w:rPr>
        <w:t xml:space="preserve"> et al., 2011)</w:t>
      </w:r>
      <w:r w:rsidR="00516698">
        <w:fldChar w:fldCharType="end"/>
      </w:r>
      <w:r w:rsidR="00B43223">
        <w:t>.</w:t>
      </w:r>
      <w:r w:rsidR="00821B87">
        <w:t xml:space="preserve"> Zu Beginn wu</w:t>
      </w:r>
      <w:r w:rsidR="008813BD">
        <w:t xml:space="preserve">rden die jeweiligen Informationen über die </w:t>
      </w:r>
      <w:r w:rsidR="00CD7FA9">
        <w:t xml:space="preserve">aktuelle </w:t>
      </w:r>
      <w:r w:rsidR="008813BD">
        <w:t xml:space="preserve">Position der Elektrode </w:t>
      </w:r>
      <w:r w:rsidR="00D23BEA">
        <w:t>für alle Momentaufnahmen</w:t>
      </w:r>
      <w:r w:rsidR="008813BD">
        <w:t xml:space="preserve"> eines Patient*innen-Ordners abgespeichert (Tiefe, Seite, Trajekt). </w:t>
      </w:r>
      <w:r w:rsidR="00031E37">
        <w:t xml:space="preserve">Dann wurde das </w:t>
      </w:r>
      <w:r w:rsidR="000A7B2C">
        <w:t xml:space="preserve">elektrische Signal eingelesen, das für die Betrachtung der Spikes </w:t>
      </w:r>
      <w:r w:rsidR="00D34323">
        <w:t xml:space="preserve">während der Operation </w:t>
      </w:r>
      <w:r w:rsidR="000A7B2C">
        <w:t xml:space="preserve">gefiltert wurde. Dabei wurde die Standardeinstellung des </w:t>
      </w:r>
      <w:proofErr w:type="spellStart"/>
      <w:r w:rsidR="000A7B2C">
        <w:t>Neuro</w:t>
      </w:r>
      <w:proofErr w:type="spellEnd"/>
      <w:r w:rsidR="000A7B2C">
        <w:t xml:space="preserve"> Omega Systems für das Filtern von Spike-Aktivität verwendet. </w:t>
      </w:r>
      <w:r w:rsidR="000A7B2C">
        <w:lastRenderedPageBreak/>
        <w:t>Dieser Filter hat eine high-</w:t>
      </w:r>
      <w:proofErr w:type="spellStart"/>
      <w:r w:rsidR="000A7B2C">
        <w:t>pass</w:t>
      </w:r>
      <w:proofErr w:type="spellEnd"/>
      <w:r w:rsidR="000A7B2C">
        <w:t xml:space="preserve"> Reichweite von</w:t>
      </w:r>
      <w:r w:rsidR="00821B87">
        <w:t xml:space="preserve"> </w:t>
      </w:r>
      <w:r w:rsidR="00245ED2">
        <w:t xml:space="preserve">0 – 600 Hz und eine </w:t>
      </w:r>
      <w:proofErr w:type="spellStart"/>
      <w:r w:rsidR="00245ED2">
        <w:t>low</w:t>
      </w:r>
      <w:proofErr w:type="spellEnd"/>
      <w:r w:rsidR="00245ED2">
        <w:t>-</w:t>
      </w:r>
      <w:proofErr w:type="spellStart"/>
      <w:r w:rsidR="00245ED2">
        <w:t>pass</w:t>
      </w:r>
      <w:proofErr w:type="spellEnd"/>
      <w:r w:rsidR="00245ED2">
        <w:t xml:space="preserve"> Reichweite von 5000 – 9000 Hz. Um welche Art von Filter es sich dabei handelt, ist unbekannt. V</w:t>
      </w:r>
      <w:r w:rsidR="00E5355F">
        <w:t>on</w:t>
      </w:r>
      <w:r w:rsidR="00245ED2">
        <w:t xml:space="preserve"> diesen Daten</w:t>
      </w:r>
      <w:r w:rsidR="00E5355F">
        <w:t xml:space="preserve"> wurde</w:t>
      </w:r>
      <w:r w:rsidR="00F7695A">
        <w:t xml:space="preserve"> der RMS </w:t>
      </w:r>
      <w:r w:rsidR="00821B87">
        <w:t>berechnet und abgespeichert. A</w:t>
      </w:r>
      <w:r w:rsidR="007C221B">
        <w:t xml:space="preserve">ls nächstes wurde für die Betrachtung der LFP das rohe kontinuierliche </w:t>
      </w:r>
      <w:r w:rsidR="00155869">
        <w:t>Signal</w:t>
      </w:r>
      <w:r w:rsidR="00821B87">
        <w:t xml:space="preserve"> eingele</w:t>
      </w:r>
      <w:r w:rsidR="005F0D0D">
        <w:t>sen und die S</w:t>
      </w:r>
      <w:r w:rsidR="0049460C">
        <w:t xml:space="preserve">amplegröße von 44000 </w:t>
      </w:r>
      <w:r w:rsidR="00821B87">
        <w:t xml:space="preserve">Hz auf 512 Hz </w:t>
      </w:r>
      <w:r w:rsidR="00F65A91">
        <w:t xml:space="preserve">verringert. </w:t>
      </w:r>
    </w:p>
    <w:p w:rsidR="002128B3" w:rsidRDefault="002128B3" w:rsidP="000D188D">
      <w:r>
        <w:t>2.3.2 Bereinigung der Daten</w:t>
      </w:r>
    </w:p>
    <w:p w:rsidR="0023392E" w:rsidRDefault="00031E37" w:rsidP="000D188D">
      <w:r>
        <w:t>Im nächsten Schritt wu</w:t>
      </w:r>
      <w:r w:rsidR="00F65A91">
        <w:t xml:space="preserve">rden die </w:t>
      </w:r>
      <w:r>
        <w:t>LFP-</w:t>
      </w:r>
      <w:r w:rsidR="00F65A91">
        <w:t xml:space="preserve">Daten bereinigt. </w:t>
      </w:r>
      <w:r w:rsidR="005C311D">
        <w:t xml:space="preserve">Um die Vergleichbarkeit der </w:t>
      </w:r>
      <w:r>
        <w:t>LFP-</w:t>
      </w:r>
      <w:r w:rsidR="005C311D">
        <w:t>Daten zu erm</w:t>
      </w:r>
      <w:r w:rsidR="00155949">
        <w:t>öglichen, wurde die</w:t>
      </w:r>
      <w:r>
        <w:t xml:space="preserve"> </w:t>
      </w:r>
      <w:r w:rsidR="00155949">
        <w:t>Min-Max Normalisierung auf sie angewendet</w:t>
      </w:r>
      <w:r w:rsidR="005C311D">
        <w:t>. Anschließend wurden die</w:t>
      </w:r>
      <w:r>
        <w:t xml:space="preserve"> normalisierten</w:t>
      </w:r>
      <w:r w:rsidR="005C311D">
        <w:t xml:space="preserve"> </w:t>
      </w:r>
      <w:r>
        <w:t>LFP-Daten</w:t>
      </w:r>
      <w:r w:rsidR="00943331">
        <w:t xml:space="preserve"> der </w:t>
      </w:r>
      <w:r w:rsidR="005C311D">
        <w:t>Kanäle sämtlicher Positionen</w:t>
      </w:r>
      <w:r w:rsidR="00943331">
        <w:t xml:space="preserve"> für alle Patient*innen grafisch dargestellt. Durch visu</w:t>
      </w:r>
      <w:r>
        <w:t>elle Inspektion</w:t>
      </w:r>
      <w:r w:rsidR="00943331">
        <w:t xml:space="preserve"> w</w:t>
      </w:r>
      <w:r>
        <w:t xml:space="preserve">urde entschieden, dass alle </w:t>
      </w:r>
      <w:r w:rsidR="00ED36E1">
        <w:t xml:space="preserve">normalisierten </w:t>
      </w:r>
      <w:r>
        <w:t>LFP</w:t>
      </w:r>
      <w:r w:rsidR="00ED36E1">
        <w:t>-Daten</w:t>
      </w:r>
      <w:r w:rsidR="00943331">
        <w:t xml:space="preserve"> in 4 Teile geschnitten </w:t>
      </w:r>
      <w:r w:rsidR="005F0D0D">
        <w:t>werden und</w:t>
      </w:r>
      <w:r w:rsidR="00E26E9F">
        <w:t xml:space="preserve"> alle Kanäle, die in einem dieser 4 Abschnitte </w:t>
      </w:r>
      <w:r w:rsidR="00396A46">
        <w:t>eine Varianz kleiner gleich</w:t>
      </w:r>
      <w:r w:rsidR="007B13F9">
        <w:t xml:space="preserve"> 0.003</w:t>
      </w:r>
      <w:r w:rsidR="00396A46">
        <w:t xml:space="preserve"> oder größer als 0.07</w:t>
      </w:r>
      <w:r w:rsidR="0006445C">
        <w:t>5</w:t>
      </w:r>
      <w:r w:rsidR="00E26E9F">
        <w:t xml:space="preserve"> aufweisen, gelöscht werden. </w:t>
      </w:r>
      <w:r w:rsidR="0006445C">
        <w:t xml:space="preserve">Diese Grenzwerte wurden möglichst konservativ gewählt, da bekannt und ersichtlich war, dass eine Vielzahl der Daten Artefakte enthält. </w:t>
      </w:r>
      <w:r w:rsidR="008E707B">
        <w:t xml:space="preserve">Es handelt sich bei der Operation nicht um ein Forschungsumfeld, sondern um einen klinischen Eingriff. Daher wurde bei der Aufzeichnung der Daten </w:t>
      </w:r>
      <w:r>
        <w:t>nicht auf die Qualität</w:t>
      </w:r>
      <w:r w:rsidR="008E707B">
        <w:t xml:space="preserve"> oder die Vermeidung von Störsignalen geachtet. </w:t>
      </w:r>
      <w:r w:rsidR="00E26E9F">
        <w:t xml:space="preserve">Außerdem wurden alle Kanäle gelöscht, die weniger als 1280 Samplepunkte beinhalten </w:t>
      </w:r>
      <w:r w:rsidR="005F0D0D">
        <w:t xml:space="preserve">und somit </w:t>
      </w:r>
      <w:r w:rsidR="008E707B">
        <w:t>Daten aufgezeichnet wurden</w:t>
      </w:r>
      <w:r w:rsidR="005F0D0D">
        <w:t>, die weniger als 2.5 Sekunden lang sind</w:t>
      </w:r>
      <w:r w:rsidR="00E26E9F">
        <w:t>.</w:t>
      </w:r>
      <w:r w:rsidR="00396A46">
        <w:t xml:space="preserve"> In diesem ersten Schritt der Datenbereinigung sind bereits 924 von 3971 Kanälen </w:t>
      </w:r>
      <w:r w:rsidR="00754537">
        <w:t xml:space="preserve">entfernt worden. </w:t>
      </w:r>
      <w:r w:rsidR="0064535B">
        <w:t>In der Abbildung 1</w:t>
      </w:r>
      <w:r w:rsidR="005C0164">
        <w:t xml:space="preserve"> ist zu sehen, dass ein unverhältnismäßig großer Anteil aller Varianzen sich in dem Bereich unter 0.003 befindet, wobei alle Varianzen von exakt 0</w:t>
      </w:r>
      <w:r>
        <w:t>, die also nichts gemessen haben,</w:t>
      </w:r>
      <w:r w:rsidR="005C0164">
        <w:t xml:space="preserve"> nicht in diesem Histogramm mit abgebildet sind. Dies zeigt, dass in vielen Kanälen keine aussagekräftigen Daten gemessen wurden, da es sich dabei um eine sehr kleine Varianz handelt.</w:t>
      </w:r>
    </w:p>
    <w:p w:rsidR="002128B3" w:rsidRDefault="002128B3" w:rsidP="000D188D">
      <w:r>
        <w:t>2.3.3 Zeit-Frequenz-Analyse</w:t>
      </w:r>
    </w:p>
    <w:p w:rsidR="003E434A" w:rsidRDefault="002128B3" w:rsidP="000D188D">
      <w:r>
        <w:t xml:space="preserve">Als nächstes </w:t>
      </w:r>
      <w:r w:rsidR="003E434A">
        <w:t xml:space="preserve">wurden die </w:t>
      </w:r>
      <w:r w:rsidR="00B00B23">
        <w:t>LFP-</w:t>
      </w:r>
      <w:r w:rsidR="003E434A">
        <w:t>Daten gefiltert, um anschließend eine Ze</w:t>
      </w:r>
      <w:r w:rsidR="008E707B">
        <w:t>it-Frequenz-Analyse</w:t>
      </w:r>
      <w:r w:rsidR="00714095">
        <w:t xml:space="preserve"> (TFR)</w:t>
      </w:r>
      <w:r w:rsidR="008E707B">
        <w:t xml:space="preserve"> zu rechnen. Ein </w:t>
      </w:r>
      <w:proofErr w:type="spellStart"/>
      <w:r w:rsidR="008E707B">
        <w:t>Demean</w:t>
      </w:r>
      <w:proofErr w:type="spellEnd"/>
      <w:r w:rsidR="008E707B">
        <w:t xml:space="preserve">, der den Mittelwert der </w:t>
      </w:r>
      <w:r w:rsidR="00897AE4">
        <w:t>LFP-Daten von jedem Samplepunkt</w:t>
      </w:r>
      <w:r w:rsidR="008E707B">
        <w:t xml:space="preserve"> abzieht, wurde angewendet, um </w:t>
      </w:r>
      <w:r w:rsidR="00377AFD">
        <w:t>langsame</w:t>
      </w:r>
      <w:r w:rsidR="004622A3">
        <w:t xml:space="preserve"> </w:t>
      </w:r>
      <w:proofErr w:type="spellStart"/>
      <w:r w:rsidR="004622A3">
        <w:t>Drift</w:t>
      </w:r>
      <w:r w:rsidR="00377AFD">
        <w:t>s</w:t>
      </w:r>
      <w:proofErr w:type="spellEnd"/>
      <w:r w:rsidR="00403EFA">
        <w:t xml:space="preserve"> zu entfernen</w:t>
      </w:r>
      <w:r w:rsidR="00377AFD">
        <w:t>, die</w:t>
      </w:r>
      <w:r w:rsidR="004622A3">
        <w:t xml:space="preserve"> im zeitli</w:t>
      </w:r>
      <w:r w:rsidR="00377AFD">
        <w:t>chen Verlauf das Signal verzerren</w:t>
      </w:r>
      <w:r w:rsidR="00403EFA">
        <w:t>.</w:t>
      </w:r>
      <w:r w:rsidR="004622A3">
        <w:t xml:space="preserve"> </w:t>
      </w:r>
      <w:r w:rsidR="008D15C4">
        <w:t>Damit k</w:t>
      </w:r>
      <w:r w:rsidR="00B00B23">
        <w:t>eine Frequenzbereiche eingeschlossen</w:t>
      </w:r>
      <w:r w:rsidR="008D15C4">
        <w:t xml:space="preserve"> werden, die für die Fragestellung nicht no</w:t>
      </w:r>
      <w:r w:rsidR="00CB3974">
        <w:t>twendig sind, wurden mit einem h</w:t>
      </w:r>
      <w:r w:rsidR="008D15C4">
        <w:t>igh</w:t>
      </w:r>
      <w:r w:rsidR="00CB3974">
        <w:t>-</w:t>
      </w:r>
      <w:proofErr w:type="spellStart"/>
      <w:r w:rsidR="00CB3974">
        <w:t>pass</w:t>
      </w:r>
      <w:proofErr w:type="spellEnd"/>
      <w:r w:rsidR="00CB3974">
        <w:t xml:space="preserve"> </w:t>
      </w:r>
      <w:r w:rsidR="008D15C4">
        <w:t>Filter alle Frequenzen unter</w:t>
      </w:r>
      <w:r w:rsidR="00CB3974">
        <w:t xml:space="preserve"> 0.5 Hz und mit einem </w:t>
      </w:r>
      <w:proofErr w:type="spellStart"/>
      <w:r w:rsidR="00CB3974">
        <w:t>l</w:t>
      </w:r>
      <w:r w:rsidR="008D15C4">
        <w:t>ow</w:t>
      </w:r>
      <w:proofErr w:type="spellEnd"/>
      <w:r w:rsidR="00CB3974">
        <w:t>-</w:t>
      </w:r>
      <w:proofErr w:type="spellStart"/>
      <w:r w:rsidR="00CB3974">
        <w:t>pass</w:t>
      </w:r>
      <w:proofErr w:type="spellEnd"/>
      <w:r w:rsidR="00CB3974">
        <w:t xml:space="preserve"> </w:t>
      </w:r>
      <w:r w:rsidR="008D15C4">
        <w:t>Filter</w:t>
      </w:r>
      <w:r w:rsidR="00CB3974">
        <w:t xml:space="preserve"> alle</w:t>
      </w:r>
      <w:r w:rsidR="00B00B23">
        <w:t xml:space="preserve"> Frequenzen über 45 Hz entfern. </w:t>
      </w:r>
      <w:r w:rsidR="007F47B2" w:rsidRPr="007F47B2">
        <w:t>Der high-</w:t>
      </w:r>
      <w:proofErr w:type="spellStart"/>
      <w:r w:rsidR="007F47B2" w:rsidRPr="007F47B2">
        <w:t>pass</w:t>
      </w:r>
      <w:proofErr w:type="spellEnd"/>
      <w:r w:rsidR="007F47B2" w:rsidRPr="007F47B2">
        <w:t xml:space="preserve"> Filter war ein </w:t>
      </w:r>
      <w:proofErr w:type="spellStart"/>
      <w:r w:rsidR="007F47B2" w:rsidRPr="007F47B2">
        <w:t>onepass-zerophase</w:t>
      </w:r>
      <w:proofErr w:type="spellEnd"/>
      <w:r w:rsidR="007F47B2" w:rsidRPr="007F47B2">
        <w:t xml:space="preserve"> </w:t>
      </w:r>
      <w:proofErr w:type="spellStart"/>
      <w:r w:rsidR="007F47B2" w:rsidRPr="007F47B2">
        <w:t>hamming</w:t>
      </w:r>
      <w:proofErr w:type="spellEnd"/>
      <w:r w:rsidR="007F47B2" w:rsidRPr="007F47B2">
        <w:t xml:space="preserve"> </w:t>
      </w:r>
      <w:proofErr w:type="spellStart"/>
      <w:r w:rsidR="007F47B2" w:rsidRPr="007F47B2">
        <w:t>windowed</w:t>
      </w:r>
      <w:proofErr w:type="spellEnd"/>
      <w:r w:rsidR="007F47B2" w:rsidRPr="007F47B2">
        <w:t xml:space="preserve"> </w:t>
      </w:r>
      <w:proofErr w:type="spellStart"/>
      <w:r w:rsidR="007F47B2" w:rsidRPr="007F47B2">
        <w:t>sinc</w:t>
      </w:r>
      <w:proofErr w:type="spellEnd"/>
      <w:r w:rsidR="007F47B2" w:rsidRPr="007F47B2">
        <w:t xml:space="preserve"> FIR Filter der 1690. Ordnung mit einem Cut-off bei -6 dB, einer Übergangsweite von 1.0 Hz, einem </w:t>
      </w:r>
      <w:proofErr w:type="spellStart"/>
      <w:r w:rsidR="007F47B2" w:rsidRPr="007F47B2">
        <w:t>Stopband</w:t>
      </w:r>
      <w:proofErr w:type="spellEnd"/>
      <w:r w:rsidR="007F47B2" w:rsidRPr="007F47B2">
        <w:t xml:space="preserve"> von 0 – 0.0 Hz, einem </w:t>
      </w:r>
      <w:proofErr w:type="spellStart"/>
      <w:r w:rsidR="007F47B2" w:rsidRPr="007F47B2">
        <w:t>Passband</w:t>
      </w:r>
      <w:proofErr w:type="spellEnd"/>
      <w:r w:rsidR="007F47B2" w:rsidRPr="007F47B2">
        <w:t xml:space="preserve"> von 1.0 – 256 Hz, einer maximalen Passbandabweichung von 0.22% und einer </w:t>
      </w:r>
      <w:proofErr w:type="spellStart"/>
      <w:r w:rsidR="007F47B2" w:rsidRPr="007F47B2">
        <w:t>Stopbanddämpfung</w:t>
      </w:r>
      <w:proofErr w:type="spellEnd"/>
      <w:r w:rsidR="007F47B2" w:rsidRPr="007F47B2">
        <w:t xml:space="preserve"> von -53 dB.</w:t>
      </w:r>
      <w:r w:rsidR="007F47B2">
        <w:t xml:space="preserve"> Der </w:t>
      </w:r>
      <w:proofErr w:type="spellStart"/>
      <w:r w:rsidR="007F47B2">
        <w:t>low</w:t>
      </w:r>
      <w:proofErr w:type="spellEnd"/>
      <w:r w:rsidR="007F47B2">
        <w:t>-</w:t>
      </w:r>
      <w:proofErr w:type="spellStart"/>
      <w:r w:rsidR="007F47B2">
        <w:t>pass</w:t>
      </w:r>
      <w:proofErr w:type="spellEnd"/>
      <w:r w:rsidR="007F47B2">
        <w:t xml:space="preserve"> Filter war ein </w:t>
      </w:r>
      <w:proofErr w:type="spellStart"/>
      <w:r w:rsidR="007F47B2">
        <w:t>onepass-zerophase</w:t>
      </w:r>
      <w:proofErr w:type="spellEnd"/>
      <w:r w:rsidR="007F47B2">
        <w:t xml:space="preserve"> </w:t>
      </w:r>
      <w:proofErr w:type="spellStart"/>
      <w:r w:rsidR="007F47B2">
        <w:t>hamming</w:t>
      </w:r>
      <w:proofErr w:type="spellEnd"/>
      <w:r w:rsidR="007F47B2">
        <w:t xml:space="preserve"> </w:t>
      </w:r>
      <w:proofErr w:type="spellStart"/>
      <w:r w:rsidR="007F47B2">
        <w:t>windowed</w:t>
      </w:r>
      <w:proofErr w:type="spellEnd"/>
      <w:r w:rsidR="007F47B2">
        <w:t xml:space="preserve"> </w:t>
      </w:r>
      <w:proofErr w:type="spellStart"/>
      <w:r w:rsidR="007F47B2">
        <w:t>sinc</w:t>
      </w:r>
      <w:proofErr w:type="spellEnd"/>
      <w:r w:rsidR="007F47B2">
        <w:t xml:space="preserve"> FIR Filter der 152. Ordnung mit einem Cut-off bei -6 dB, einer Übergangsweite von 11.3 Hz, einem </w:t>
      </w:r>
      <w:proofErr w:type="spellStart"/>
      <w:r w:rsidR="007F47B2">
        <w:t>Stopband</w:t>
      </w:r>
      <w:proofErr w:type="spellEnd"/>
      <w:r w:rsidR="007F47B2">
        <w:t xml:space="preserve"> von 50.6 – 256 Hz, einem </w:t>
      </w:r>
      <w:proofErr w:type="spellStart"/>
      <w:r w:rsidR="007F47B2">
        <w:t>Passband</w:t>
      </w:r>
      <w:proofErr w:type="spellEnd"/>
      <w:r w:rsidR="007F47B2">
        <w:t xml:space="preserve"> von 0 – 39.4 Hz, einer maximalen Passbandabweichung von 0.22% und einer </w:t>
      </w:r>
      <w:proofErr w:type="spellStart"/>
      <w:r w:rsidR="007F47B2">
        <w:t>Stopbanddämpfung</w:t>
      </w:r>
      <w:proofErr w:type="spellEnd"/>
      <w:r w:rsidR="007F47B2">
        <w:t xml:space="preserve"> von -53 dB.</w:t>
      </w:r>
    </w:p>
    <w:p w:rsidR="008B546F" w:rsidRDefault="00714095" w:rsidP="000D188D">
      <w:r>
        <w:t>Für die TFR wurde als Methode die multi-taper-</w:t>
      </w:r>
      <w:proofErr w:type="spellStart"/>
      <w:r>
        <w:t>method</w:t>
      </w:r>
      <w:proofErr w:type="spellEnd"/>
      <w:r>
        <w:t xml:space="preserve"> </w:t>
      </w:r>
      <w:proofErr w:type="spellStart"/>
      <w:r>
        <w:t>convol</w:t>
      </w:r>
      <w:r w:rsidR="00B9395C">
        <w:t>ution</w:t>
      </w:r>
      <w:proofErr w:type="spellEnd"/>
      <w:r>
        <w:t xml:space="preserve"> („</w:t>
      </w:r>
      <w:proofErr w:type="spellStart"/>
      <w:r>
        <w:t>mtmconvol</w:t>
      </w:r>
      <w:proofErr w:type="spellEnd"/>
      <w:r>
        <w:t>“</w:t>
      </w:r>
      <w:r w:rsidR="00F7580F">
        <w:t>) gewählt. A</w:t>
      </w:r>
      <w:r>
        <w:t>ls Ou</w:t>
      </w:r>
      <w:r w:rsidR="005F0D0D">
        <w:t>tput wurde die Power festgelegt</w:t>
      </w:r>
      <w:r w:rsidR="00F7580F">
        <w:t>, da zur Beantwortung der Fragestellung die Power der jeweiligen Frequenzen über die Zeit notwendig ist.</w:t>
      </w:r>
      <w:r>
        <w:t xml:space="preserve"> </w:t>
      </w:r>
      <w:r w:rsidR="00F7580F">
        <w:t xml:space="preserve">Die Frequenzauflösung war von 2 bis 35 Hz in 0.05er Schritten. Die Zeitauflösung war von 0 bis 5 s in 0.01er Schritten. </w:t>
      </w:r>
      <w:r w:rsidR="00CE47C9">
        <w:t xml:space="preserve">Als Tapereinstellungen wurden </w:t>
      </w:r>
      <w:proofErr w:type="spellStart"/>
      <w:r w:rsidR="00CE47C9">
        <w:t>Hanning-Taper</w:t>
      </w:r>
      <w:proofErr w:type="spellEnd"/>
      <w:r w:rsidR="00CE47C9">
        <w:t xml:space="preserve"> mit 5 Zyklen pro</w:t>
      </w:r>
      <w:r w:rsidR="007A538E">
        <w:t xml:space="preserve"> Frequenz</w:t>
      </w:r>
      <w:r w:rsidR="00CE47C9">
        <w:t xml:space="preserve"> gewählt. Durch adaptive Glättung passt sich die Länge des Zeitfensters</w:t>
      </w:r>
      <w:r w:rsidR="0061355F">
        <w:t xml:space="preserve"> der Frequenz an</w:t>
      </w:r>
      <w:r w:rsidR="00EF627E">
        <w:t xml:space="preserve"> </w:t>
      </w:r>
      <w:r w:rsidR="00EF627E">
        <w:fldChar w:fldCharType="begin"/>
      </w:r>
      <w:r w:rsidR="00EF627E">
        <w:instrText xml:space="preserve"> ADDIN ZOTERO_ITEM CSL_CITATION {"citationID":"yGC0fxid","properties":{"formattedCitation":"(Oostenveld, 2018)","plainCitation":"(Oostenveld, 2018)","noteIndex":0},"citationItems":[{"id":97,"uris":["http://zotero.org/users/local/AhaM3qLx/items/T4HQIFSW"],"itemData":{"id":97,"type":"post-weblog","container-title":"Time-frequency analysis using Hanning window, multitapers and wavelets","title":"Fieldtriptoolbox","URL":"https://www.fieldtriptoolbox.org/tutorial/timefrequencyanalysis/","author":[{"family":"Oostenveld","given":"Robert"}],"issued":{"date-parts":[["2018"]]}}}],"schema":"https://github.com/citation-style-language/schema/raw/master/csl-citation.json"} </w:instrText>
      </w:r>
      <w:r w:rsidR="00EF627E">
        <w:fldChar w:fldCharType="separate"/>
      </w:r>
      <w:r w:rsidR="00EF627E" w:rsidRPr="00EF627E">
        <w:rPr>
          <w:rFonts w:ascii="Calibri" w:hAnsi="Calibri" w:cs="Calibri"/>
        </w:rPr>
        <w:t>(Oostenveld, 2018)</w:t>
      </w:r>
      <w:r w:rsidR="00EF627E">
        <w:fldChar w:fldCharType="end"/>
      </w:r>
      <w:r w:rsidR="00CE47C9">
        <w:t xml:space="preserve">. Daher wird das Zeitfenster kleiner, je größer die </w:t>
      </w:r>
      <w:r w:rsidR="000D6596">
        <w:t xml:space="preserve">Frequenz ist. Um zu entscheiden, welcher </w:t>
      </w:r>
      <w:proofErr w:type="spellStart"/>
      <w:r w:rsidR="000D6596">
        <w:t>Taper</w:t>
      </w:r>
      <w:proofErr w:type="spellEnd"/>
      <w:r w:rsidR="000D6596">
        <w:t xml:space="preserve"> mit welchen Einstellungen den besten Kompromiss zwischen der Auflösung der Frequenzdimension und der Auflösung der Zeitdimension aufweist, wurden zuvor explorativ an einem Beispieldatensatz verschiedene Einstellu</w:t>
      </w:r>
      <w:r w:rsidR="0064535B">
        <w:t>ngen ausprobiert. In Abbildung 2</w:t>
      </w:r>
      <w:r w:rsidR="000D6596">
        <w:t xml:space="preserve"> ist zu sehen, dass die TFR mit </w:t>
      </w:r>
      <w:proofErr w:type="spellStart"/>
      <w:r w:rsidR="000D6596">
        <w:t>Hanning</w:t>
      </w:r>
      <w:proofErr w:type="spellEnd"/>
      <w:r w:rsidR="000D6596">
        <w:t xml:space="preserve">-Tapern bei 5 Zyklen weniger Informationsverlust in der Zeitdimension aufweist als die TFR mit </w:t>
      </w:r>
      <w:proofErr w:type="spellStart"/>
      <w:r w:rsidR="000D6596">
        <w:t>Hanning</w:t>
      </w:r>
      <w:proofErr w:type="spellEnd"/>
      <w:r w:rsidR="000D6596">
        <w:t>-Tapern bei 6 oder 7 Zyklen, aber einen größeren Informationsgehalt i</w:t>
      </w:r>
      <w:r w:rsidR="00361555">
        <w:t xml:space="preserve">n der Frequenzdimension als die TFR mit </w:t>
      </w:r>
      <w:proofErr w:type="spellStart"/>
      <w:r w:rsidR="00361555">
        <w:t>Hanning</w:t>
      </w:r>
      <w:proofErr w:type="spellEnd"/>
      <w:r w:rsidR="00361555">
        <w:t xml:space="preserve">-Tapern bei 3 oder 4 </w:t>
      </w:r>
      <w:r w:rsidR="00361555">
        <w:lastRenderedPageBreak/>
        <w:t xml:space="preserve">Zyklen. Die TFR mit </w:t>
      </w:r>
      <w:proofErr w:type="spellStart"/>
      <w:r w:rsidR="00361555">
        <w:t>Hanning</w:t>
      </w:r>
      <w:proofErr w:type="spellEnd"/>
      <w:r w:rsidR="00361555">
        <w:t>-Tapern wurde mit einer TFR mit Wavelets verglichen, wobei dort keine adaptive Glättung der Zeitfen</w:t>
      </w:r>
      <w:r w:rsidR="0064535B">
        <w:t>ster möglich war. In Abbildung 3</w:t>
      </w:r>
      <w:r w:rsidR="00361555">
        <w:t xml:space="preserve"> ist zu sehen, dass die TFR mit Wavelets bei 3 bis 7 Zyklen grundsätzlich eine schlechtere Auflösung in der Frequenzdimension aufweisen</w:t>
      </w:r>
      <w:r w:rsidR="0064535B">
        <w:t xml:space="preserve"> als die TFR mit </w:t>
      </w:r>
      <w:proofErr w:type="spellStart"/>
      <w:r w:rsidR="0064535B">
        <w:t>Hanning</w:t>
      </w:r>
      <w:proofErr w:type="spellEnd"/>
      <w:r w:rsidR="0064535B">
        <w:t>-Tapern in Abbildung 2.</w:t>
      </w:r>
      <w:r w:rsidR="00361555">
        <w:t xml:space="preserve"> </w:t>
      </w:r>
      <w:r w:rsidR="000D6596">
        <w:t xml:space="preserve"> </w:t>
      </w:r>
    </w:p>
    <w:p w:rsidR="002128B3" w:rsidRDefault="002128B3" w:rsidP="000D188D">
      <w:r>
        <w:t>2.3.4 FOOOF-Algorithmus</w:t>
      </w:r>
    </w:p>
    <w:p w:rsidR="00CB3F02" w:rsidRDefault="00DB03FE" w:rsidP="000D188D">
      <w:r>
        <w:t xml:space="preserve">Der letzte größere Schritt des ersten Skripts bestand darin, die </w:t>
      </w:r>
      <w:r w:rsidR="00CB49E6">
        <w:t xml:space="preserve">über die Zeit gemittelten </w:t>
      </w:r>
      <w:r>
        <w:t>Powerspektren, die durch die TFR errechnet wurden als Input für den FOOOF-Algorithmus zu nutzen</w:t>
      </w:r>
      <w:r w:rsidR="00516698">
        <w:t xml:space="preserve"> </w:t>
      </w:r>
      <w:r w:rsidR="00516698">
        <w:fldChar w:fldCharType="begin"/>
      </w:r>
      <w:r w:rsidR="00516698">
        <w:instrText xml:space="preserve"> ADDIN ZOTERO_ITEM CSL_CITATION {"citationID":"sYKP7FQh","properties":{"formattedCitation":"(Donoghue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fldChar w:fldCharType="separate"/>
      </w:r>
      <w:r w:rsidR="00516698" w:rsidRPr="00516698">
        <w:rPr>
          <w:rFonts w:ascii="Calibri" w:hAnsi="Calibri" w:cs="Calibri"/>
        </w:rPr>
        <w:t>(Donoghue et al., 2020)</w:t>
      </w:r>
      <w:r w:rsidR="00516698">
        <w:fldChar w:fldCharType="end"/>
      </w:r>
      <w:r>
        <w:t>.</w:t>
      </w:r>
      <w:r w:rsidR="00CB3F02">
        <w:t xml:space="preserve"> Dieser wurde genutzt, um die periodische</w:t>
      </w:r>
      <w:r w:rsidR="00B00B23">
        <w:t>n</w:t>
      </w:r>
      <w:r w:rsidR="00CB3F02">
        <w:t xml:space="preserve"> Komponente</w:t>
      </w:r>
      <w:r w:rsidR="00B00B23">
        <w:t>n</w:t>
      </w:r>
      <w:r w:rsidR="00CB3F02">
        <w:t xml:space="preserve"> der Powerspektren von den aperiodischen Komponenten zu trennen. </w:t>
      </w:r>
      <w:r w:rsidR="003235F2">
        <w:t xml:space="preserve">Der Algorithmus wurde ursprünglich für Python erstellt, es wurde jedoch ein Wrapper (Version 1.0.0) für </w:t>
      </w:r>
      <w:proofErr w:type="spellStart"/>
      <w:r w:rsidR="003235F2">
        <w:t>Matlab</w:t>
      </w:r>
      <w:proofErr w:type="spellEnd"/>
      <w:r w:rsidR="003235F2">
        <w:t xml:space="preserve"> genutzt, um nicht die Programmiersprache wechseln zu müssen. </w:t>
      </w:r>
      <w:r w:rsidR="001F68C6">
        <w:t xml:space="preserve">Der FOOOF-Algorithmus berechnet bei seinem Vorgehen </w:t>
      </w:r>
      <w:r w:rsidR="003235F2">
        <w:t>auch die Peaks der jeweiligen Powerspek</w:t>
      </w:r>
      <w:r w:rsidR="001F68C6">
        <w:t>tren. Für die Suche nach den Peaks wurden die Standardeinstellungen beibehal</w:t>
      </w:r>
      <w:r w:rsidR="00A130E3">
        <w:t>ten: Limits für die Bandbreite der Peaks: 0.5 Hz und 12 Hz; maximale Anzahl an Peaks: unbegrenzt; Mindesthöhe für einen Peak (Power über der aperiodischen Komponente): 0 µV; Peak Schwelle: 2 Standardabweichungen; aperi</w:t>
      </w:r>
      <w:r w:rsidR="005F4D0E">
        <w:t>odischer Modus: fix. Der Frequenzbereich, der für die Anwendung des FOOOF-Algorithmus gewählt wurd</w:t>
      </w:r>
      <w:r w:rsidR="00612B79">
        <w:t>e, war auf 4 – 30</w:t>
      </w:r>
      <w:r w:rsidR="005F4D0E">
        <w:t xml:space="preserve"> Hz festgelegt.</w:t>
      </w:r>
      <w:r w:rsidR="00DB648D">
        <w:t xml:space="preserve"> Abschließend wurden alle relevanten Daten abgespeichert und in einem zweiten Skript weiterverarbeitet.</w:t>
      </w:r>
      <w:r w:rsidR="00612B79">
        <w:t xml:space="preserve"> Dazu gehören die Ergebnisse des FOOOF-Algorithmus sowie die Informationen über die aktuelle Position der E</w:t>
      </w:r>
      <w:r w:rsidR="00E9447D">
        <w:t>lektrode.</w:t>
      </w:r>
      <w:r w:rsidR="00DB648D">
        <w:t xml:space="preserve"> </w:t>
      </w:r>
    </w:p>
    <w:p w:rsidR="00B30E54" w:rsidRDefault="00B30E54" w:rsidP="000D188D">
      <w:r>
        <w:t>2.3.5 Extraktion der elektrophysiologischen Maße</w:t>
      </w:r>
    </w:p>
    <w:p w:rsidR="00966214" w:rsidRDefault="00DB648D" w:rsidP="000D188D">
      <w:r>
        <w:t>In dem</w:t>
      </w:r>
      <w:r w:rsidR="007C4638">
        <w:t xml:space="preserve"> zweiten Skript wurden die Ergebnisse aus dem FOOOF-Algorithmus</w:t>
      </w:r>
      <w:r>
        <w:t xml:space="preserve"> weiter bereinigt und in neue tabellarische Strukturen umformatiert, die sich für die statistische Auswertung besser eignen. Als erstes wurden im </w:t>
      </w:r>
      <w:r w:rsidR="001C4291">
        <w:t>Vorfeld alle Kanäle entfernt</w:t>
      </w:r>
      <w:r>
        <w:t>, bei denen</w:t>
      </w:r>
      <w:r w:rsidR="007717F4">
        <w:t xml:space="preserve"> zwei Bedingungen gleichzeitig auftraten. Zum einen durfte </w:t>
      </w:r>
      <w:r>
        <w:t xml:space="preserve">die Differenz zwischen </w:t>
      </w:r>
      <w:r w:rsidR="007717F4">
        <w:t xml:space="preserve">dem ersten Powerwert des originalen Powerspektrums und dem ersten Powerwert der geschätzten aperiodischen Komponente nicht größer als 0.3 µV sein. Zum anderen wurde beim gesamten Datensatz aller Kanäle vom originalen Powerspektrum die Power der geschätzten aperiodischen Komponente </w:t>
      </w:r>
      <w:r w:rsidR="000B55FD">
        <w:t>abgezogen</w:t>
      </w:r>
      <w:r w:rsidR="00E704C7">
        <w:t>, um das reine periodische Signal zu erhalten. D</w:t>
      </w:r>
      <w:r w:rsidR="000B55FD">
        <w:t xml:space="preserve">er Mittelwert aller Werte, bei denen ein </w:t>
      </w:r>
      <w:r w:rsidR="007717F4">
        <w:t>negativ</w:t>
      </w:r>
      <w:r w:rsidR="000B55FD">
        <w:t>er Wert auftrat</w:t>
      </w:r>
      <w:r w:rsidR="007717F4">
        <w:t xml:space="preserve">, durfte nicht größer als -0.15 µV sein. </w:t>
      </w:r>
      <w:r w:rsidR="006C0BC0">
        <w:t>Bei 138</w:t>
      </w:r>
      <w:r w:rsidR="00CB49E6">
        <w:t xml:space="preserve"> Kanälen, die aus dem Datensatz entfernt wurden, trafen beide Bedingen zu. </w:t>
      </w:r>
      <w:r w:rsidR="00E36320">
        <w:t xml:space="preserve">Dann wurde eine neue Tabelle erstellt, bei der pro Zeile alle Informationen eines Kanals abgebildet waren. In den Spalten waren die </w:t>
      </w:r>
      <w:r w:rsidR="00AA14DD">
        <w:t>Identifikationsn</w:t>
      </w:r>
      <w:r w:rsidR="00E36320">
        <w:t>ummer</w:t>
      </w:r>
      <w:r w:rsidR="00B30E54">
        <w:t xml:space="preserve"> (ID)</w:t>
      </w:r>
      <w:r w:rsidR="00E36320">
        <w:t xml:space="preserve"> der Versuchsperson, zu der die Elektrode gehörte, die Seite, Tiefe und </w:t>
      </w:r>
      <w:r w:rsidR="005F0D0D">
        <w:t xml:space="preserve">das </w:t>
      </w:r>
      <w:r w:rsidR="00E36320">
        <w:t xml:space="preserve">Trajekt der Elektrode, die Anzahl der Samples, der aperiodische Exponent, die Power im Theta-, Alpha- und </w:t>
      </w:r>
      <w:proofErr w:type="spellStart"/>
      <w:r w:rsidR="00E36320">
        <w:t>Betaband</w:t>
      </w:r>
      <w:proofErr w:type="spellEnd"/>
      <w:r w:rsidR="0066637E">
        <w:t xml:space="preserve"> </w:t>
      </w:r>
      <w:r w:rsidR="00E36320">
        <w:t xml:space="preserve">des Powerspektrums </w:t>
      </w:r>
      <w:r w:rsidR="00AA14DD">
        <w:t xml:space="preserve">im LFP </w:t>
      </w:r>
      <w:r w:rsidR="00E36320">
        <w:t>sowie</w:t>
      </w:r>
      <w:r w:rsidR="00F7695A">
        <w:t xml:space="preserve"> der RMS</w:t>
      </w:r>
      <w:r w:rsidR="00AA14DD">
        <w:t xml:space="preserve"> de</w:t>
      </w:r>
      <w:r w:rsidR="0066637E">
        <w:t>s elektrischen Signals</w:t>
      </w:r>
      <w:r w:rsidR="002F2462">
        <w:t xml:space="preserve"> abgespeichert. Für die Grenzen des Betabandes wurden 13 Hz und 30 Hz gewählt, da dies wie in der Einleitung beschrieben der Bereich ist, in dem in der früheren Forschung </w:t>
      </w:r>
      <w:r w:rsidR="00454B1E">
        <w:t xml:space="preserve">eine </w:t>
      </w:r>
      <w:r w:rsidR="002F2462">
        <w:t xml:space="preserve">erhöhte Aktivität im STK gefunden wurde. Das Thetaband </w:t>
      </w:r>
      <w:r w:rsidR="00454B1E">
        <w:t>wird meistens im Bereich von 4 – 8</w:t>
      </w:r>
      <w:r w:rsidR="002F2462">
        <w:t xml:space="preserve"> Hz und </w:t>
      </w:r>
      <w:r w:rsidR="00454B1E">
        <w:t>das Alphaband im Bereich von 8 – 12</w:t>
      </w:r>
      <w:r w:rsidR="00516698">
        <w:t xml:space="preserve"> Hz definiert </w:t>
      </w:r>
      <w:r w:rsidR="00516698">
        <w:fldChar w:fldCharType="begin"/>
      </w:r>
      <w:r w:rsidR="00516698">
        <w:instrText xml:space="preserve"> ADDIN ZOTERO_ITEM CSL_CITATION {"citationID":"jwGF5nMv","properties":{"formattedCitation":"(Cohen, 2020)","plainCitation":"(Cohen, 2020)","noteIndex":0},"citationItems":[{"id":67,"uris":["http://zotero.org/users/local/AhaM3qLx/items/UPJ843A8"],"itemData":{"id":67,"type":"report","abstract":"Background.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516698">
        <w:fldChar w:fldCharType="separate"/>
      </w:r>
      <w:r w:rsidR="00516698" w:rsidRPr="00516698">
        <w:rPr>
          <w:rFonts w:ascii="Calibri" w:hAnsi="Calibri" w:cs="Calibri"/>
        </w:rPr>
        <w:t>(Cohen, 2020)</w:t>
      </w:r>
      <w:r w:rsidR="00516698">
        <w:fldChar w:fldCharType="end"/>
      </w:r>
      <w:r w:rsidR="00E704C7">
        <w:t>. Wir übernehmen diese Definition,</w:t>
      </w:r>
      <w:r w:rsidR="00454B1E">
        <w:t xml:space="preserve"> nur dass das Alphaband auf 8 – 13 </w:t>
      </w:r>
      <w:r w:rsidR="00E704C7">
        <w:t>Hz angepasst wird, damit ein fließender Übergang zwischen den Frequenzbän</w:t>
      </w:r>
      <w:r w:rsidR="002A2765">
        <w:t xml:space="preserve">dern entsteht. Laut </w:t>
      </w:r>
      <w:r w:rsidR="002A2765">
        <w:fldChar w:fldCharType="begin"/>
      </w:r>
      <w:r w:rsidR="009244FB">
        <w:instrText xml:space="preserve"> ADDIN ZOTERO_ITEM CSL_CITATION {"citationID":"35E4yvjf","properties":{"formattedCitation":"(Cohen, 2020)","plainCitation":"(Cohen, 2020)","dontUpdate":true,"noteIndex":0},"citationItems":[{"id":67,"uris":["http://zotero.org/users/local/AhaM3qLx/items/UPJ843A8"],"itemData":{"id":67,"type":"report","abstract":"Background.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2A2765">
        <w:fldChar w:fldCharType="separate"/>
      </w:r>
      <w:r w:rsidR="002A2765">
        <w:rPr>
          <w:rFonts w:ascii="Calibri" w:hAnsi="Calibri" w:cs="Calibri"/>
        </w:rPr>
        <w:t>Cohen</w:t>
      </w:r>
      <w:r w:rsidR="002A2765" w:rsidRPr="002A2765">
        <w:rPr>
          <w:rFonts w:ascii="Calibri" w:hAnsi="Calibri" w:cs="Calibri"/>
        </w:rPr>
        <w:t xml:space="preserve"> </w:t>
      </w:r>
      <w:r w:rsidR="002A2765">
        <w:rPr>
          <w:rFonts w:ascii="Calibri" w:hAnsi="Calibri" w:cs="Calibri"/>
        </w:rPr>
        <w:t>(</w:t>
      </w:r>
      <w:r w:rsidR="002A2765" w:rsidRPr="002A2765">
        <w:rPr>
          <w:rFonts w:ascii="Calibri" w:hAnsi="Calibri" w:cs="Calibri"/>
        </w:rPr>
        <w:t>2020)</w:t>
      </w:r>
      <w:r w:rsidR="002A2765">
        <w:fldChar w:fldCharType="end"/>
      </w:r>
      <w:r w:rsidR="00E704C7">
        <w:t xml:space="preserve"> ist auch </w:t>
      </w:r>
      <w:r w:rsidR="002B033C">
        <w:t xml:space="preserve">dieses Frequenzband eine häufig genutzte </w:t>
      </w:r>
      <w:r w:rsidR="00E704C7">
        <w:t>Defini</w:t>
      </w:r>
      <w:r w:rsidR="00232E75">
        <w:t xml:space="preserve">tion für Alpha. </w:t>
      </w:r>
      <w:r w:rsidR="005F0D0D">
        <w:t xml:space="preserve">Die untere Grenze der definierten Frequenzbänder zählt dabei immer mit in das jeweilige Band, die obere Grenze nicht. </w:t>
      </w:r>
      <w:r w:rsidR="00232E75">
        <w:t>Es wurde der Mittelwert der Power in diesem Frequenzbereich berechnet, um die Power im Theta-, Alpha</w:t>
      </w:r>
      <w:r w:rsidR="00CB49E6">
        <w:t>-</w:t>
      </w:r>
      <w:r w:rsidR="00232E75">
        <w:t xml:space="preserve"> und </w:t>
      </w:r>
      <w:proofErr w:type="spellStart"/>
      <w:r w:rsidR="00232E75">
        <w:t>Betaband</w:t>
      </w:r>
      <w:proofErr w:type="spellEnd"/>
      <w:r w:rsidR="00232E75">
        <w:t xml:space="preserve"> für den jeweiligen Kanal in die Tabelle hinzuzufügen.</w:t>
      </w:r>
      <w:r w:rsidR="00CB49E6">
        <w:t xml:space="preserve"> Jeder Kanal bei dem</w:t>
      </w:r>
      <w:r w:rsidR="005F0D0D">
        <w:t xml:space="preserve"> sich</w:t>
      </w:r>
      <w:r w:rsidR="00CB49E6">
        <w:t xml:space="preserve"> für mindestens einer dieser Frequenz</w:t>
      </w:r>
      <w:r w:rsidR="005F0D0D">
        <w:t>bänder eine negative Power ergeben h</w:t>
      </w:r>
      <w:r w:rsidR="001C4291">
        <w:t>at, wurde ebenfalls entfernt</w:t>
      </w:r>
      <w:r w:rsidR="005F0D0D">
        <w:t>. D</w:t>
      </w:r>
      <w:r w:rsidR="00CB49E6">
        <w:t>ies</w:t>
      </w:r>
      <w:r w:rsidR="005F0D0D">
        <w:t xml:space="preserve"> lässt darauf schließen</w:t>
      </w:r>
      <w:r w:rsidR="00CB49E6">
        <w:t>, dass die aperiodische Komponente größer geschätzt wurde als das originale Signal, was für eine schlechte Schätzu</w:t>
      </w:r>
      <w:r w:rsidR="006C0BC0">
        <w:t>ng spricht. Dabei sind weitere 377</w:t>
      </w:r>
      <w:r w:rsidR="00CB49E6">
        <w:t xml:space="preserve"> Kanäle aus dem Datensatz entfernt worden. </w:t>
      </w:r>
      <w:r w:rsidR="006A443F">
        <w:t xml:space="preserve">Als letzte Bereinigungsschritte wurden alle Daten, die eine Tiefe von größer gleich 10 oder kleiner -3 hatten, </w:t>
      </w:r>
      <w:r w:rsidR="006A443F">
        <w:lastRenderedPageBreak/>
        <w:t xml:space="preserve">aus dem Datensatz entfernt, da es sich dabei um den Start und das Ende der Aufzeichnung handelt und hier Aufgrund von Kalibrierungen keine sinnvollen Daten </w:t>
      </w:r>
      <w:r w:rsidR="006C0BC0">
        <w:t>enthalten sind. Noch weitere 357</w:t>
      </w:r>
      <w:r w:rsidR="006A443F">
        <w:t xml:space="preserve"> Kanäle sind hierbei entfernt worden. Abschließend wurde ein Kanal entfernt der ein</w:t>
      </w:r>
      <w:r w:rsidR="009F0BD2">
        <w:t>en auffällig großen RMS</w:t>
      </w:r>
      <w:r w:rsidR="006A443F">
        <w:t xml:space="preserve"> aufwies, das den nächstgrößt</w:t>
      </w:r>
      <w:r w:rsidR="00D82083">
        <w:t>en um das 300-fache über</w:t>
      </w:r>
      <w:r w:rsidR="006868EC">
        <w:t xml:space="preserve">stieg. Es </w:t>
      </w:r>
      <w:proofErr w:type="gramStart"/>
      <w:r w:rsidR="006868EC">
        <w:t>sind</w:t>
      </w:r>
      <w:proofErr w:type="gramEnd"/>
      <w:r w:rsidR="006868EC">
        <w:t xml:space="preserve"> letztendlich 2168</w:t>
      </w:r>
      <w:r w:rsidR="00D82083">
        <w:t xml:space="preserve"> von den ursprünglichen </w:t>
      </w:r>
      <w:r w:rsidR="008423B7">
        <w:t xml:space="preserve">3971 Kanälen übrig geblieben. </w:t>
      </w:r>
      <w:r w:rsidR="002C0AF9" w:rsidRPr="00863B8E">
        <w:t xml:space="preserve">Nun da </w:t>
      </w:r>
      <w:r w:rsidR="002C0AF9">
        <w:t>alle Schritte zur Bereinigun</w:t>
      </w:r>
      <w:r w:rsidR="00863B8E">
        <w:t>g der Daten durchgeführt wurden, wurde</w:t>
      </w:r>
      <w:r w:rsidR="009F0BD2">
        <w:t>n der aperiodische Exponent, der RMS</w:t>
      </w:r>
      <w:r w:rsidR="005F0D0D">
        <w:t xml:space="preserve"> und die Theta-, Alpha- und Betapower</w:t>
      </w:r>
      <w:r w:rsidR="00863B8E">
        <w:t xml:space="preserve"> innerhalb der jeweiligen Patient*innen z-standardisiert, um die Abweichungen von der Normalverteilung zu korrigieren. Abschließend wurde eine weitere Tabelle erstellt, die </w:t>
      </w:r>
      <w:r w:rsidR="002B033C">
        <w:t xml:space="preserve">für die eben genannten Variablen für alle Patient*innen </w:t>
      </w:r>
      <w:r w:rsidR="005F0D0D">
        <w:t xml:space="preserve">den </w:t>
      </w:r>
      <w:r w:rsidR="002B033C">
        <w:t xml:space="preserve">jeweiligen </w:t>
      </w:r>
      <w:r w:rsidR="005F0D0D">
        <w:t>Wert aus dem Datensatz</w:t>
      </w:r>
      <w:r w:rsidR="002B033C">
        <w:t xml:space="preserve"> abspeicherte, der der</w:t>
      </w:r>
      <w:r w:rsidR="0078306A">
        <w:t xml:space="preserve"> Z</w:t>
      </w:r>
      <w:r w:rsidR="002B033C">
        <w:t>ielposition</w:t>
      </w:r>
      <w:r w:rsidR="0078306A">
        <w:t xml:space="preserve"> am nächsten war</w:t>
      </w:r>
      <w:r w:rsidR="004D5C32">
        <w:t xml:space="preserve">, und den </w:t>
      </w:r>
      <w:r w:rsidR="002B033C">
        <w:t xml:space="preserve">jeweiligen </w:t>
      </w:r>
      <w:r w:rsidR="004D5C32">
        <w:t>Wert</w:t>
      </w:r>
      <w:r w:rsidR="005F0D0D">
        <w:t xml:space="preserve"> aus dem Datens</w:t>
      </w:r>
      <w:r w:rsidR="002B033C">
        <w:t>atz, der den größten Abstand zur Zielposition</w:t>
      </w:r>
      <w:r w:rsidR="005F0D0D">
        <w:t xml:space="preserve"> hat</w:t>
      </w:r>
      <w:r w:rsidR="0078306A">
        <w:t>te</w:t>
      </w:r>
      <w:r w:rsidR="004D5C32">
        <w:t>.</w:t>
      </w:r>
      <w:r w:rsidR="005F0D0D">
        <w:t xml:space="preserve"> Die We</w:t>
      </w:r>
      <w:r w:rsidR="00E060EA">
        <w:t>rte aus den Datensätzen, die der Zielposition</w:t>
      </w:r>
      <w:r w:rsidR="005F0D0D">
        <w:t xml:space="preserve"> am nächsten sind und somit eine Tiefe haben, die möglichst nah an 0 liegen, werden im weiteren Verlauf als die Bedingung „nah“ bezeichnet. Die Werte aus den Datensätzen, </w:t>
      </w:r>
      <w:r w:rsidR="00E060EA">
        <w:t>welche die größte Entfernung von der Zielposition</w:t>
      </w:r>
      <w:r w:rsidR="005F0D0D">
        <w:t xml:space="preserve"> haben und somit eine Tiefe haben, die möglichst nah an 10 liegen, werden im weiteren Verlauf als die Bedingung „fern“ bezeichnet.</w:t>
      </w:r>
    </w:p>
    <w:p w:rsidR="004D5C32" w:rsidRDefault="00DD3702" w:rsidP="000D188D">
      <w:r>
        <w:t xml:space="preserve">2.5 </w:t>
      </w:r>
      <w:proofErr w:type="gramStart"/>
      <w:r>
        <w:t>S</w:t>
      </w:r>
      <w:r w:rsidR="004D5C32">
        <w:t>tatistische Auswertung</w:t>
      </w:r>
      <w:proofErr w:type="gramEnd"/>
      <w:r w:rsidR="004D5C32">
        <w:t xml:space="preserve"> </w:t>
      </w:r>
    </w:p>
    <w:p w:rsidR="00B20730" w:rsidRDefault="00B20730" w:rsidP="000D188D">
      <w:r>
        <w:t>2.5.1 Erste Hypothese</w:t>
      </w:r>
    </w:p>
    <w:p w:rsidR="004D5C32" w:rsidRDefault="004D5C32" w:rsidP="000D188D">
      <w:r>
        <w:t>Mit Hilfe der Programmiersprache R (Version 4.1.2) werden die Daten, die aus den ers</w:t>
      </w:r>
      <w:r w:rsidR="008423B7">
        <w:t>ten beiden Skripts ausgegeben wu</w:t>
      </w:r>
      <w:r>
        <w:t xml:space="preserve">rden, ausgewertet. </w:t>
      </w:r>
      <w:r w:rsidR="004C62A2">
        <w:t>Für die Überprüfung der erst</w:t>
      </w:r>
      <w:r w:rsidR="0055306F">
        <w:t xml:space="preserve">en Hypothese, dass die Power im </w:t>
      </w:r>
      <w:proofErr w:type="spellStart"/>
      <w:r w:rsidR="0055306F">
        <w:t>Betaband</w:t>
      </w:r>
      <w:proofErr w:type="spellEnd"/>
      <w:r w:rsidR="004C62A2">
        <w:t xml:space="preserve"> </w:t>
      </w:r>
      <w:r w:rsidR="0055306F">
        <w:t xml:space="preserve">des LFP </w:t>
      </w:r>
      <w:r w:rsidR="0066637E">
        <w:t>und die Spike-Aktivität</w:t>
      </w:r>
      <w:r w:rsidR="004C62A2">
        <w:t xml:space="preserve"> </w:t>
      </w:r>
      <w:r w:rsidR="0055306F">
        <w:t>des</w:t>
      </w:r>
      <w:r w:rsidR="0066637E">
        <w:t xml:space="preserve"> elektrischen</w:t>
      </w:r>
      <w:r w:rsidR="0055306F">
        <w:t xml:space="preserve"> Signals </w:t>
      </w:r>
      <w:r w:rsidR="00E060EA">
        <w:t>in der Nähe der Zielposition</w:t>
      </w:r>
      <w:r w:rsidR="00852527">
        <w:t xml:space="preserve"> größer sind als in </w:t>
      </w:r>
      <w:r w:rsidR="00B47553">
        <w:t>weiter</w:t>
      </w:r>
      <w:r w:rsidR="00852527">
        <w:t xml:space="preserve"> Entfernung</w:t>
      </w:r>
      <w:r w:rsidR="00E060EA">
        <w:t xml:space="preserve"> von der Zielposition</w:t>
      </w:r>
      <w:r w:rsidR="00DB3D34">
        <w:t>, werden</w:t>
      </w:r>
      <w:r w:rsidR="0066637E">
        <w:t xml:space="preserve"> Betapower und</w:t>
      </w:r>
      <w:r w:rsidR="00F4057B">
        <w:t xml:space="preserve"> RMS</w:t>
      </w:r>
      <w:r w:rsidR="0078306A">
        <w:t xml:space="preserve"> der Bedingung „nah“</w:t>
      </w:r>
      <w:r w:rsidR="00852527">
        <w:t xml:space="preserve"> mit den </w:t>
      </w:r>
      <w:r w:rsidR="00CE04C8">
        <w:t xml:space="preserve">jeweiligen </w:t>
      </w:r>
      <w:r w:rsidR="00852527">
        <w:t>Werten</w:t>
      </w:r>
      <w:r w:rsidR="0078306A">
        <w:t xml:space="preserve"> der Bedingung „fern“</w:t>
      </w:r>
      <w:r w:rsidR="00852527">
        <w:t xml:space="preserve"> von allen Patient*innen</w:t>
      </w:r>
      <w:r w:rsidR="00DB3D34">
        <w:t xml:space="preserve"> verglichen</w:t>
      </w:r>
      <w:r w:rsidR="00852527">
        <w:t xml:space="preserve">. </w:t>
      </w:r>
      <w:r w:rsidR="00DB3D34">
        <w:t>Dafür muss geprüft werden, ob die Diffe</w:t>
      </w:r>
      <w:r w:rsidR="0078306A">
        <w:t>renzen zwischen den Werten bei</w:t>
      </w:r>
      <w:r w:rsidR="00DB3D34">
        <w:t>de</w:t>
      </w:r>
      <w:r w:rsidR="0078306A">
        <w:t xml:space="preserve">r Bedingungen </w:t>
      </w:r>
      <w:r w:rsidR="00DB3D34">
        <w:t>normalverteilt sind. Da es sich hierbei nur um 30 Werte pro Gruppe handelt, kann hierfür der S</w:t>
      </w:r>
      <w:r w:rsidR="009F2646">
        <w:t>hapiro-Wilk-Test genutzt werden. Bei großen Stichproben würde der Shapiro-Wilk-Test automatisch signifikant werden und es wäre keine vernünftige Aussage über die Verletzung der Normalverteilung möglich.</w:t>
      </w:r>
      <w:r w:rsidR="00DB3D34">
        <w:t xml:space="preserve"> Wenn der Test nicht signifikant wird, kann keine Verletzung der Normalverteilung angenommen werden. In diesem Fall werden</w:t>
      </w:r>
      <w:r w:rsidR="00B47553">
        <w:t xml:space="preserve"> rechts</w:t>
      </w:r>
      <w:r w:rsidR="000F0842">
        <w:t>seitige</w:t>
      </w:r>
      <w:r w:rsidR="00DB3D34">
        <w:t xml:space="preserve"> </w:t>
      </w:r>
      <w:r w:rsidR="00DB3D34" w:rsidRPr="00DB3D34">
        <w:rPr>
          <w:i/>
        </w:rPr>
        <w:t>t</w:t>
      </w:r>
      <w:r w:rsidR="00DB3D34">
        <w:t>-Tests für abhängige Stichproben auf 5% Signifikanzniveau gerechnet. Ist der Shapiro-Wilk-Test signifikant, muss von einer Verletzung der Normalverteilung ausgegangen werden. In diesem Fall werden</w:t>
      </w:r>
      <w:r w:rsidR="00B47553">
        <w:t xml:space="preserve"> rechts</w:t>
      </w:r>
      <w:r w:rsidR="000F0842">
        <w:t>seitige</w:t>
      </w:r>
      <w:r w:rsidR="00DB3D34">
        <w:t xml:space="preserve"> </w:t>
      </w:r>
      <w:proofErr w:type="spellStart"/>
      <w:r w:rsidR="00DB3D34">
        <w:t>Wilcoxon</w:t>
      </w:r>
      <w:proofErr w:type="spellEnd"/>
      <w:r w:rsidR="00DB3D34">
        <w:t>-Vorzeichen-Rang-Tests auf 5% Signifikanzniveau gerechnet</w:t>
      </w:r>
      <w:r w:rsidR="0078306A">
        <w:t xml:space="preserve">. Der Erwartungswert der Werte in der Bedingung „nah“ </w:t>
      </w:r>
      <w:r w:rsidR="00CB4C93">
        <w:t>sollte größer sein als der Erwartungswert der Werte</w:t>
      </w:r>
      <w:r w:rsidR="0078306A">
        <w:t xml:space="preserve"> in der Bedingung „fern“, </w:t>
      </w:r>
      <w:r w:rsidR="00CB4C93">
        <w:t xml:space="preserve">damit die Alternativhypothese angenommen werden kann. </w:t>
      </w:r>
    </w:p>
    <w:p w:rsidR="007C132B" w:rsidRDefault="007C132B" w:rsidP="000D188D">
      <w:r>
        <w:t>H1</w:t>
      </w:r>
      <w:r w:rsidR="00942303">
        <w:t>.1</w:t>
      </w:r>
      <w:r>
        <w:rPr>
          <w:vertAlign w:val="subscript"/>
        </w:rPr>
        <w:t>0</w:t>
      </w:r>
      <w:r w:rsidR="00623A73">
        <w:t>: µ</w:t>
      </w:r>
      <w:r w:rsidRPr="007C132B">
        <w:t>(Betapower</w:t>
      </w:r>
      <w:r w:rsidR="0078306A">
        <w:rPr>
          <w:vertAlign w:val="subscript"/>
        </w:rPr>
        <w:t>nah</w:t>
      </w:r>
      <w:r w:rsidR="00623A73">
        <w:t>) ≤ µ</w:t>
      </w:r>
      <w:r w:rsidRPr="007C132B">
        <w:t>(Betapower</w:t>
      </w:r>
      <w:r w:rsidR="0078306A">
        <w:rPr>
          <w:vertAlign w:val="subscript"/>
        </w:rPr>
        <w:t>fern</w:t>
      </w:r>
      <w:r>
        <w:t>)</w:t>
      </w:r>
      <w:r>
        <w:br/>
        <w:t>H1</w:t>
      </w:r>
      <w:r w:rsidR="00942303">
        <w:t>.1</w:t>
      </w:r>
      <w:r w:rsidRPr="007C132B">
        <w:rPr>
          <w:vertAlign w:val="subscript"/>
        </w:rPr>
        <w:t>1</w:t>
      </w:r>
      <w:r w:rsidR="00623A73">
        <w:t>: µ</w:t>
      </w:r>
      <w:r>
        <w:t>(Betapower</w:t>
      </w:r>
      <w:r w:rsidR="0078306A">
        <w:rPr>
          <w:vertAlign w:val="subscript"/>
        </w:rPr>
        <w:t>nah</w:t>
      </w:r>
      <w:r>
        <w:t xml:space="preserve">) </w:t>
      </w:r>
      <w:r w:rsidR="00623A73">
        <w:t>&gt; µ</w:t>
      </w:r>
      <w:r w:rsidR="00BE20E5">
        <w:t>(Betapower</w:t>
      </w:r>
      <w:r w:rsidR="0078306A">
        <w:rPr>
          <w:vertAlign w:val="subscript"/>
        </w:rPr>
        <w:t>fern</w:t>
      </w:r>
      <w:r w:rsidR="00BE20E5">
        <w:t>)</w:t>
      </w:r>
    </w:p>
    <w:p w:rsidR="00BE20E5" w:rsidRDefault="00942303" w:rsidP="00BE20E5">
      <w:r>
        <w:t>H1.2</w:t>
      </w:r>
      <w:r w:rsidR="00BE20E5">
        <w:rPr>
          <w:vertAlign w:val="subscript"/>
        </w:rPr>
        <w:t>0</w:t>
      </w:r>
      <w:r w:rsidR="00623A73">
        <w:t>: µ</w:t>
      </w:r>
      <w:r w:rsidR="00BE20E5">
        <w:t>(</w:t>
      </w:r>
      <w:proofErr w:type="spellStart"/>
      <w:r w:rsidR="00F4057B">
        <w:t>RMS</w:t>
      </w:r>
      <w:r w:rsidR="0078306A">
        <w:rPr>
          <w:vertAlign w:val="subscript"/>
        </w:rPr>
        <w:t>nah</w:t>
      </w:r>
      <w:proofErr w:type="spellEnd"/>
      <w:r w:rsidR="00BE20E5" w:rsidRPr="007C132B">
        <w:t xml:space="preserve">) </w:t>
      </w:r>
      <w:r w:rsidR="00623A73">
        <w:t>≤ µ</w:t>
      </w:r>
      <w:r w:rsidR="00F4057B">
        <w:t>(</w:t>
      </w:r>
      <w:proofErr w:type="spellStart"/>
      <w:r w:rsidR="00F4057B">
        <w:t>RMS</w:t>
      </w:r>
      <w:r w:rsidR="0078306A">
        <w:rPr>
          <w:vertAlign w:val="subscript"/>
        </w:rPr>
        <w:t>fern</w:t>
      </w:r>
      <w:proofErr w:type="spellEnd"/>
      <w:r>
        <w:t>)</w:t>
      </w:r>
      <w:r>
        <w:br/>
        <w:t>H1.2</w:t>
      </w:r>
      <w:r w:rsidR="00BE20E5" w:rsidRPr="007C132B">
        <w:rPr>
          <w:vertAlign w:val="subscript"/>
        </w:rPr>
        <w:t>1</w:t>
      </w:r>
      <w:r w:rsidR="00623A73">
        <w:t>: µ</w:t>
      </w:r>
      <w:r w:rsidR="00BE20E5">
        <w:t>(</w:t>
      </w:r>
      <w:proofErr w:type="spellStart"/>
      <w:r w:rsidR="00F4057B">
        <w:t>RMS</w:t>
      </w:r>
      <w:r w:rsidR="0078306A">
        <w:rPr>
          <w:vertAlign w:val="subscript"/>
        </w:rPr>
        <w:t>nah</w:t>
      </w:r>
      <w:proofErr w:type="spellEnd"/>
      <w:r w:rsidR="00623A73">
        <w:t>) &gt; µ</w:t>
      </w:r>
      <w:r w:rsidR="00BE20E5">
        <w:t>(</w:t>
      </w:r>
      <w:proofErr w:type="spellStart"/>
      <w:r w:rsidR="00F4057B">
        <w:t>RMS</w:t>
      </w:r>
      <w:r w:rsidR="0078306A">
        <w:rPr>
          <w:vertAlign w:val="subscript"/>
        </w:rPr>
        <w:t>fern</w:t>
      </w:r>
      <w:proofErr w:type="spellEnd"/>
      <w:r w:rsidR="00BE20E5">
        <w:t>)</w:t>
      </w:r>
    </w:p>
    <w:p w:rsidR="00B20730" w:rsidRDefault="00B20730" w:rsidP="00BE20E5">
      <w:r>
        <w:t>2.5.2 Zweite Hypothese</w:t>
      </w:r>
    </w:p>
    <w:p w:rsidR="00CC67CF" w:rsidRDefault="00E97C3E" w:rsidP="00BE20E5">
      <w:r>
        <w:t>Um den ersten Teil der</w:t>
      </w:r>
      <w:r w:rsidR="00BE20E5">
        <w:t xml:space="preserve"> zweite</w:t>
      </w:r>
      <w:r>
        <w:t>n</w:t>
      </w:r>
      <w:r w:rsidR="00BE20E5">
        <w:t xml:space="preserve"> Hypothese zu überprüfen, </w:t>
      </w:r>
      <w:r w:rsidR="000F0842">
        <w:t xml:space="preserve">dass </w:t>
      </w:r>
      <w:r w:rsidR="00A92D87">
        <w:t xml:space="preserve">sich </w:t>
      </w:r>
      <w:r w:rsidR="000F0842">
        <w:t>der aperiodische Exponent</w:t>
      </w:r>
      <w:r w:rsidR="00C92CD3">
        <w:t xml:space="preserve"> des LFP in der Nähe der Zielposition </w:t>
      </w:r>
      <w:r w:rsidR="00A92D87">
        <w:t>von dem aperiodischen Exponenten</w:t>
      </w:r>
      <w:r w:rsidR="00C92CD3">
        <w:t xml:space="preserve"> in weiter Entfernung von der Zielposition</w:t>
      </w:r>
      <w:r w:rsidR="00A92D87">
        <w:t xml:space="preserve"> unterscheidet</w:t>
      </w:r>
      <w:r w:rsidR="0078306A">
        <w:t>, we</w:t>
      </w:r>
      <w:r w:rsidR="00BE20E5">
        <w:t>rd</w:t>
      </w:r>
      <w:r w:rsidR="00C92CD3">
        <w:t>en</w:t>
      </w:r>
      <w:r w:rsidR="0078306A">
        <w:t xml:space="preserve"> ebenfalls die</w:t>
      </w:r>
      <w:r w:rsidR="00BE20E5">
        <w:t xml:space="preserve"> Wert</w:t>
      </w:r>
      <w:r w:rsidR="0078306A">
        <w:t>e der Bedingung „nah“ mit den</w:t>
      </w:r>
      <w:r w:rsidR="00BE20E5">
        <w:t xml:space="preserve"> Wert</w:t>
      </w:r>
      <w:r w:rsidR="0078306A">
        <w:t>en der Bedingung „fern“</w:t>
      </w:r>
      <w:r w:rsidR="00BE20E5">
        <w:t xml:space="preserve"> verglichen. Auch in diesem Fall wird daher ein Shapiro-Wilk-Test angewendet, um die Differenzen </w:t>
      </w:r>
      <w:r w:rsidR="0078306A">
        <w:t xml:space="preserve">beider Bedingungen </w:t>
      </w:r>
      <w:r w:rsidR="00BE20E5">
        <w:t>auf Normalverteilung zu testen. Auch hier wird bei nicht signifikantem Ergeb</w:t>
      </w:r>
      <w:r w:rsidR="000F0842">
        <w:t xml:space="preserve">nis ein </w:t>
      </w:r>
      <w:r w:rsidR="000F0842" w:rsidRPr="00DB3D34">
        <w:rPr>
          <w:i/>
        </w:rPr>
        <w:t>t</w:t>
      </w:r>
      <w:r w:rsidR="000F0842">
        <w:t xml:space="preserve">-Test für abhängige Stichproben, und bei signifikantem Ergebnis ein </w:t>
      </w:r>
      <w:proofErr w:type="spellStart"/>
      <w:r w:rsidR="000F0842">
        <w:t>Wilcoxon</w:t>
      </w:r>
      <w:proofErr w:type="spellEnd"/>
      <w:r w:rsidR="000F0842">
        <w:t xml:space="preserve">-Vorzeichen-Rang-Tests auf 5% Signifikanzniveau gerechnet. Da es sich jedoch nicht um eine </w:t>
      </w:r>
      <w:r w:rsidR="000F0842">
        <w:lastRenderedPageBreak/>
        <w:t xml:space="preserve">gerichtete Hypothese handelt, wird der jeweilige Test zweiseitig durchgeführt. </w:t>
      </w:r>
      <w:r w:rsidR="00B47553">
        <w:t>Die aperiodischen Exponenten in der Bedingung „nah“ sollten sich von den aperiodischen Exponenten in der Bedingung „fern“ unterscheiden, damit die Alternativhypothese angenommen werden kann.</w:t>
      </w:r>
      <w:r w:rsidR="00C92CD3">
        <w:t xml:space="preserve"> </w:t>
      </w:r>
    </w:p>
    <w:p w:rsidR="00BE20E5" w:rsidRDefault="00C92CD3" w:rsidP="00BE20E5">
      <w:r>
        <w:t>Um den zweiten Teil der zweiten Hypothese zu überprüfen, dass es eine</w:t>
      </w:r>
      <w:r w:rsidR="00492E17">
        <w:t>n Zusammenhang</w:t>
      </w:r>
      <w:r>
        <w:t xml:space="preserve"> zwischen dem aperiodischen Exponenten und der Entfernung der Elektrode zu der Zielposition (Tiefe) gibt,</w:t>
      </w:r>
      <w:r w:rsidR="00C81150">
        <w:t xml:space="preserve"> wird </w:t>
      </w:r>
      <w:r w:rsidR="000D4712">
        <w:t>ein</w:t>
      </w:r>
      <w:r w:rsidR="008D1C0B">
        <w:t>e Regression mittels</w:t>
      </w:r>
      <w:r w:rsidR="000D4712">
        <w:t xml:space="preserve"> Linear </w:t>
      </w:r>
      <w:proofErr w:type="spellStart"/>
      <w:r w:rsidR="000D4712">
        <w:t>mixed</w:t>
      </w:r>
      <w:proofErr w:type="spellEnd"/>
      <w:r w:rsidR="000D4712">
        <w:t xml:space="preserve"> </w:t>
      </w:r>
      <w:proofErr w:type="spellStart"/>
      <w:r w:rsidR="000D4712">
        <w:t>model</w:t>
      </w:r>
      <w:proofErr w:type="spellEnd"/>
      <w:r>
        <w:t xml:space="preserve"> gerechnet.</w:t>
      </w:r>
      <w:r w:rsidR="00343C6C">
        <w:t xml:space="preserve"> Dafür wird das </w:t>
      </w:r>
      <w:proofErr w:type="spellStart"/>
      <w:r w:rsidR="00343C6C">
        <w:t>package</w:t>
      </w:r>
      <w:proofErr w:type="spellEnd"/>
      <w:r w:rsidR="00343C6C">
        <w:t xml:space="preserve"> lme4 für R verwendet </w:t>
      </w:r>
      <w:r w:rsidR="001238AA">
        <w:fldChar w:fldCharType="begin"/>
      </w:r>
      <w:r w:rsidR="001238AA">
        <w:instrText xml:space="preserve"> ADDIN ZOTERO_ITEM CSL_CITATION {"citationID":"SodZ2ctf","properties":{"formattedCitation":"(Bates et al., 2015)","plainCitation":"(Bates et al., 2015)","noteIndex":0},"citationItems":[{"id":137,"uris":["http://zotero.org/users/local/AhaM3qLx/items/CYXCGQHR"],"itemData":{"id":137,"type":"article-journal","abstract":"Maximum likelihood or restricted maximum likelihood (REML) estimates of the parameters in linear mixed-eﬀects models can be determined using the lmer function in the lme4 package for R. As for most model-ﬁtting functions in R, the model is described in an lmer call by a formula, in this case including both ﬁxed- and random-eﬀects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Suﬃcient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2022",4,14]]},"issued":{"date-parts":[["2015"]]}}}],"schema":"https://github.com/citation-style-language/schema/raw/master/csl-citation.json"} </w:instrText>
      </w:r>
      <w:r w:rsidR="001238AA">
        <w:fldChar w:fldCharType="separate"/>
      </w:r>
      <w:r w:rsidR="001238AA" w:rsidRPr="001238AA">
        <w:rPr>
          <w:rFonts w:ascii="Calibri" w:hAnsi="Calibri" w:cs="Calibri"/>
        </w:rPr>
        <w:t>(Bates et al., 2015)</w:t>
      </w:r>
      <w:r w:rsidR="001238AA">
        <w:fldChar w:fldCharType="end"/>
      </w:r>
      <w:r w:rsidR="001238AA">
        <w:t>.</w:t>
      </w:r>
      <w:r w:rsidR="001B40AC">
        <w:t xml:space="preserve"> Als Fixed </w:t>
      </w:r>
      <w:proofErr w:type="spellStart"/>
      <w:r w:rsidR="001B40AC">
        <w:t>Effect</w:t>
      </w:r>
      <w:proofErr w:type="spellEnd"/>
      <w:r w:rsidR="001B40AC">
        <w:t xml:space="preserve"> wird dabei die Tiefe als abhängige Variable und die aperiodische Komponente als unabhängige Variable verwendet. Als Random </w:t>
      </w:r>
      <w:proofErr w:type="spellStart"/>
      <w:r w:rsidR="001B40AC">
        <w:t>Effect</w:t>
      </w:r>
      <w:proofErr w:type="spellEnd"/>
      <w:r w:rsidR="001B40AC">
        <w:t xml:space="preserve"> wird d</w:t>
      </w:r>
      <w:r w:rsidR="00CC67CF">
        <w:t>ie ID der Versuchspersonen angegeben</w:t>
      </w:r>
      <w:r w:rsidR="001B40AC">
        <w:t>, um individuelle Unterschiede zwischen den Patient*innen</w:t>
      </w:r>
      <w:r w:rsidR="00CC67CF">
        <w:t xml:space="preserve"> zu berücksichtigen</w:t>
      </w:r>
      <w:r w:rsidR="001B40AC">
        <w:t xml:space="preserve">. </w:t>
      </w:r>
      <w:r w:rsidR="00F96889">
        <w:t>Die Residuen werden grafisch dargestellt, damit die Passung des Regressionsmodells eingeschätzt werden kann.</w:t>
      </w:r>
      <w:r w:rsidR="00342718">
        <w:t xml:space="preserve"> Dabei sollten die Residuen möglichst zufällig um 0 herum streuen, damit eine gute Passung zu dem linearen Regressionsmodell angenommen werden kann.</w:t>
      </w:r>
      <w:r w:rsidR="00F96889">
        <w:t xml:space="preserve"> </w:t>
      </w:r>
      <w:r w:rsidR="001B40AC">
        <w:t>Um zu testen, ob der geschätzte Effekt</w:t>
      </w:r>
      <w:r w:rsidR="00113861">
        <w:t xml:space="preserve"> der aperiodischen Komponente auf die Tiefe</w:t>
      </w:r>
      <w:r w:rsidR="001B40AC">
        <w:t xml:space="preserve"> signifikant</w:t>
      </w:r>
      <w:r w:rsidR="00113861">
        <w:t xml:space="preserve"> größer als 0 ist, wird ein </w:t>
      </w:r>
      <w:r w:rsidR="00113861" w:rsidRPr="00113861">
        <w:rPr>
          <w:i/>
        </w:rPr>
        <w:t>t</w:t>
      </w:r>
      <w:r w:rsidR="00113861">
        <w:t>-</w:t>
      </w:r>
      <w:r w:rsidR="00541C3B">
        <w:t>T</w:t>
      </w:r>
      <w:r w:rsidR="001B40AC">
        <w:t>est</w:t>
      </w:r>
      <w:r w:rsidR="00113861">
        <w:t xml:space="preserve"> auf 5% Signifikanzniveau</w:t>
      </w:r>
      <w:r w:rsidR="001B40AC">
        <w:t xml:space="preserve"> gerechnet</w:t>
      </w:r>
      <w:r w:rsidR="000D0B7B">
        <w:t>.</w:t>
      </w:r>
      <w:r w:rsidR="00113861">
        <w:t xml:space="preserve"> Dafür wird </w:t>
      </w:r>
      <w:proofErr w:type="spellStart"/>
      <w:r w:rsidR="00113861">
        <w:t>lmerTest</w:t>
      </w:r>
      <w:proofErr w:type="spellEnd"/>
      <w:r w:rsidR="00113861">
        <w:t xml:space="preserve"> als zusätzliches </w:t>
      </w:r>
      <w:proofErr w:type="spellStart"/>
      <w:r w:rsidR="00113861">
        <w:t>package</w:t>
      </w:r>
      <w:proofErr w:type="spellEnd"/>
      <w:r w:rsidR="00113861">
        <w:t xml:space="preserve"> für R verwendet </w:t>
      </w:r>
      <w:r w:rsidR="00202D62">
        <w:fldChar w:fldCharType="begin"/>
      </w:r>
      <w:r w:rsidR="00202D62">
        <w:instrText xml:space="preserve"> ADDIN ZOTERO_ITEM CSL_CITATION {"citationID":"Q2pmKMce","properties":{"formattedCitation":"(Kuznetsova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202D62">
        <w:fldChar w:fldCharType="separate"/>
      </w:r>
      <w:r w:rsidR="00202D62" w:rsidRPr="00202D62">
        <w:rPr>
          <w:rFonts w:ascii="Calibri" w:hAnsi="Calibri" w:cs="Calibri"/>
        </w:rPr>
        <w:t>(Kuznetsova et al., 2017)</w:t>
      </w:r>
      <w:r w:rsidR="00202D62">
        <w:fldChar w:fldCharType="end"/>
      </w:r>
      <w:r w:rsidR="00202D62">
        <w:t>.</w:t>
      </w:r>
      <w:r w:rsidR="00CC67CF">
        <w:t xml:space="preserve"> Dort</w:t>
      </w:r>
      <w:r w:rsidR="00635E49">
        <w:t xml:space="preserve"> wurde basierend auf der </w:t>
      </w:r>
      <w:proofErr w:type="spellStart"/>
      <w:r w:rsidR="00635E49">
        <w:t>Satterthwaite’s</w:t>
      </w:r>
      <w:proofErr w:type="spellEnd"/>
      <w:r w:rsidR="00635E49">
        <w:t xml:space="preserve"> Methode eine Schätzung für die Freiheitsgrade hinzugefügt, damit ein </w:t>
      </w:r>
      <w:r w:rsidR="00635E49" w:rsidRPr="00635E49">
        <w:rPr>
          <w:i/>
        </w:rPr>
        <w:t>p</w:t>
      </w:r>
      <w:r w:rsidR="00541C3B">
        <w:t>-W</w:t>
      </w:r>
      <w:r w:rsidR="00635E49">
        <w:t xml:space="preserve">ert berechnet werden kann </w:t>
      </w:r>
      <w:r w:rsidR="00635E49">
        <w:fldChar w:fldCharType="begin"/>
      </w:r>
      <w:r w:rsidR="00635E49">
        <w:instrText xml:space="preserve"> ADDIN ZOTERO_ITEM CSL_CITATION {"citationID":"OZTcehkk","properties":{"formattedCitation":"(Giesbrecht &amp; Burns, 1985; Kuznetsova et al., 2017)","plainCitation":"(Giesbrecht &amp; Burns, 1985; Kuznetsova et al., 2017)","noteIndex":0},"citationItems":[{"id":141,"uris":["http://zotero.org/users/local/AhaM3qLx/items/YIZKD5K9"],"itemData":{"id":141,"type":"article-journal","abstract":"A two-stage analysis for the mixed model in which variance components due to the random effects are estimated and used to compute generalized least squares estimates of fixed effects is developed. Large-sample theory is used to establish asymptotic properties. An approximate t test that can be used to test linear contrasts among fixed effects is discussed. Two modest simulations, based on a model for a grazing trial (Burns, Harvey, and Giesbrecht, 1981, Proceedings of 14th International Grassland Conference, J. A. Smith and V. W. Hays (eds), 497-500, Boulder, Colorado: Westview Press; Burns et al., 1983, Agronomy Journal 75, 865-871) are used to show that the asymptotic results are reasonable for small samples.","container-title":"Biometrics","DOI":"10.2307/2530872","ISSN":"0006341X","issue":"2","journalAbbreviation":"Biometrics","language":"en","page":"477","source":"DOI.org (Crossref)","title":"Two-Stage Analysis Based on a Mixed Model: Large-Sample Asymptotic Theory and Small-Sample Simulation Results","title-short":"Two-Stage Analysis Based on a Mixed Model","volume":"41","author":[{"family":"Giesbrecht","given":"F. G."},{"family":"Burns","given":"J. C."}],"issued":{"date-parts":[["1985",6]]}}},{"id":139,"uris":["http://zotero.org/users/local/AhaM3qLx/items/39S4AH8Z"],"itemData":{"id":139,"type":"article-journal","abstract":"One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635E49">
        <w:fldChar w:fldCharType="separate"/>
      </w:r>
      <w:r w:rsidR="00635E49" w:rsidRPr="00635E49">
        <w:rPr>
          <w:rFonts w:ascii="Calibri" w:hAnsi="Calibri" w:cs="Calibri"/>
        </w:rPr>
        <w:t>(Giesbrecht &amp; Burns, 1985; Kuznetsova et al., 2017)</w:t>
      </w:r>
      <w:r w:rsidR="00635E49">
        <w:fldChar w:fldCharType="end"/>
      </w:r>
      <w:r w:rsidR="00635E49">
        <w:t>.</w:t>
      </w:r>
      <w:r w:rsidR="00CC67CF">
        <w:t xml:space="preserve"> </w:t>
      </w:r>
      <w:r w:rsidR="000D0B7B">
        <w:t xml:space="preserve">Zusätzlich wird ein 95% </w:t>
      </w:r>
      <w:proofErr w:type="spellStart"/>
      <w:r w:rsidR="000D0B7B">
        <w:t>profiled</w:t>
      </w:r>
      <w:proofErr w:type="spellEnd"/>
      <w:r w:rsidR="000D0B7B">
        <w:t xml:space="preserve"> </w:t>
      </w:r>
      <w:proofErr w:type="spellStart"/>
      <w:r w:rsidR="000D0B7B">
        <w:t>confidence</w:t>
      </w:r>
      <w:proofErr w:type="spellEnd"/>
      <w:r w:rsidR="000D0B7B">
        <w:t xml:space="preserve"> </w:t>
      </w:r>
      <w:proofErr w:type="spellStart"/>
      <w:r w:rsidR="000D0B7B">
        <w:t>interval</w:t>
      </w:r>
      <w:proofErr w:type="spellEnd"/>
      <w:r w:rsidR="000D0B7B">
        <w:t xml:space="preserve"> berechnet. Wenn die Zahl 0 sich nicht innerhalb der Intervallgrenzen befindet, ist das ein weiteres Indiz dafür, dass sich der Effekt signifikant von 0 unterscheidet.</w:t>
      </w:r>
      <w:r w:rsidR="001B40AC">
        <w:t xml:space="preserve"> </w:t>
      </w:r>
      <w:r w:rsidR="00C81150">
        <w:t xml:space="preserve">Da der Shapiro-Wilk-Test bei der großen Stichprobenzahl von 1975 automatisch signifikant wird, kann mit ihm in diesem Fall keine Aussagen über eine Verletzung der Normalverteilung gemacht werden. Stattdessen wird die Verletzung der Normalverteilung durch visuelle Darstellung mit Histogrammen, Q-Q-Diagrammen und Dichtediagrammen überprüft. </w:t>
      </w:r>
      <w:r w:rsidR="00680AAF">
        <w:t xml:space="preserve">Die </w:t>
      </w:r>
      <w:r w:rsidR="009A4A90">
        <w:t xml:space="preserve">Tiefe </w:t>
      </w:r>
      <w:r w:rsidR="00680AAF">
        <w:t>und der ape</w:t>
      </w:r>
      <w:r w:rsidR="000D0B7B">
        <w:t>riodische Exponent sollten eine</w:t>
      </w:r>
      <w:r w:rsidR="00770A1C">
        <w:t>n</w:t>
      </w:r>
      <w:r w:rsidR="000D0B7B">
        <w:t xml:space="preserve"> lineare</w:t>
      </w:r>
      <w:r w:rsidR="00770A1C">
        <w:t>n Zusammenhang</w:t>
      </w:r>
      <w:r w:rsidR="000D0B7B">
        <w:t xml:space="preserve"> aufweisen, die</w:t>
      </w:r>
      <w:r w:rsidR="00680AAF">
        <w:t xml:space="preserve"> größer ist als 0, damit die Alternativhypothese angenommen werden kann. </w:t>
      </w:r>
    </w:p>
    <w:p w:rsidR="000F0842" w:rsidRDefault="00942303" w:rsidP="000F0842">
      <w:r>
        <w:t>H2.1</w:t>
      </w:r>
      <w:r w:rsidR="000F0842">
        <w:rPr>
          <w:vertAlign w:val="subscript"/>
        </w:rPr>
        <w:t>0</w:t>
      </w:r>
      <w:r w:rsidR="00623A73">
        <w:t>: µ</w:t>
      </w:r>
      <w:r w:rsidR="000F0842">
        <w:t xml:space="preserve">(aperiodischer </w:t>
      </w:r>
      <w:proofErr w:type="spellStart"/>
      <w:r w:rsidR="000F0842">
        <w:t>Exponent</w:t>
      </w:r>
      <w:r w:rsidR="0078306A">
        <w:rPr>
          <w:vertAlign w:val="subscript"/>
        </w:rPr>
        <w:t>nah</w:t>
      </w:r>
      <w:proofErr w:type="spellEnd"/>
      <w:r w:rsidR="000F0842" w:rsidRPr="007C132B">
        <w:t xml:space="preserve">) </w:t>
      </w:r>
      <w:r w:rsidR="00623A73">
        <w:t>= µ</w:t>
      </w:r>
      <w:r w:rsidR="000F0842">
        <w:t xml:space="preserve">(aperiodischer </w:t>
      </w:r>
      <w:proofErr w:type="spellStart"/>
      <w:r w:rsidR="000F0842">
        <w:t>Exponent</w:t>
      </w:r>
      <w:r w:rsidR="0078306A">
        <w:rPr>
          <w:vertAlign w:val="subscript"/>
        </w:rPr>
        <w:t>fern</w:t>
      </w:r>
      <w:proofErr w:type="spellEnd"/>
      <w:r>
        <w:t>)</w:t>
      </w:r>
      <w:r>
        <w:br/>
        <w:t>H2.1</w:t>
      </w:r>
      <w:r w:rsidR="000F0842" w:rsidRPr="007C132B">
        <w:rPr>
          <w:vertAlign w:val="subscript"/>
        </w:rPr>
        <w:t>1</w:t>
      </w:r>
      <w:r w:rsidR="00623A73">
        <w:t>: µ</w:t>
      </w:r>
      <w:r w:rsidR="000F0842">
        <w:t xml:space="preserve">(aperiodischer </w:t>
      </w:r>
      <w:proofErr w:type="spellStart"/>
      <w:r w:rsidR="000F0842">
        <w:t>Exponent</w:t>
      </w:r>
      <w:r w:rsidR="0078306A">
        <w:rPr>
          <w:vertAlign w:val="subscript"/>
        </w:rPr>
        <w:t>nah</w:t>
      </w:r>
      <w:proofErr w:type="spellEnd"/>
      <w:r w:rsidR="000F0842">
        <w:t xml:space="preserve">) </w:t>
      </w:r>
      <w:r w:rsidR="000F0842">
        <w:rPr>
          <w:rFonts w:ascii="Arial" w:hAnsi="Arial" w:cs="Arial"/>
        </w:rPr>
        <w:t>≠</w:t>
      </w:r>
      <w:r w:rsidR="00623A73">
        <w:t xml:space="preserve"> µ</w:t>
      </w:r>
      <w:r w:rsidR="000F0842">
        <w:t xml:space="preserve">(aperiodischer </w:t>
      </w:r>
      <w:proofErr w:type="spellStart"/>
      <w:r w:rsidR="000F0842">
        <w:t>Exponent</w:t>
      </w:r>
      <w:r w:rsidR="0078306A">
        <w:rPr>
          <w:vertAlign w:val="subscript"/>
        </w:rPr>
        <w:t>fern</w:t>
      </w:r>
      <w:proofErr w:type="spellEnd"/>
      <w:r w:rsidR="000F0842">
        <w:t>)</w:t>
      </w:r>
    </w:p>
    <w:p w:rsidR="00680AAF" w:rsidRDefault="00942303" w:rsidP="00680AAF">
      <w:pPr>
        <w:rPr>
          <w:rFonts w:ascii="Arial" w:hAnsi="Arial" w:cs="Arial"/>
          <w:color w:val="202122"/>
          <w:sz w:val="21"/>
          <w:szCs w:val="21"/>
          <w:shd w:val="clear" w:color="auto" w:fill="FFFFFF"/>
        </w:rPr>
      </w:pPr>
      <w:r>
        <w:t>H2.2</w:t>
      </w:r>
      <w:r w:rsidR="00680AAF">
        <w:rPr>
          <w:vertAlign w:val="subscript"/>
        </w:rPr>
        <w:t>0</w:t>
      </w:r>
      <w:r w:rsidR="00680AAF">
        <w:t xml:space="preserve">: </w:t>
      </w:r>
      <w:r w:rsidR="00CC67CF">
        <w:rPr>
          <w:rFonts w:ascii="Arial" w:hAnsi="Arial" w:cs="Arial"/>
          <w:color w:val="202122"/>
          <w:sz w:val="21"/>
          <w:szCs w:val="21"/>
          <w:shd w:val="clear" w:color="auto" w:fill="FFFFFF"/>
        </w:rPr>
        <w:t>β</w:t>
      </w:r>
      <w:r w:rsidR="00680AAF">
        <w:rPr>
          <w:rFonts w:ascii="Arial" w:hAnsi="Arial" w:cs="Arial"/>
          <w:color w:val="202122"/>
          <w:sz w:val="21"/>
          <w:szCs w:val="21"/>
          <w:shd w:val="clear" w:color="auto" w:fill="FFFFFF"/>
        </w:rPr>
        <w:t>(</w:t>
      </w:r>
      <w:r w:rsidR="00680AAF">
        <w:t>aperiodischer Ex</w:t>
      </w:r>
      <w:r w:rsidR="0078306A">
        <w:t>ponent, Tiefe</w:t>
      </w:r>
      <w:r>
        <w:t>) = 0</w:t>
      </w:r>
      <w:r>
        <w:br/>
        <w:t>H2.2</w:t>
      </w:r>
      <w:r w:rsidR="00680AAF" w:rsidRPr="007C132B">
        <w:rPr>
          <w:vertAlign w:val="subscript"/>
        </w:rPr>
        <w:t>1</w:t>
      </w:r>
      <w:r w:rsidR="00680AAF">
        <w:t xml:space="preserve">: </w:t>
      </w:r>
      <w:r w:rsidR="00CC67CF">
        <w:rPr>
          <w:rFonts w:ascii="Arial" w:hAnsi="Arial" w:cs="Arial"/>
          <w:color w:val="202122"/>
          <w:sz w:val="21"/>
          <w:szCs w:val="21"/>
          <w:shd w:val="clear" w:color="auto" w:fill="FFFFFF"/>
        </w:rPr>
        <w:t>β</w:t>
      </w:r>
      <w:r w:rsidR="00680AAF">
        <w:rPr>
          <w:rFonts w:ascii="Arial" w:hAnsi="Arial" w:cs="Arial"/>
          <w:color w:val="202122"/>
          <w:sz w:val="21"/>
          <w:szCs w:val="21"/>
          <w:shd w:val="clear" w:color="auto" w:fill="FFFFFF"/>
        </w:rPr>
        <w:t>(</w:t>
      </w:r>
      <w:r w:rsidR="00680AAF">
        <w:t>aperiodischer Ex</w:t>
      </w:r>
      <w:r w:rsidR="0078306A">
        <w:t>ponent, Tiefe</w:t>
      </w:r>
      <w:r w:rsidR="00680AAF">
        <w:t>)</w:t>
      </w:r>
      <w:r w:rsidR="00680AAF">
        <w:rPr>
          <w:rFonts w:ascii="Arial" w:hAnsi="Arial" w:cs="Arial"/>
          <w:color w:val="202122"/>
          <w:sz w:val="21"/>
          <w:szCs w:val="21"/>
          <w:shd w:val="clear" w:color="auto" w:fill="FFFFFF"/>
        </w:rPr>
        <w:t xml:space="preserve"> ≠ 0</w:t>
      </w:r>
    </w:p>
    <w:p w:rsidR="00B20730" w:rsidRDefault="00B20730" w:rsidP="00680AAF">
      <w:r>
        <w:t xml:space="preserve">2.5.3 Explorative Analysen </w:t>
      </w:r>
    </w:p>
    <w:p w:rsidR="00B2426C" w:rsidRDefault="00DC360E" w:rsidP="000F0842">
      <w:r>
        <w:t xml:space="preserve">Im Anschluss </w:t>
      </w:r>
      <w:r w:rsidR="00171926">
        <w:t>we</w:t>
      </w:r>
      <w:r w:rsidR="002F21E3">
        <w:t>rd</w:t>
      </w:r>
      <w:r w:rsidR="00171926">
        <w:t>en noch einige explorative Analysen durchgeführt.</w:t>
      </w:r>
      <w:r w:rsidR="002F21E3">
        <w:t xml:space="preserve"> </w:t>
      </w:r>
      <w:r w:rsidR="00171926">
        <w:t xml:space="preserve">Als erstes wird </w:t>
      </w:r>
      <w:r w:rsidR="002F21E3">
        <w:t>ein</w:t>
      </w:r>
      <w:r w:rsidR="00B2426C">
        <w:t xml:space="preserve"> weitere</w:t>
      </w:r>
      <w:r w:rsidR="002F21E3">
        <w:t>s Regressionsmodell</w:t>
      </w:r>
      <w:r w:rsidR="00B2426C">
        <w:t xml:space="preserve"> </w:t>
      </w:r>
      <w:r w:rsidR="006B416F">
        <w:t xml:space="preserve">mittels Linear Mixed Model </w:t>
      </w:r>
      <w:r w:rsidR="002F21E3">
        <w:t xml:space="preserve">berechnet, bei dem die Power im Theta-, Alpha- und </w:t>
      </w:r>
      <w:proofErr w:type="spellStart"/>
      <w:r w:rsidR="002F21E3">
        <w:t>Betaband</w:t>
      </w:r>
      <w:proofErr w:type="spellEnd"/>
      <w:r w:rsidR="002F21E3">
        <w:t xml:space="preserve">, der RMS und die aperiodische Komponente als </w:t>
      </w:r>
      <w:r w:rsidR="006B416F">
        <w:t xml:space="preserve">unabhängige Variable </w:t>
      </w:r>
      <w:r w:rsidR="002F21E3">
        <w:t>verwendet werden</w:t>
      </w:r>
      <w:r>
        <w:t>, um herauszufinden mit welchen Variablen aus den vorliegenden Daten das beste Modell für die Vorhersage der Tiefe erstellt werden kann</w:t>
      </w:r>
      <w:r w:rsidR="00B2426C">
        <w:t>.</w:t>
      </w:r>
      <w:r w:rsidR="00F96889">
        <w:t xml:space="preserve"> Auch hier werden die Residuen grafisch dargestellt, um die Passung des Modells einzuschätzen.</w:t>
      </w:r>
      <w:r w:rsidR="00B2426C">
        <w:t xml:space="preserve"> </w:t>
      </w:r>
      <w:r w:rsidR="00003911">
        <w:t xml:space="preserve">Die </w:t>
      </w:r>
      <w:proofErr w:type="spellStart"/>
      <w:r w:rsidR="00003911">
        <w:t>step</w:t>
      </w:r>
      <w:proofErr w:type="spellEnd"/>
      <w:r w:rsidR="00003911">
        <w:t>-down Strategie wird verwendet, um das bestmögliche Modell zu erstellen</w:t>
      </w:r>
      <w:r w:rsidR="00541C3B">
        <w:t xml:space="preserve">, indem zuerst durch </w:t>
      </w:r>
      <w:proofErr w:type="spellStart"/>
      <w:r w:rsidR="00541C3B">
        <w:t>likelihood</w:t>
      </w:r>
      <w:proofErr w:type="spellEnd"/>
      <w:r w:rsidR="00541C3B">
        <w:t>-ratio-T</w:t>
      </w:r>
      <w:r w:rsidR="00003911">
        <w:t xml:space="preserve">ests </w:t>
      </w:r>
      <w:r w:rsidR="001C4B5E">
        <w:t xml:space="preserve">überprüft wird, mit welchen </w:t>
      </w:r>
      <w:proofErr w:type="spellStart"/>
      <w:r w:rsidR="001C4B5E">
        <w:t>random-effects</w:t>
      </w:r>
      <w:proofErr w:type="spellEnd"/>
      <w:r w:rsidR="001C4B5E">
        <w:t xml:space="preserve"> der niedrigste </w:t>
      </w:r>
      <w:r w:rsidR="001C4B5E" w:rsidRPr="001C4B5E">
        <w:rPr>
          <w:i/>
        </w:rPr>
        <w:t>p</w:t>
      </w:r>
      <w:r w:rsidR="00541C3B">
        <w:t>-W</w:t>
      </w:r>
      <w:r w:rsidR="001C4B5E">
        <w:t xml:space="preserve">ert erreicht wird, der sich innerhalb des 5% Signifikanzniveaus befindet, um mit diesem Modell in einem zweiten Schritt mit </w:t>
      </w:r>
      <w:r w:rsidR="001C4B5E" w:rsidRPr="001C4B5E">
        <w:rPr>
          <w:i/>
        </w:rPr>
        <w:t>F</w:t>
      </w:r>
      <w:r w:rsidR="00541C3B">
        <w:t>-T</w:t>
      </w:r>
      <w:r w:rsidR="001C4B5E">
        <w:t xml:space="preserve">ests dasselbe für die </w:t>
      </w:r>
      <w:proofErr w:type="spellStart"/>
      <w:r w:rsidR="001C4B5E">
        <w:t>fixed-effects</w:t>
      </w:r>
      <w:proofErr w:type="spellEnd"/>
      <w:r w:rsidR="001C4B5E">
        <w:t xml:space="preserve"> zu machen </w:t>
      </w:r>
      <w:r w:rsidR="001C4B5E">
        <w:fldChar w:fldCharType="begin"/>
      </w:r>
      <w:r w:rsidR="001C4B5E">
        <w:instrText xml:space="preserve"> ADDIN ZOTERO_ITEM CSL_CITATION {"citationID":"kzQiLfuI","properties":{"formattedCitation":"(Kuznetsova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1C4B5E">
        <w:fldChar w:fldCharType="separate"/>
      </w:r>
      <w:r w:rsidR="001C4B5E" w:rsidRPr="001C4B5E">
        <w:rPr>
          <w:rFonts w:ascii="Calibri" w:hAnsi="Calibri" w:cs="Calibri"/>
        </w:rPr>
        <w:t>(</w:t>
      </w:r>
      <w:proofErr w:type="spellStart"/>
      <w:r w:rsidR="001C4B5E" w:rsidRPr="001C4B5E">
        <w:rPr>
          <w:rFonts w:ascii="Calibri" w:hAnsi="Calibri" w:cs="Calibri"/>
        </w:rPr>
        <w:t>Kuznetsova</w:t>
      </w:r>
      <w:proofErr w:type="spellEnd"/>
      <w:r w:rsidR="001C4B5E" w:rsidRPr="001C4B5E">
        <w:rPr>
          <w:rFonts w:ascii="Calibri" w:hAnsi="Calibri" w:cs="Calibri"/>
        </w:rPr>
        <w:t xml:space="preserve"> et al., 2017)</w:t>
      </w:r>
      <w:r w:rsidR="001C4B5E">
        <w:fldChar w:fldCharType="end"/>
      </w:r>
      <w:r w:rsidR="001C4B5E">
        <w:t>.</w:t>
      </w:r>
    </w:p>
    <w:p w:rsidR="00E230CE" w:rsidRDefault="00E230CE" w:rsidP="000F0842">
      <w:r>
        <w:t xml:space="preserve">Um zu überprüfen, ob es auch für die Power von anderen Frequenzbändern Unterschiede zwischen der Bedingung „nah“ und der Bedingung „fern“ gibt, werden zwei weitere </w:t>
      </w:r>
      <w:r w:rsidRPr="00E230CE">
        <w:rPr>
          <w:i/>
        </w:rPr>
        <w:t>t</w:t>
      </w:r>
      <w:r w:rsidR="00541C3B">
        <w:t>-T</w:t>
      </w:r>
      <w:r>
        <w:t xml:space="preserve">ests für abhängige Stichproben </w:t>
      </w:r>
      <w:r w:rsidR="00171926">
        <w:t xml:space="preserve">auf 5% Signifikanzniveau </w:t>
      </w:r>
      <w:r>
        <w:t>gerechnet für die Theta- und Alphapower. Die Richtung des jeweiligen Tests wird abhängig von der Richtung des Effekts</w:t>
      </w:r>
      <w:r w:rsidR="00171926">
        <w:t xml:space="preserve"> entschieden</w:t>
      </w:r>
      <w:r>
        <w:t>, der für die jeweilige Variable im Regressionsmodell berechnet wurde.</w:t>
      </w:r>
    </w:p>
    <w:p w:rsidR="00633C0C" w:rsidRDefault="004F60B1" w:rsidP="000F0842">
      <w:r>
        <w:lastRenderedPageBreak/>
        <w:t xml:space="preserve">Da </w:t>
      </w:r>
      <w:r>
        <w:fldChar w:fldCharType="begin"/>
      </w:r>
      <w:r w:rsidR="001238AA">
        <w:instrText xml:space="preserve"> ADDIN ZOTERO_ITEM CSL_CITATION {"citationID":"8lHjCinZ","properties":{"formattedCitation":"(Telkes et al., 2020)","plainCitation":"(Telkes et al., 2020)","dontUpdate":true,"noteIndex":0},"citationItems":[{"id":75,"uris":["http://zotero.org/users/local/AhaM3qLx/items/D3JKTRMA"],"itemData":{"id":75,"type":"article-journal","abstract":"Background: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G."}],"issued":{"date-parts":[["2020",4,28]]}}}],"schema":"https://github.com/citation-style-language/schema/raw/master/csl-citation.json"} </w:instrText>
      </w:r>
      <w:r>
        <w:fldChar w:fldCharType="separate"/>
      </w:r>
      <w:r>
        <w:rPr>
          <w:rFonts w:ascii="Calibri" w:hAnsi="Calibri" w:cs="Calibri"/>
        </w:rPr>
        <w:t>Telkes et al.</w:t>
      </w:r>
      <w:r w:rsidRPr="004F60B1">
        <w:rPr>
          <w:rFonts w:ascii="Calibri" w:hAnsi="Calibri" w:cs="Calibri"/>
        </w:rPr>
        <w:t xml:space="preserve"> </w:t>
      </w:r>
      <w:r>
        <w:rPr>
          <w:rFonts w:ascii="Calibri" w:hAnsi="Calibri" w:cs="Calibri"/>
        </w:rPr>
        <w:t>(</w:t>
      </w:r>
      <w:r w:rsidRPr="004F60B1">
        <w:rPr>
          <w:rFonts w:ascii="Calibri" w:hAnsi="Calibri" w:cs="Calibri"/>
        </w:rPr>
        <w:t>2020)</w:t>
      </w:r>
      <w:r>
        <w:fldChar w:fldCharType="end"/>
      </w:r>
      <w:r w:rsidR="007943FC">
        <w:t xml:space="preserve"> Unterschiede zwischen der Power im </w:t>
      </w:r>
      <w:proofErr w:type="spellStart"/>
      <w:r w:rsidR="007943FC">
        <w:t>low-betaband</w:t>
      </w:r>
      <w:proofErr w:type="spellEnd"/>
      <w:r w:rsidR="007943FC">
        <w:t xml:space="preserve"> und im high-</w:t>
      </w:r>
      <w:proofErr w:type="spellStart"/>
      <w:r w:rsidR="007943FC">
        <w:t>betaband</w:t>
      </w:r>
      <w:proofErr w:type="spellEnd"/>
      <w:r w:rsidR="007943FC">
        <w:t xml:space="preserve"> gefunden haben, wurde das </w:t>
      </w:r>
      <w:proofErr w:type="spellStart"/>
      <w:r w:rsidR="007943FC">
        <w:t>Betaband</w:t>
      </w:r>
      <w:proofErr w:type="spellEnd"/>
      <w:r w:rsidR="007943FC">
        <w:t xml:space="preserve"> nachträglich in 13 – 20 Hz für </w:t>
      </w:r>
      <w:proofErr w:type="spellStart"/>
      <w:r w:rsidR="007943FC">
        <w:t>low</w:t>
      </w:r>
      <w:proofErr w:type="spellEnd"/>
      <w:r w:rsidR="007943FC">
        <w:t xml:space="preserve">-beta und 20 – 30 Hz für high-beta eingeteilt. </w:t>
      </w:r>
      <w:r w:rsidR="00171926">
        <w:t xml:space="preserve">Es </w:t>
      </w:r>
      <w:r w:rsidR="00FA7950">
        <w:t>soll</w:t>
      </w:r>
      <w:r w:rsidR="00171926">
        <w:t xml:space="preserve"> zusätzlich</w:t>
      </w:r>
      <w:r w:rsidR="00FA7950">
        <w:t xml:space="preserve"> überprüft werden</w:t>
      </w:r>
      <w:r w:rsidR="007943FC">
        <w:t xml:space="preserve">, </w:t>
      </w:r>
      <w:r>
        <w:t xml:space="preserve">ob die Power im </w:t>
      </w:r>
      <w:proofErr w:type="spellStart"/>
      <w:r>
        <w:t>low-betaband</w:t>
      </w:r>
      <w:proofErr w:type="spellEnd"/>
      <w:r>
        <w:t xml:space="preserve"> oder im high-</w:t>
      </w:r>
      <w:proofErr w:type="spellStart"/>
      <w:r>
        <w:t>betaband</w:t>
      </w:r>
      <w:proofErr w:type="spellEnd"/>
      <w:r>
        <w:t xml:space="preserve"> in der Bedingung „nah“ größer ist als in der Bedingung „fern“</w:t>
      </w:r>
      <w:r w:rsidR="00FA7950">
        <w:t>. Dafür</w:t>
      </w:r>
      <w:r>
        <w:t xml:space="preserve"> wurden</w:t>
      </w:r>
      <w:r w:rsidR="007943FC">
        <w:t xml:space="preserve"> mit den neuen Kategorien</w:t>
      </w:r>
      <w:r w:rsidR="00335719">
        <w:t xml:space="preserve"> weitere</w:t>
      </w:r>
      <w:r w:rsidR="007943FC">
        <w:t xml:space="preserve"> rechtsseitige </w:t>
      </w:r>
      <w:r w:rsidR="007943FC" w:rsidRPr="00C16DA5">
        <w:rPr>
          <w:i/>
        </w:rPr>
        <w:t>t</w:t>
      </w:r>
      <w:r w:rsidR="00541C3B">
        <w:t>-T</w:t>
      </w:r>
      <w:r w:rsidR="007943FC">
        <w:t>ests für abhängige Stichproben</w:t>
      </w:r>
      <w:r w:rsidR="00335719">
        <w:t xml:space="preserve"> auf 5% Signifikanzniveau</w:t>
      </w:r>
      <w:r>
        <w:t xml:space="preserve"> durchgeführt</w:t>
      </w:r>
      <w:r w:rsidR="00171926">
        <w:t>.</w:t>
      </w:r>
    </w:p>
    <w:p w:rsidR="007943FC" w:rsidRDefault="00633C0C" w:rsidP="000F0842">
      <w:r>
        <w:t xml:space="preserve">Nach Auswertung der vorherigen Ergebnisse wurde in einem weiteren selbsterstellten </w:t>
      </w:r>
      <w:proofErr w:type="spellStart"/>
      <w:r>
        <w:t>Matlab</w:t>
      </w:r>
      <w:proofErr w:type="spellEnd"/>
      <w:r>
        <w:t>-Skript ein neuer Datensatz erstellt, bei dem nicht vom originalen Powerspektrum die geschätzte aperiodische Komponente abgezogen wurde. Da die Anwendung des FOOOF-Algorithmus zur Trennung der aperiodischen und periodischen Komponenten eine Methode ist, die für diesen Forschungsbereic</w:t>
      </w:r>
      <w:r w:rsidR="00C773F4">
        <w:t>h noch nie verwendet wurde, soll</w:t>
      </w:r>
      <w:r>
        <w:t xml:space="preserve"> dadurch überprüft werden, welche Befunde in den vorliegenden Daten mit der herkömmlichen Methode vorliegen würden. Die Betapower wurde folglich mit dem originalen Powerspektrum nochmal berechnet, um damit die Hypothese 1.1 erneut zu testen. Da hierbei keine Daten verwendet werden, die der FOOOF-Algorithmus berechnet hat, mussten auch keine Daten aussortiert werden, die vom FOOOF-Algorithmus schlecht geschätzt waren. Die Kanäle, die eine Tiefe von größer gleich 10 oder kleiner -3 haben, wurden wieder entfernt. Dabei sind diesmal 466 Kanäle gelöscht worden, sodass noch 2575 Kanäle übrig geblieben sind. </w:t>
      </w:r>
    </w:p>
    <w:p w:rsidR="00193E65" w:rsidRDefault="00193E65" w:rsidP="000F0842">
      <w:r>
        <w:t>3. Ergebnisse</w:t>
      </w:r>
    </w:p>
    <w:p w:rsidR="00B20730" w:rsidRDefault="00B20730" w:rsidP="009F2646">
      <w:r>
        <w:t>3.1 Erste Hypothese</w:t>
      </w:r>
    </w:p>
    <w:p w:rsidR="009F2646" w:rsidRDefault="0064535B" w:rsidP="009F2646">
      <w:r>
        <w:t>In der Abbildung 4</w:t>
      </w:r>
      <w:r w:rsidR="009F2646">
        <w:t xml:space="preserve"> ist </w:t>
      </w:r>
      <w:r>
        <w:t xml:space="preserve">anhand der Dichtediagramme </w:t>
      </w:r>
      <w:r w:rsidR="009F2646">
        <w:t>zu erkennen, dass die z-Transformation innerhalb der Patient*innen eine sichtbare Annäherung an die Normalverteilung bewirkt hat</w:t>
      </w:r>
      <w:r>
        <w:t xml:space="preserve"> im Vergleich zu den Dichtediagrammen vor der z-Transformation in Abbildung 5</w:t>
      </w:r>
      <w:r w:rsidR="009F2646">
        <w:t>. Daher gehen wir lediglich bei dem</w:t>
      </w:r>
      <w:r w:rsidR="00F4057B">
        <w:t xml:space="preserve"> RMS</w:t>
      </w:r>
      <w:r w:rsidR="009F2646">
        <w:t xml:space="preserve"> von einer Verletzung der Normalverteilung aus, wo sich die Daten auch nach der z-Transformation noch deutlich von der Normalverteilung unterscheiden. Da bei neuronalen Oszillationen häufig l</w:t>
      </w:r>
      <w:r w:rsidR="006257D1">
        <w:t>og-Transformation</w:t>
      </w:r>
      <w:r w:rsidR="004D0B8A">
        <w:t>en</w:t>
      </w:r>
      <w:r w:rsidR="006257D1">
        <w:t xml:space="preserve"> verwendet werden</w:t>
      </w:r>
      <w:r w:rsidR="009F2646">
        <w:t>, um für die Verletzung der Normalverteilung zu korrigieren, wurde auch dieses Vorgehen an der Theta-, Alpha- und Betapower get</w:t>
      </w:r>
      <w:r w:rsidR="00607622">
        <w:t>estet. Wie jedoch in Abbildung 6</w:t>
      </w:r>
      <w:r w:rsidR="009F2646">
        <w:t xml:space="preserve"> zu sehen ist, stellt diese Transformation der Daten keine Annäherung an die Normalverteilung dar. </w:t>
      </w:r>
    </w:p>
    <w:p w:rsidR="00C81150" w:rsidRDefault="009F2646" w:rsidP="000F0842">
      <w:r>
        <w:t>Der Shapiro-Wilk-Test für die Differenzen zwischen der Betapower in der Bedingung „nah“ und der Betapower in der Bedingung „fern“ ist nicht signifikant auf 5% Signifikanzniveau (</w:t>
      </w:r>
      <w:r w:rsidRPr="009F2646">
        <w:rPr>
          <w:i/>
        </w:rPr>
        <w:t>W</w:t>
      </w:r>
      <w:r>
        <w:t xml:space="preserve"> = 0.98; </w:t>
      </w:r>
      <w:r w:rsidRPr="009F2646">
        <w:rPr>
          <w:i/>
        </w:rPr>
        <w:t>p</w:t>
      </w:r>
      <w:r>
        <w:t xml:space="preserve"> = 0.69).</w:t>
      </w:r>
      <w:r w:rsidR="00D4260A">
        <w:t xml:space="preserve"> In den </w:t>
      </w:r>
      <w:proofErr w:type="spellStart"/>
      <w:r w:rsidR="00D4260A">
        <w:t>Boxplots</w:t>
      </w:r>
      <w:proofErr w:type="spellEnd"/>
      <w:r w:rsidR="00D4260A">
        <w:t xml:space="preserve"> der Abbildung 7 ist zu sehen, dass die Mittelwerte der beiden Bedingungen nahezu gleich groß sind.</w:t>
      </w:r>
      <w:r w:rsidR="004550A5">
        <w:t xml:space="preserve"> </w:t>
      </w:r>
      <w:r w:rsidR="00B47553">
        <w:t>Um den ersten Teil der ersten Hypothese zu überprüfen, dass die P</w:t>
      </w:r>
      <w:r w:rsidR="006257D1">
        <w:t xml:space="preserve">ower im </w:t>
      </w:r>
      <w:proofErr w:type="spellStart"/>
      <w:r w:rsidR="006257D1">
        <w:t>Betaband</w:t>
      </w:r>
      <w:proofErr w:type="spellEnd"/>
      <w:r w:rsidR="006257D1">
        <w:t xml:space="preserve"> in der Nähe der Zielposition</w:t>
      </w:r>
      <w:r w:rsidR="00B47553">
        <w:t xml:space="preserve"> größer </w:t>
      </w:r>
      <w:r w:rsidR="006257D1">
        <w:t>ist als in weiter Entfernung von der Zielposition</w:t>
      </w:r>
      <w:r w:rsidR="00B47553">
        <w:t xml:space="preserve">, wurde daher ein rechtsseitiger </w:t>
      </w:r>
      <w:r w:rsidR="00D66911" w:rsidRPr="00D66911">
        <w:rPr>
          <w:i/>
        </w:rPr>
        <w:t>t</w:t>
      </w:r>
      <w:r w:rsidR="00D66911">
        <w:t xml:space="preserve">-Test für abhängige Stichproben auf 5% Signifikanzniveau gerechnet. Der Mittelwert der Differenzen beträgt -0.02. Der entsprechende </w:t>
      </w:r>
      <w:r w:rsidR="00D66911" w:rsidRPr="008D4B6A">
        <w:rPr>
          <w:i/>
        </w:rPr>
        <w:t>t</w:t>
      </w:r>
      <w:r w:rsidR="00D66911">
        <w:t>-Test ergab, dass der Mittelwert der</w:t>
      </w:r>
      <w:r w:rsidR="00912E0E">
        <w:t xml:space="preserve"> Betapower in der Bedingung „nah“</w:t>
      </w:r>
      <w:r w:rsidR="00823ED0">
        <w:t xml:space="preserve"> auf 5% Signifikanzniveau</w:t>
      </w:r>
      <w:r w:rsidR="00912E0E">
        <w:t xml:space="preserve"> nicht signifikant größer ist als der Mittelwert der Betapower in der Bedingung „fern“ (</w:t>
      </w:r>
      <w:r w:rsidR="00912E0E" w:rsidRPr="00912E0E">
        <w:rPr>
          <w:i/>
        </w:rPr>
        <w:t>t</w:t>
      </w:r>
      <w:r w:rsidR="00912E0E">
        <w:t xml:space="preserve">(29) = -0.13; </w:t>
      </w:r>
      <w:r w:rsidR="00912E0E" w:rsidRPr="00912E0E">
        <w:rPr>
          <w:i/>
        </w:rPr>
        <w:t>p</w:t>
      </w:r>
      <w:r w:rsidR="00912E0E">
        <w:t xml:space="preserve"> = 0.55). </w:t>
      </w:r>
    </w:p>
    <w:p w:rsidR="00B20730" w:rsidRDefault="00912E0E" w:rsidP="000D188D">
      <w:r>
        <w:t>Der Shapiro-Wilk-Test für die Differenzen zwischen dem</w:t>
      </w:r>
      <w:r w:rsidR="00F4057B">
        <w:t xml:space="preserve"> RMS</w:t>
      </w:r>
      <w:r>
        <w:t xml:space="preserve"> </w:t>
      </w:r>
      <w:r w:rsidR="009A227E">
        <w:t xml:space="preserve">des Signals aus der Mikroelektroden-Aufzeichnung </w:t>
      </w:r>
      <w:r>
        <w:t>in der Bedingung „nah“ und dem</w:t>
      </w:r>
      <w:r w:rsidR="00F4057B">
        <w:t xml:space="preserve"> RMS</w:t>
      </w:r>
      <w:r>
        <w:t xml:space="preserve"> in der Bedingung „fern“ ist ebenfalls nicht signifikant auf 5% Signifikanzniveau (</w:t>
      </w:r>
      <w:r w:rsidRPr="009F2646">
        <w:rPr>
          <w:i/>
        </w:rPr>
        <w:t>W</w:t>
      </w:r>
      <w:r>
        <w:t xml:space="preserve"> = 0.98; </w:t>
      </w:r>
      <w:r w:rsidRPr="009F2646">
        <w:rPr>
          <w:i/>
        </w:rPr>
        <w:t>p</w:t>
      </w:r>
      <w:r>
        <w:t xml:space="preserve"> = 0.91).</w:t>
      </w:r>
      <w:r w:rsidR="00D4260A">
        <w:t xml:space="preserve"> In den </w:t>
      </w:r>
      <w:proofErr w:type="spellStart"/>
      <w:r w:rsidR="00D4260A">
        <w:t>Boxplots</w:t>
      </w:r>
      <w:proofErr w:type="spellEnd"/>
      <w:r w:rsidR="00D4260A">
        <w:t xml:space="preserve"> von der Abbildung 8 ist zu erkennen, dass der Mittelwert der Bedingung „nah“ sichtlich größer ist als der Mittelwert der Bedingung „fern“.</w:t>
      </w:r>
      <w:r>
        <w:t xml:space="preserve"> Um den zweiten Teil der ersten H</w:t>
      </w:r>
      <w:r w:rsidR="0066637E">
        <w:t>ypothese zu überprüfen, dass die Spike-Aktivität</w:t>
      </w:r>
      <w:r>
        <w:t xml:space="preserve"> </w:t>
      </w:r>
      <w:r w:rsidR="00105260">
        <w:t>des</w:t>
      </w:r>
      <w:r w:rsidR="0066637E">
        <w:t xml:space="preserve"> elektrischen</w:t>
      </w:r>
      <w:r w:rsidR="005F79CC">
        <w:t xml:space="preserve"> Signals</w:t>
      </w:r>
      <w:r w:rsidR="00105260">
        <w:t xml:space="preserve"> in der Nähe der Zielposition</w:t>
      </w:r>
      <w:r>
        <w:t xml:space="preserve"> größer </w:t>
      </w:r>
      <w:r w:rsidR="00105260">
        <w:t>ist als in weiter Entfernung von der Zielposition</w:t>
      </w:r>
      <w:r>
        <w:t xml:space="preserve">, wurde also auch ein rechtsseitiger </w:t>
      </w:r>
      <w:r w:rsidRPr="00D66911">
        <w:rPr>
          <w:i/>
        </w:rPr>
        <w:t>t</w:t>
      </w:r>
      <w:r>
        <w:t xml:space="preserve">-Test für abhängige Stichproben auf 5% Signifikanzniveau gerechnet. Der Mittelwert der Differenzen beträgt 1.21. Der entsprechende </w:t>
      </w:r>
      <w:r w:rsidRPr="008D4B6A">
        <w:rPr>
          <w:i/>
        </w:rPr>
        <w:t>t</w:t>
      </w:r>
      <w:r>
        <w:t xml:space="preserve">-Test </w:t>
      </w:r>
      <w:r>
        <w:lastRenderedPageBreak/>
        <w:t>ergab, dass der Mittelwert des</w:t>
      </w:r>
      <w:r w:rsidR="00F4057B">
        <w:t xml:space="preserve"> RMS</w:t>
      </w:r>
      <w:r>
        <w:t xml:space="preserve"> in der Bedingung „nah“</w:t>
      </w:r>
      <w:r w:rsidR="00823ED0">
        <w:t xml:space="preserve"> auf dem Signifikanzniveau von 5%  signifikant größer ist als der Mit</w:t>
      </w:r>
      <w:r w:rsidR="00F4057B">
        <w:t>telwert des RMS</w:t>
      </w:r>
      <w:r w:rsidR="00823ED0">
        <w:t xml:space="preserve"> </w:t>
      </w:r>
      <w:r>
        <w:t>in der Bedingung „fern“ (</w:t>
      </w:r>
      <w:r w:rsidRPr="00912E0E">
        <w:rPr>
          <w:i/>
        </w:rPr>
        <w:t>t</w:t>
      </w:r>
      <w:r>
        <w:t>(29) =</w:t>
      </w:r>
      <w:r w:rsidR="00823ED0">
        <w:t xml:space="preserve"> 6.48</w:t>
      </w:r>
      <w:r>
        <w:t xml:space="preserve">; </w:t>
      </w:r>
      <w:r w:rsidRPr="00912E0E">
        <w:rPr>
          <w:i/>
        </w:rPr>
        <w:t>p</w:t>
      </w:r>
      <w:r w:rsidR="00823ED0">
        <w:t xml:space="preserve"> &lt; 0.01</w:t>
      </w:r>
      <w:r>
        <w:t>).</w:t>
      </w:r>
      <w:r w:rsidR="00B20730">
        <w:t xml:space="preserve"> </w:t>
      </w:r>
    </w:p>
    <w:p w:rsidR="00B20730" w:rsidRDefault="00B20730" w:rsidP="000D188D">
      <w:r>
        <w:t>3.2 Zweite Hypothese</w:t>
      </w:r>
    </w:p>
    <w:p w:rsidR="00BE20E5" w:rsidRPr="00BE20E5" w:rsidRDefault="000A7E18" w:rsidP="000D188D">
      <w:r>
        <w:t>Der Shapiro-Wilk-Test für die Differenzen zwischen dem aperiodischen Exponenten in der Bedingung „nah“ und dem aperiodischen Exponenten in der Bedingung „fern“ ist nicht signifikant auf 5% Signifikanzniveau (</w:t>
      </w:r>
      <w:r w:rsidRPr="009F2646">
        <w:rPr>
          <w:i/>
        </w:rPr>
        <w:t>W</w:t>
      </w:r>
      <w:r>
        <w:t xml:space="preserve"> = 0.98; </w:t>
      </w:r>
      <w:r w:rsidRPr="009F2646">
        <w:rPr>
          <w:i/>
        </w:rPr>
        <w:t>p</w:t>
      </w:r>
      <w:r>
        <w:t xml:space="preserve"> = 0.75). </w:t>
      </w:r>
      <w:r w:rsidR="00D4260A">
        <w:t xml:space="preserve">Mit Hilfe der </w:t>
      </w:r>
      <w:proofErr w:type="spellStart"/>
      <w:r w:rsidR="00D4260A">
        <w:t>Boxplots</w:t>
      </w:r>
      <w:proofErr w:type="spellEnd"/>
      <w:r w:rsidR="00D4260A">
        <w:t xml:space="preserve"> in Abbildung 9 wird dargestellt, dass zwischen den Mittelwerten beider Bedingungen wenig Unterschied zu erkennen ist. </w:t>
      </w:r>
      <w:r>
        <w:t>Um den ersten Teil der zweiten Hypothese zu überprüfen,</w:t>
      </w:r>
      <w:r w:rsidR="004B5E2E">
        <w:t xml:space="preserve"> dass</w:t>
      </w:r>
      <w:r>
        <w:t xml:space="preserve"> </w:t>
      </w:r>
      <w:r w:rsidR="004B5E2E">
        <w:t>die aperiodische Komponente des LFP in der Nähe der Zielposition sich von der aperiodischen Komponente des LFP in weiter Entfernung von der Zielposition unterscheidet</w:t>
      </w:r>
      <w:r>
        <w:t xml:space="preserve">, wurde ein zweiseitiger </w:t>
      </w:r>
      <w:r w:rsidRPr="00D66911">
        <w:rPr>
          <w:i/>
        </w:rPr>
        <w:t>t</w:t>
      </w:r>
      <w:r>
        <w:t xml:space="preserve">-Test für abhängige Stichproben auf 5% Signifikanzniveau gerechnet. Der Mittelwert der Differenzen beträgt 0.12. Der entsprechende </w:t>
      </w:r>
      <w:r w:rsidRPr="008D4B6A">
        <w:rPr>
          <w:i/>
        </w:rPr>
        <w:t>t</w:t>
      </w:r>
      <w:r>
        <w:t xml:space="preserve">-Test ergab, dass der Mittelwert des aperiodischen Exponenten in der Bedingung „nah“ </w:t>
      </w:r>
      <w:r w:rsidR="00A6045F">
        <w:t xml:space="preserve">sich </w:t>
      </w:r>
      <w:r>
        <w:t xml:space="preserve">auf 5% Signifikanzniveau nicht signifikant </w:t>
      </w:r>
      <w:r w:rsidR="00A6045F">
        <w:t xml:space="preserve">von dem Mittelwert des aperiodischen Exponenten </w:t>
      </w:r>
      <w:r>
        <w:t>in der Bedingung „fern“</w:t>
      </w:r>
      <w:r w:rsidR="00A6045F">
        <w:t xml:space="preserve"> unterscheidet</w:t>
      </w:r>
      <w:r>
        <w:t xml:space="preserve"> (</w:t>
      </w:r>
      <w:r w:rsidRPr="00912E0E">
        <w:rPr>
          <w:i/>
        </w:rPr>
        <w:t>t</w:t>
      </w:r>
      <w:r>
        <w:t>(29) =</w:t>
      </w:r>
      <w:r w:rsidR="00A6045F">
        <w:t xml:space="preserve"> 0.56</w:t>
      </w:r>
      <w:r>
        <w:t xml:space="preserve">; </w:t>
      </w:r>
      <w:r w:rsidRPr="00912E0E">
        <w:rPr>
          <w:i/>
        </w:rPr>
        <w:t>p</w:t>
      </w:r>
      <w:r w:rsidR="00A6045F">
        <w:t xml:space="preserve"> = 0.56</w:t>
      </w:r>
      <w:r>
        <w:t>).</w:t>
      </w:r>
    </w:p>
    <w:p w:rsidR="006045B8" w:rsidRDefault="008D4B6A" w:rsidP="000D188D">
      <w:r>
        <w:t>Anhand des Dichtediagramms</w:t>
      </w:r>
      <w:r w:rsidR="00D4260A">
        <w:t xml:space="preserve"> (Abbildung 10</w:t>
      </w:r>
      <w:r w:rsidR="003D06CC">
        <w:t>)</w:t>
      </w:r>
      <w:r>
        <w:t xml:space="preserve"> ist zu erkennen, dass die Tiefe der Elek</w:t>
      </w:r>
      <w:r w:rsidR="00B35EA1">
        <w:t xml:space="preserve">trode nicht normalverteilt ist. Das liegt daran, dass in der Nähe der Tiefe 10 besonders viele Daten vorliegen. Dass für den aperiodischen Exponent eine Normalverteilung angenommen werden kann, konnte bereits gezeigt werden (Abbildung 4). </w:t>
      </w:r>
      <w:r w:rsidR="000B6912">
        <w:t xml:space="preserve">Es </w:t>
      </w:r>
      <w:r w:rsidR="0034643F">
        <w:t>wurde trotzdem</w:t>
      </w:r>
      <w:r>
        <w:t xml:space="preserve"> ein</w:t>
      </w:r>
      <w:r w:rsidR="008D1C0B">
        <w:t>e Regression mitt</w:t>
      </w:r>
      <w:r w:rsidR="000B6912">
        <w:t xml:space="preserve">els Linear Mixed Model erstellt, da gezeigt werden konnte, dass Linear Mixed Models gegenüber Verletzungen der Normalverteilung robust sind </w:t>
      </w:r>
      <w:r w:rsidR="000B6912">
        <w:fldChar w:fldCharType="begin"/>
      </w:r>
      <w:r w:rsidR="000B6912">
        <w:instrText xml:space="preserve"> ADDIN ZOTERO_ITEM CSL_CITATION {"citationID":"xtTV5Mbr","properties":{"formattedCitation":"(Schielzeth et al., 2020)","plainCitation":"(Schielzeth et al., 2020)","noteIndex":0},"citationItems":[{"id":135,"uris":["http://zotero.org/users/local/AhaM3qLx/items/D89FYEFN"],"itemData":{"id":135,"type":"article-journal","container-title":"Methods in Ecology and Evolution","DOI":"10.1111/2041-210X.13434","ISSN":"2041-210X, 2041-210X","issue":"9","journalAbbreviation":"Methods Ecol Evol","language":"en","page":"1141-1152","source":"DOI.org (Crossref)","title":"Robustness of linear mixed‐effects models to violations of distributional assumptions","volume":"11","author":[{"family":"Schielzeth","given":"Holger"},{"family":"Dingemanse","given":"Niels J."},{"family":"Nakagawa","given":"Shinichi"},{"family":"Westneat","given":"David F."},{"family":"Allegue","given":"Hassen"},{"family":"Teplitsky","given":"Céline"},{"family":"Réale","given":"Denis"},{"family":"Dochtermann","given":"Ned A."},{"family":"Garamszegi","given":"László Zsolt"},{"family":"Araya‐Ajoy","given":"Yimen G."}],"editor":[{"family":"Sutherland","given":"Chris"}],"issued":{"date-parts":[["2020",9]]}}}],"schema":"https://github.com/citation-style-language/schema/raw/master/csl-citation.json"} </w:instrText>
      </w:r>
      <w:r w:rsidR="000B6912">
        <w:fldChar w:fldCharType="separate"/>
      </w:r>
      <w:r w:rsidR="000B6912" w:rsidRPr="000B6912">
        <w:rPr>
          <w:rFonts w:ascii="Calibri" w:hAnsi="Calibri" w:cs="Calibri"/>
        </w:rPr>
        <w:t>(Schielzeth et al., 2020)</w:t>
      </w:r>
      <w:r w:rsidR="000B6912">
        <w:fldChar w:fldCharType="end"/>
      </w:r>
      <w:r w:rsidR="000B6912">
        <w:t>.</w:t>
      </w:r>
      <w:r>
        <w:t xml:space="preserve"> </w:t>
      </w:r>
      <w:r w:rsidR="00342718">
        <w:t xml:space="preserve">In Abbildung 11 ist zu sehen, dass die Residuen auf ausreichende Weise zufällig um 0 herum streuen. </w:t>
      </w:r>
      <w:r w:rsidR="00450CBA">
        <w:t xml:space="preserve">Anhand der Regressionslinie ist ein kleiner positiver Zusammenhang zwischen dem aperiodischen Exponenten und der Tiefe erkennbar (Abbildung 12). </w:t>
      </w:r>
      <w:r w:rsidR="000B6912">
        <w:t>Für den zweiten Teil der zweiten Hypothese, dass die aperiodische Komponente des LFP mit der Entfernung der Elektrode zu der Zielposit</w:t>
      </w:r>
      <w:r w:rsidR="00596F24">
        <w:t xml:space="preserve">ion korreliert, wurde ein </w:t>
      </w:r>
      <w:r w:rsidR="00596F24" w:rsidRPr="00596F24">
        <w:rPr>
          <w:i/>
        </w:rPr>
        <w:t>t</w:t>
      </w:r>
      <w:r w:rsidR="000B6912">
        <w:t xml:space="preserve">-Test </w:t>
      </w:r>
      <w:r>
        <w:t>auf 5% Signifikanzniveau gerechnet</w:t>
      </w:r>
      <w:r w:rsidR="00596F24">
        <w:t>. Dadurch wurde</w:t>
      </w:r>
      <w:r w:rsidR="000B6912">
        <w:t xml:space="preserve"> getestet, ob der geschätzte Effekt sich signifikant von 0 unterscheidet. </w:t>
      </w:r>
      <w:r w:rsidR="00B33C26">
        <w:t xml:space="preserve">Der Effekt, der in der Regression geschätzt wurde, beträgt 0.15. </w:t>
      </w:r>
      <w:r w:rsidR="000B6912">
        <w:t xml:space="preserve">Der </w:t>
      </w:r>
      <w:r w:rsidR="00596F24" w:rsidRPr="00596F24">
        <w:rPr>
          <w:i/>
        </w:rPr>
        <w:t>t</w:t>
      </w:r>
      <w:r w:rsidR="000B6912">
        <w:t>-T</w:t>
      </w:r>
      <w:r w:rsidR="0033728A">
        <w:t xml:space="preserve">est hat ergeben, dass </w:t>
      </w:r>
      <w:r w:rsidR="00B33C26">
        <w:t>dieser Effekt, der den Zusammenhang</w:t>
      </w:r>
      <w:r w:rsidR="0033728A">
        <w:t xml:space="preserve"> zwischen der Tiefe und dem aperiodischen Exponenten</w:t>
      </w:r>
      <w:r w:rsidR="00B33C26">
        <w:t xml:space="preserve"> beschreibt, sich nicht</w:t>
      </w:r>
      <w:r w:rsidR="0033728A">
        <w:t xml:space="preserve"> signifikant von 0 unterscheidet (</w:t>
      </w:r>
      <w:r w:rsidR="00B33C26">
        <w:rPr>
          <w:i/>
        </w:rPr>
        <w:t>t</w:t>
      </w:r>
      <w:r w:rsidR="00B33C26">
        <w:t>(2137) = 1.76</w:t>
      </w:r>
      <w:r w:rsidR="0033728A">
        <w:t xml:space="preserve">; </w:t>
      </w:r>
      <w:r w:rsidR="0033728A" w:rsidRPr="0033728A">
        <w:rPr>
          <w:i/>
        </w:rPr>
        <w:t>p</w:t>
      </w:r>
      <w:r w:rsidR="00B33C26">
        <w:t xml:space="preserve"> = 0.079). </w:t>
      </w:r>
      <w:r w:rsidR="00770A1C">
        <w:t xml:space="preserve">In dem 95% </w:t>
      </w:r>
      <w:proofErr w:type="spellStart"/>
      <w:r w:rsidR="00770A1C">
        <w:t>profiled</w:t>
      </w:r>
      <w:proofErr w:type="spellEnd"/>
      <w:r w:rsidR="00770A1C">
        <w:t xml:space="preserve"> </w:t>
      </w:r>
      <w:proofErr w:type="spellStart"/>
      <w:r w:rsidR="00770A1C">
        <w:t>confidence</w:t>
      </w:r>
      <w:proofErr w:type="spellEnd"/>
      <w:r w:rsidR="00770A1C">
        <w:t xml:space="preserve"> </w:t>
      </w:r>
      <w:proofErr w:type="spellStart"/>
      <w:r w:rsidR="00770A1C">
        <w:t>interval</w:t>
      </w:r>
      <w:proofErr w:type="spellEnd"/>
      <w:r w:rsidR="00770A1C">
        <w:t xml:space="preserve"> [-0.02, 0.32], ist die Zahl 0 enthalten</w:t>
      </w:r>
      <w:r w:rsidR="00403A86">
        <w:t xml:space="preserve">. </w:t>
      </w:r>
    </w:p>
    <w:p w:rsidR="00B20730" w:rsidRDefault="00B20730" w:rsidP="000D188D">
      <w:r>
        <w:t xml:space="preserve">3.3 Explorative Analysen </w:t>
      </w:r>
    </w:p>
    <w:p w:rsidR="002F21E3" w:rsidRDefault="001C4B5E" w:rsidP="000D188D">
      <w:r>
        <w:t xml:space="preserve">Für explorative Analysen wurde ein Regressionsmodell </w:t>
      </w:r>
      <w:r w:rsidR="00B77089">
        <w:t xml:space="preserve">mittels Linear Mixed Model berechnet, bei dem die Power im Theta-, Alpha- und </w:t>
      </w:r>
      <w:proofErr w:type="spellStart"/>
      <w:r w:rsidR="00B77089">
        <w:t>Betaband</w:t>
      </w:r>
      <w:proofErr w:type="spellEnd"/>
      <w:r w:rsidR="00B77089">
        <w:t>, der RMS und die aperiodische Komponente als unabhängige Variable verwendet werden, um herauszufinden mit welchen Variablen aus den vorliegenden Daten das beste Modell für die Vorhersage der Tiefe erstellt werden kann</w:t>
      </w:r>
      <w:r w:rsidR="00785F35">
        <w:t xml:space="preserve"> (Tabelle 1)</w:t>
      </w:r>
      <w:r w:rsidR="00342718">
        <w:t xml:space="preserve">. Die grafische Darstellung der Residuen zeigt, dass die Residuen offensichtlich nicht zufällig </w:t>
      </w:r>
      <w:r w:rsidR="00450CBA">
        <w:t>um 0 herum streuen (Abbildung 13</w:t>
      </w:r>
      <w:r w:rsidR="00342718">
        <w:t xml:space="preserve">). </w:t>
      </w:r>
      <w:r w:rsidR="00B77089">
        <w:t xml:space="preserve">Der </w:t>
      </w:r>
      <w:proofErr w:type="spellStart"/>
      <w:r w:rsidR="00541C3B">
        <w:t>likelihood</w:t>
      </w:r>
      <w:proofErr w:type="spellEnd"/>
      <w:r w:rsidR="00541C3B">
        <w:t>-ratio-Test</w:t>
      </w:r>
      <w:r w:rsidR="00B77089">
        <w:t xml:space="preserve"> aus der </w:t>
      </w:r>
      <w:proofErr w:type="spellStart"/>
      <w:r w:rsidR="00B77089">
        <w:t>step</w:t>
      </w:r>
      <w:proofErr w:type="spellEnd"/>
      <w:r w:rsidR="00B77089">
        <w:t xml:space="preserve">-down Strategie hat ergeben, dass die ID der Versuchspersonen ein signifikanter </w:t>
      </w:r>
      <w:proofErr w:type="spellStart"/>
      <w:r w:rsidR="00B77089">
        <w:t>random-effect</w:t>
      </w:r>
      <w:proofErr w:type="spellEnd"/>
      <w:r w:rsidR="00B77089">
        <w:t xml:space="preserve"> für die Bestimmung der Tiefe ist auf 5% Signifikanzniveau</w:t>
      </w:r>
      <w:r w:rsidR="00E8660E">
        <w:t xml:space="preserve"> (</w:t>
      </w:r>
      <w:r w:rsidR="00E8660E">
        <w:rPr>
          <w:rFonts w:ascii="Arial" w:hAnsi="Arial" w:cs="Arial"/>
          <w:color w:val="202122"/>
          <w:sz w:val="21"/>
          <w:szCs w:val="21"/>
          <w:shd w:val="clear" w:color="auto" w:fill="FFFFFF"/>
        </w:rPr>
        <w:t>χ</w:t>
      </w:r>
      <w:r w:rsidR="00E8660E">
        <w:rPr>
          <w:rFonts w:ascii="Arial" w:hAnsi="Arial" w:cs="Arial"/>
          <w:color w:val="202122"/>
          <w:sz w:val="21"/>
          <w:szCs w:val="21"/>
          <w:shd w:val="clear" w:color="auto" w:fill="FFFFFF"/>
          <w:vertAlign w:val="superscript"/>
        </w:rPr>
        <w:t>2</w:t>
      </w:r>
      <w:r w:rsidR="00E8660E">
        <w:t xml:space="preserve">(1) = 6.17; </w:t>
      </w:r>
      <w:r w:rsidR="00E8660E" w:rsidRPr="0033728A">
        <w:rPr>
          <w:i/>
        </w:rPr>
        <w:t>p</w:t>
      </w:r>
      <w:r w:rsidR="00E8660E">
        <w:t xml:space="preserve"> = 0.013)</w:t>
      </w:r>
      <w:r w:rsidR="00541C3B">
        <w:t>. In den F-T</w:t>
      </w:r>
      <w:r w:rsidR="00B77089">
        <w:t xml:space="preserve">ests zeigte sich, dass ausschließlich der RMS ein signifikanter </w:t>
      </w:r>
      <w:proofErr w:type="spellStart"/>
      <w:r w:rsidR="00B77089">
        <w:t>fixed-effect</w:t>
      </w:r>
      <w:proofErr w:type="spellEnd"/>
      <w:r w:rsidR="00B77089">
        <w:t xml:space="preserve"> für die Bestimmung der Tiefe ist auf 5% Signifikanzniveau</w:t>
      </w:r>
      <w:r w:rsidR="00785F35">
        <w:t xml:space="preserve"> (Tabelle 2</w:t>
      </w:r>
      <w:r w:rsidR="00CA4299">
        <w:t>)</w:t>
      </w:r>
      <w:r w:rsidR="00B77089">
        <w:t xml:space="preserve">. Ein Regressionsmodell in dem lediglich der RMS als </w:t>
      </w:r>
      <w:proofErr w:type="spellStart"/>
      <w:r w:rsidR="00B77089">
        <w:t>fixed-effect</w:t>
      </w:r>
      <w:proofErr w:type="spellEnd"/>
      <w:r w:rsidR="00B77089">
        <w:t xml:space="preserve"> und die ID der Versuchspersonen als </w:t>
      </w:r>
      <w:proofErr w:type="spellStart"/>
      <w:r w:rsidR="00B77089">
        <w:t>random-effect</w:t>
      </w:r>
      <w:proofErr w:type="spellEnd"/>
      <w:r w:rsidR="00B77089">
        <w:t xml:space="preserve"> angegeben </w:t>
      </w:r>
      <w:r w:rsidR="006A007A">
        <w:t>werden</w:t>
      </w:r>
      <w:r w:rsidR="00B77089">
        <w:t>, wurde daher als bestes Modell ermittelt, um die Tiefe der Elektrode vorherzusagen.</w:t>
      </w:r>
      <w:r w:rsidR="00450CBA">
        <w:t xml:space="preserve"> Die Regressionslinie in Abbildung 14 zeigt für dieses ermittelte Modell einen starken Zusammenhang zwischen dem RMS und der Tiefe. </w:t>
      </w:r>
    </w:p>
    <w:p w:rsidR="00825F2E" w:rsidRDefault="002F21E3" w:rsidP="000D188D">
      <w:r>
        <w:t xml:space="preserve">Es </w:t>
      </w:r>
      <w:r w:rsidR="007973F5">
        <w:t>wurden zwei weitere</w:t>
      </w:r>
      <w:r w:rsidR="00825F2E">
        <w:t xml:space="preserve"> </w:t>
      </w:r>
      <w:r w:rsidR="00825F2E" w:rsidRPr="00825F2E">
        <w:rPr>
          <w:i/>
        </w:rPr>
        <w:t>t</w:t>
      </w:r>
      <w:r w:rsidR="00541C3B">
        <w:t>-T</w:t>
      </w:r>
      <w:r w:rsidR="00825F2E">
        <w:t>ests für abhängige Stichproben durchgeführt, um zu überprüfen, ob die Thetapower un</w:t>
      </w:r>
      <w:r w:rsidR="00867786">
        <w:t>d die Alphapower in der Nähe der Zielposition</w:t>
      </w:r>
      <w:r w:rsidR="00825F2E">
        <w:t xml:space="preserve"> größer </w:t>
      </w:r>
      <w:r w:rsidR="00C073B8">
        <w:t xml:space="preserve">oder kleiner </w:t>
      </w:r>
      <w:r w:rsidR="00825F2E">
        <w:t>s</w:t>
      </w:r>
      <w:r w:rsidR="00867786">
        <w:t>ind als in weiter Entfernung von der Zielposition</w:t>
      </w:r>
      <w:r w:rsidR="00825F2E">
        <w:t xml:space="preserve">. </w:t>
      </w:r>
      <w:r w:rsidR="00A87B9E">
        <w:t xml:space="preserve">Die Shapiro-Wilk-Tests waren für die Differenzen zwischen der </w:t>
      </w:r>
      <w:r w:rsidR="00A87B9E">
        <w:lastRenderedPageBreak/>
        <w:t xml:space="preserve">Bedingung „nah“ und der Bedingung „fern“ </w:t>
      </w:r>
      <w:r w:rsidR="00AF6079">
        <w:t xml:space="preserve">sowohl bei </w:t>
      </w:r>
      <w:r w:rsidR="00A87B9E">
        <w:t>der Thetapower (</w:t>
      </w:r>
      <w:r w:rsidR="00A87B9E" w:rsidRPr="009F2646">
        <w:rPr>
          <w:i/>
        </w:rPr>
        <w:t>W</w:t>
      </w:r>
      <w:r w:rsidR="00A87B9E">
        <w:t xml:space="preserve"> = 0.97; </w:t>
      </w:r>
      <w:r w:rsidR="00A87B9E" w:rsidRPr="009F2646">
        <w:rPr>
          <w:i/>
        </w:rPr>
        <w:t>p</w:t>
      </w:r>
      <w:r w:rsidR="00A87B9E">
        <w:t xml:space="preserve"> = 0.45) als auch der Alphapower (</w:t>
      </w:r>
      <w:r w:rsidR="00A87B9E" w:rsidRPr="009F2646">
        <w:rPr>
          <w:i/>
        </w:rPr>
        <w:t>W</w:t>
      </w:r>
      <w:r w:rsidR="00A87B9E">
        <w:t xml:space="preserve"> = 0.98; </w:t>
      </w:r>
      <w:r w:rsidR="00A87B9E" w:rsidRPr="009F2646">
        <w:rPr>
          <w:i/>
        </w:rPr>
        <w:t>p</w:t>
      </w:r>
      <w:r w:rsidR="00A87B9E">
        <w:t xml:space="preserve"> = 0.90) nicht signifikant. Daher konnte die Normalverteilung</w:t>
      </w:r>
      <w:r w:rsidR="00745B25">
        <w:t xml:space="preserve"> angenommen werden. Aufgrund des</w:t>
      </w:r>
      <w:r w:rsidR="00A87B9E">
        <w:t xml:space="preserve"> negativen </w:t>
      </w:r>
      <w:r w:rsidR="00745B25">
        <w:t xml:space="preserve">Zusammenhangs </w:t>
      </w:r>
      <w:r w:rsidR="00A87B9E">
        <w:t xml:space="preserve">zwischen Thetapower und Tiefe, wurde für die Thetapower ein rechtsseitiger </w:t>
      </w:r>
      <w:r w:rsidR="00A87B9E" w:rsidRPr="00E17474">
        <w:rPr>
          <w:i/>
        </w:rPr>
        <w:t>t</w:t>
      </w:r>
      <w:r w:rsidR="00541C3B">
        <w:t>-T</w:t>
      </w:r>
      <w:r w:rsidR="00A87B9E">
        <w:t>est für abhängigen Stichproben auf 5% Signifikanzniveau gerechnet</w:t>
      </w:r>
      <w:r w:rsidR="00E17474">
        <w:t xml:space="preserve">. </w:t>
      </w:r>
      <w:r w:rsidR="00C56B62">
        <w:t xml:space="preserve">Der Mittelwert der Differenzen beträgt -0.04. Der entsprechende </w:t>
      </w:r>
      <w:r w:rsidR="00C56B62" w:rsidRPr="008D4B6A">
        <w:rPr>
          <w:i/>
        </w:rPr>
        <w:t>t</w:t>
      </w:r>
      <w:r w:rsidR="00C56B62">
        <w:t>-Test ergab, dass der Mittelwert der Thetapower in der Bedingung „nah“ auf 5% Signifikanzniveau nicht signifikant größer ist als der Mittelwert der Thetapower in der Bedingung „fern“ (</w:t>
      </w:r>
      <w:r w:rsidR="00C56B62" w:rsidRPr="00912E0E">
        <w:rPr>
          <w:i/>
        </w:rPr>
        <w:t>t</w:t>
      </w:r>
      <w:r w:rsidR="00C56B62">
        <w:t xml:space="preserve">(29) = -0.22; </w:t>
      </w:r>
      <w:r w:rsidR="00C56B62" w:rsidRPr="00912E0E">
        <w:rPr>
          <w:i/>
        </w:rPr>
        <w:t>p</w:t>
      </w:r>
      <w:r w:rsidR="00745B25">
        <w:t xml:space="preserve"> = 0.59). Aufgrund des</w:t>
      </w:r>
      <w:r w:rsidR="00C56B62">
        <w:t xml:space="preserve"> positiven </w:t>
      </w:r>
      <w:r w:rsidR="00745B25">
        <w:t xml:space="preserve">Zusammenhangs </w:t>
      </w:r>
      <w:r w:rsidR="00C56B62">
        <w:t xml:space="preserve">zwischen Alphapower und Tiefe, wurde für die Alphapower ein linksseitiger </w:t>
      </w:r>
      <w:r w:rsidR="00C56B62" w:rsidRPr="00E17474">
        <w:rPr>
          <w:i/>
        </w:rPr>
        <w:t>t</w:t>
      </w:r>
      <w:r w:rsidR="00541C3B">
        <w:t>-T</w:t>
      </w:r>
      <w:r w:rsidR="00C56B62">
        <w:t xml:space="preserve">est für abhängigen Stichproben auf 5% Signifikanzniveau gerechnet. Der Mittelwert der Differenzen beträgt -0.25. Der entsprechende </w:t>
      </w:r>
      <w:r w:rsidR="00C56B62" w:rsidRPr="008D4B6A">
        <w:rPr>
          <w:i/>
        </w:rPr>
        <w:t>t</w:t>
      </w:r>
      <w:r w:rsidR="00C56B62">
        <w:t>-Test ergab, dass der Mittelwert der Thetapower in der Bedingung „nah“ auf 5% Signifikanzniveau nicht signifikant kleiner ist als der Mittelwert der Thetapower in der Bedingung „fern“ unterscheidet (</w:t>
      </w:r>
      <w:r w:rsidR="00C56B62" w:rsidRPr="00912E0E">
        <w:rPr>
          <w:i/>
        </w:rPr>
        <w:t>t</w:t>
      </w:r>
      <w:r w:rsidR="00C56B62">
        <w:t xml:space="preserve">(29) = -0.22; </w:t>
      </w:r>
      <w:r w:rsidR="00C56B62" w:rsidRPr="00912E0E">
        <w:rPr>
          <w:i/>
        </w:rPr>
        <w:t>p</w:t>
      </w:r>
      <w:r w:rsidR="00C56B62">
        <w:t xml:space="preserve"> = 0.59).</w:t>
      </w:r>
    </w:p>
    <w:p w:rsidR="00BB0F3D" w:rsidRDefault="00BB0F3D" w:rsidP="000D188D">
      <w:r>
        <w:t xml:space="preserve">Als nächstes wurden zwei weitere rechtsseitige </w:t>
      </w:r>
      <w:r w:rsidRPr="00C16DA5">
        <w:rPr>
          <w:i/>
        </w:rPr>
        <w:t>t</w:t>
      </w:r>
      <w:r w:rsidR="00541C3B">
        <w:t>-T</w:t>
      </w:r>
      <w:r>
        <w:t>ests für abhängige Stichproben auf 5% Signifikanzniveau durchgeführt</w:t>
      </w:r>
      <w:r w:rsidR="00B579DE">
        <w:t xml:space="preserve">, um zu testen ob die Power im </w:t>
      </w:r>
      <w:proofErr w:type="spellStart"/>
      <w:r w:rsidR="00B579DE">
        <w:t>low-betaband</w:t>
      </w:r>
      <w:proofErr w:type="spellEnd"/>
      <w:r w:rsidR="00B579DE">
        <w:t xml:space="preserve"> oder im high-</w:t>
      </w:r>
      <w:proofErr w:type="spellStart"/>
      <w:r w:rsidR="00B579DE">
        <w:t>betaband</w:t>
      </w:r>
      <w:proofErr w:type="spellEnd"/>
      <w:r w:rsidR="00B579DE">
        <w:t xml:space="preserve"> in der Bedingung „nah“ größer ist als in der Bedingung „fern“. </w:t>
      </w:r>
      <w:r w:rsidR="005F128F">
        <w:t xml:space="preserve">Sowohl für die </w:t>
      </w:r>
      <w:proofErr w:type="spellStart"/>
      <w:r w:rsidR="005F128F">
        <w:t>low</w:t>
      </w:r>
      <w:proofErr w:type="spellEnd"/>
      <w:r w:rsidR="005F128F">
        <w:t>-B</w:t>
      </w:r>
      <w:r w:rsidR="00AF6079">
        <w:t>etapower (</w:t>
      </w:r>
      <w:r w:rsidR="00AF6079" w:rsidRPr="009F2646">
        <w:rPr>
          <w:i/>
        </w:rPr>
        <w:t>W</w:t>
      </w:r>
      <w:r w:rsidR="00AF6079">
        <w:t xml:space="preserve"> = 0.98; </w:t>
      </w:r>
      <w:r w:rsidR="00AF6079" w:rsidRPr="009F2646">
        <w:rPr>
          <w:i/>
        </w:rPr>
        <w:t>p</w:t>
      </w:r>
      <w:r w:rsidR="005F128F">
        <w:t xml:space="preserve"> = 0.70) als auf für die high-B</w:t>
      </w:r>
      <w:r w:rsidR="00AF6079">
        <w:t>etapower (</w:t>
      </w:r>
      <w:r w:rsidR="00AF6079" w:rsidRPr="009F2646">
        <w:rPr>
          <w:i/>
        </w:rPr>
        <w:t>W</w:t>
      </w:r>
      <w:r w:rsidR="00AF6079">
        <w:t xml:space="preserve"> = 0.94; </w:t>
      </w:r>
      <w:r w:rsidR="00AF6079" w:rsidRPr="009F2646">
        <w:rPr>
          <w:i/>
        </w:rPr>
        <w:t>p</w:t>
      </w:r>
      <w:r w:rsidR="00AF6079">
        <w:t xml:space="preserve"> = 0.10) war der Shapiro-Wilk-Test</w:t>
      </w:r>
      <w:r w:rsidR="00D13EC1">
        <w:t xml:space="preserve"> für die Differenzen zwischen der Bedingung „nah“ und der Bedingung „fern“ ni</w:t>
      </w:r>
      <w:r w:rsidR="006C5A05">
        <w:t>cht signifikant und es konnte</w:t>
      </w:r>
      <w:r w:rsidR="00D13EC1">
        <w:t xml:space="preserve"> Normalverteilung angenommen werden. </w:t>
      </w:r>
      <w:r w:rsidR="006C5A05">
        <w:t xml:space="preserve">Der Mittelwert der Differenzen für die </w:t>
      </w:r>
      <w:proofErr w:type="spellStart"/>
      <w:r w:rsidR="006C5A05">
        <w:t>low</w:t>
      </w:r>
      <w:proofErr w:type="spellEnd"/>
      <w:r w:rsidR="005F128F">
        <w:t>-Beta</w:t>
      </w:r>
      <w:r w:rsidR="006C5A05">
        <w:t>power beträgt 0.02 und für die high</w:t>
      </w:r>
      <w:r w:rsidR="005F128F">
        <w:t>-Beta</w:t>
      </w:r>
      <w:r w:rsidR="006C5A05">
        <w:t xml:space="preserve">power -0.11. </w:t>
      </w:r>
      <w:r w:rsidR="00541C3B">
        <w:t>Der t-T</w:t>
      </w:r>
      <w:r w:rsidR="006C5A05">
        <w:t>est für abhängige Stichproben auf 5% Signif</w:t>
      </w:r>
      <w:r w:rsidR="005F128F">
        <w:t xml:space="preserve">ikanzniveau ist für die </w:t>
      </w:r>
      <w:proofErr w:type="spellStart"/>
      <w:r w:rsidR="005F128F">
        <w:t>low</w:t>
      </w:r>
      <w:proofErr w:type="spellEnd"/>
      <w:r w:rsidR="005F128F">
        <w:t>-Beta</w:t>
      </w:r>
      <w:r w:rsidR="006C5A05">
        <w:t>power nicht signifikant (</w:t>
      </w:r>
      <w:r w:rsidR="006C5A05" w:rsidRPr="00912E0E">
        <w:rPr>
          <w:i/>
        </w:rPr>
        <w:t>t</w:t>
      </w:r>
      <w:r w:rsidR="006C5A05">
        <w:t xml:space="preserve">(29) = 0.09; </w:t>
      </w:r>
      <w:r w:rsidR="006C5A05" w:rsidRPr="00912E0E">
        <w:rPr>
          <w:i/>
        </w:rPr>
        <w:t>p</w:t>
      </w:r>
      <w:r w:rsidR="006C5A05">
        <w:t xml:space="preserve"> = 0.47) und für die high</w:t>
      </w:r>
      <w:r w:rsidR="005F128F">
        <w:t>-Beta</w:t>
      </w:r>
      <w:r w:rsidR="006C5A05">
        <w:t>power ebenfalls nicht (</w:t>
      </w:r>
      <w:r w:rsidR="006C5A05" w:rsidRPr="00912E0E">
        <w:rPr>
          <w:i/>
        </w:rPr>
        <w:t>t</w:t>
      </w:r>
      <w:r w:rsidR="006C5A05">
        <w:t xml:space="preserve">(29) = -0.43; </w:t>
      </w:r>
      <w:r w:rsidR="006C5A05" w:rsidRPr="00912E0E">
        <w:rPr>
          <w:i/>
        </w:rPr>
        <w:t>p</w:t>
      </w:r>
      <w:r w:rsidR="006C5A05">
        <w:t xml:space="preserve"> = 0.67).</w:t>
      </w:r>
    </w:p>
    <w:p w:rsidR="00CE1690" w:rsidRDefault="00CE1690">
      <w:r>
        <w:t xml:space="preserve">Da der bereits gut nachgewiesene Befund, dass die Betapower innerhalb des STK größer ist als außerhalb des STK, mit Anwendung des FOOOF-Algorithmus nicht gefunden werden konnte, wurde ein neuer Datensatz erstellt, bei dem die Betapower berechnet wurde, ohne vorher durch den FOOOF-Algorithmus die geschätzte aperiodische Komponente abzuziehen. </w:t>
      </w:r>
      <w:r w:rsidR="00C773F4">
        <w:t>Der Shapiro-Wilk-Test für die Differenzen zwischen der Betapower in der Bedingung „nah“ und der Betapower in der Bedingung „fern“ ist auch für die Werte des originalen Powerspektrums nicht signifikant auf 5% Signifikanzniveau (</w:t>
      </w:r>
      <w:r w:rsidR="00C773F4" w:rsidRPr="009F2646">
        <w:rPr>
          <w:i/>
        </w:rPr>
        <w:t>W</w:t>
      </w:r>
      <w:r w:rsidR="00C773F4">
        <w:t xml:space="preserve"> = 0.99; </w:t>
      </w:r>
      <w:r w:rsidR="00C773F4" w:rsidRPr="009F2646">
        <w:rPr>
          <w:i/>
        </w:rPr>
        <w:t>p</w:t>
      </w:r>
      <w:r w:rsidR="00C773F4">
        <w:t xml:space="preserve"> = 0.94).</w:t>
      </w:r>
      <w:r w:rsidR="00CE73A8">
        <w:t xml:space="preserve"> In den </w:t>
      </w:r>
      <w:proofErr w:type="spellStart"/>
      <w:r w:rsidR="00CE73A8">
        <w:t>Boxplots</w:t>
      </w:r>
      <w:proofErr w:type="spellEnd"/>
      <w:r w:rsidR="00CE73A8">
        <w:t xml:space="preserve"> von</w:t>
      </w:r>
      <w:r w:rsidR="00342718">
        <w:t xml:space="preserve"> der A</w:t>
      </w:r>
      <w:r w:rsidR="00450CBA">
        <w:t>bbildung 15</w:t>
      </w:r>
      <w:r w:rsidR="00CE73A8">
        <w:t xml:space="preserve"> ist zu erkennen, dass der Mittelwert der Bedingung „nah“ sichtlich größer ist als der Mittelwert der Bedingung „fern“. </w:t>
      </w:r>
      <w:r w:rsidR="00C773F4">
        <w:t xml:space="preserve"> Um den ersten Teil der ersten Hypothese, dass die Power im </w:t>
      </w:r>
      <w:proofErr w:type="spellStart"/>
      <w:r w:rsidR="00C773F4">
        <w:t>Betaband</w:t>
      </w:r>
      <w:proofErr w:type="spellEnd"/>
      <w:r w:rsidR="00C773F4">
        <w:t xml:space="preserve"> des LFP in der Nähe der Zielposition</w:t>
      </w:r>
      <w:r w:rsidR="00C54FC8">
        <w:t xml:space="preserve"> größer ist als in w</w:t>
      </w:r>
      <w:r w:rsidR="00C773F4">
        <w:t xml:space="preserve">eiter Entfernung von der Zielposition, </w:t>
      </w:r>
      <w:r>
        <w:t xml:space="preserve">nochmal ohne Anwendung des FOOOF-Algorithmus zu überprüfen, </w:t>
      </w:r>
      <w:r w:rsidR="00C773F4">
        <w:t xml:space="preserve">wurde daher erneut ein rechtsseitiger </w:t>
      </w:r>
      <w:r w:rsidR="00C773F4" w:rsidRPr="00D66911">
        <w:rPr>
          <w:i/>
        </w:rPr>
        <w:t>t</w:t>
      </w:r>
      <w:r w:rsidR="00C773F4">
        <w:t xml:space="preserve">-Test für abhängige Stichproben auf 5% Signifikanzniveau gerechnet. Der Mittelwert der Differenzen beträgt in diesem Fall 0.43. Der entsprechende </w:t>
      </w:r>
      <w:r w:rsidR="00C773F4" w:rsidRPr="008D4B6A">
        <w:rPr>
          <w:i/>
        </w:rPr>
        <w:t>t</w:t>
      </w:r>
      <w:r w:rsidR="00C773F4">
        <w:t>-Test ergab, dass der Mittelwert der Betapower in der Bedingung „nah“ auf 5% Signifikanzniveau signifikant größer ist als der Mittelwert der Betapower in der Bedingung „fern“ (</w:t>
      </w:r>
      <w:r w:rsidR="00C773F4" w:rsidRPr="00912E0E">
        <w:rPr>
          <w:i/>
        </w:rPr>
        <w:t>t</w:t>
      </w:r>
      <w:r w:rsidR="00C773F4">
        <w:t xml:space="preserve">(29) = 2.04; </w:t>
      </w:r>
      <w:r w:rsidR="00C773F4" w:rsidRPr="00912E0E">
        <w:rPr>
          <w:i/>
        </w:rPr>
        <w:t>p</w:t>
      </w:r>
      <w:r w:rsidR="00C773F4">
        <w:t xml:space="preserve"> = 0.03).</w:t>
      </w:r>
    </w:p>
    <w:p w:rsidR="00103A37" w:rsidRDefault="00103A37">
      <w:r w:rsidRPr="00DF6E10">
        <w:t xml:space="preserve">4. </w:t>
      </w:r>
      <w:r w:rsidRPr="00103A37">
        <w:t>Diskussion</w:t>
      </w:r>
    </w:p>
    <w:p w:rsidR="00630274" w:rsidRDefault="00CE04C8">
      <w:r>
        <w:t>Bei der Behandlung der neurodegenerativen Krankheit Morbus Parkinson sind durch immense Fortschritte in der Forschung der letzten Jahrzehnte gute Therapiemöglichkeiten entwickelt und etabliert worden, mit denen die Symptome und der Leidensdruck zu einem gewissen Maß kontrolliert und eingeschränkt werden können. Die THS des STK war die letzte innovative Therapie, die einen Durchbruch in der Behandlung von Morbus Parkinson ermöglicht hat.</w:t>
      </w:r>
      <w:r w:rsidR="00A51B3E">
        <w:t xml:space="preserve"> Dabei werden operativ Elektroden in die STK eingeführt und elektrisch stimuliert, wodurch der Bereich des STK</w:t>
      </w:r>
      <w:r w:rsidR="008F1774">
        <w:t>, der stimuliert wird,</w:t>
      </w:r>
      <w:r w:rsidR="00A51B3E">
        <w:t xml:space="preserve"> deaktiviert wird.</w:t>
      </w:r>
      <w:r w:rsidR="007973F5">
        <w:t xml:space="preserve"> Die Zielposition</w:t>
      </w:r>
      <w:r w:rsidR="004D5968">
        <w:t xml:space="preserve"> wird vor der Operation ermittelt, indem durch ein MRT geschätzt wird, wo sich der </w:t>
      </w:r>
      <w:proofErr w:type="spellStart"/>
      <w:r w:rsidR="004D5968">
        <w:t>dorsolaterale</w:t>
      </w:r>
      <w:proofErr w:type="spellEnd"/>
      <w:r w:rsidR="004D5968">
        <w:t xml:space="preserve"> Bereich des STK befindet, wo sich nach aktuellem Kenntnisstand das sen</w:t>
      </w:r>
      <w:r w:rsidR="00D64C7A">
        <w:t>s</w:t>
      </w:r>
      <w:r w:rsidR="004D5968">
        <w:t>omotorische Zentrum befindet.</w:t>
      </w:r>
      <w:r>
        <w:t xml:space="preserve"> </w:t>
      </w:r>
      <w:r w:rsidR="00A51B3E">
        <w:t xml:space="preserve">Um potentielle Nebenwirkungen zu vermeiden, die durch Stimulation von Bereichen ausgelöst werden, die sich um den STK herum </w:t>
      </w:r>
      <w:r w:rsidR="00A51B3E">
        <w:lastRenderedPageBreak/>
        <w:t xml:space="preserve">befinden, erfordert die Operation jedoch eine enorme Menge an Planung und Vorbereitung. </w:t>
      </w:r>
      <w:r w:rsidR="001C7A6F">
        <w:t xml:space="preserve">Bildgebende Verfahren helfen, die Position des STK und somit die Operationsstelle zu schätzen, allerdings sind die STK teilweise nicht gut oder gar nicht direkt sichtbar, sondern wird durch umliegende Strukturen geschätzt. </w:t>
      </w:r>
      <w:r w:rsidR="00A51B3E">
        <w:t xml:space="preserve">Durch die Erkenntnis, dass sich </w:t>
      </w:r>
      <w:r w:rsidR="00BC6D48">
        <w:t xml:space="preserve">das </w:t>
      </w:r>
      <w:proofErr w:type="spellStart"/>
      <w:r w:rsidR="00BC6D48">
        <w:t>oszillatorische</w:t>
      </w:r>
      <w:proofErr w:type="spellEnd"/>
      <w:r w:rsidR="00BC6D48">
        <w:t xml:space="preserve"> Aktivitätsmuster</w:t>
      </w:r>
      <w:r w:rsidR="00A51B3E">
        <w:t xml:space="preserve"> im Gehirn verändert, je nachdem wo sich die Elektrode befindet, konnten mit Hilfe von rechnerischen Modellen </w:t>
      </w:r>
      <w:r w:rsidR="001C7A6F">
        <w:t>Programme entwick</w:t>
      </w:r>
      <w:r w:rsidR="0091701B">
        <w:t>elt werden, die bei der Bestimmung der</w:t>
      </w:r>
      <w:r w:rsidR="001C7A6F">
        <w:t xml:space="preserve"> Position der Elektrode im Gehirn </w:t>
      </w:r>
      <w:r w:rsidR="0091701B">
        <w:t xml:space="preserve">helfen können. Gut nachgewiesene Zusammenhänge, die für solche Programme bereits verwendet werden, sind die erhöhte Spike-Aktivität und Betapower im STK. </w:t>
      </w:r>
      <w:r w:rsidR="008F1774">
        <w:t>Um eine Weiterentwicklung dieser Therapie zu unterstützen, beschäftigt sich diese Masterarbeit mit der Frage, ob in den Mikroelektroden-Aufzeichnungen der Testelektroden, die während der Operation elektrophysiologische Daten aufgezeichnet haben, über alle Patient*innen Z</w:t>
      </w:r>
      <w:r w:rsidR="000D00F4">
        <w:t>usammenhänge zwischen den oszillatorischen Aktivitätsmuster</w:t>
      </w:r>
      <w:r w:rsidR="008F1774">
        <w:t xml:space="preserve"> und der Position der Elekt</w:t>
      </w:r>
      <w:r w:rsidR="000D00F4">
        <w:t>rode gefunden werden können.</w:t>
      </w:r>
      <w:r w:rsidR="00F4057B">
        <w:t xml:space="preserve"> </w:t>
      </w:r>
    </w:p>
    <w:p w:rsidR="00FE568A" w:rsidRDefault="00F4057B">
      <w:r>
        <w:t>Der RMS</w:t>
      </w:r>
      <w:r w:rsidR="008F1774">
        <w:t xml:space="preserve"> des</w:t>
      </w:r>
      <w:r w:rsidR="000D00F4">
        <w:t xml:space="preserve"> elektrischen</w:t>
      </w:r>
      <w:r w:rsidR="008F1774">
        <w:t xml:space="preserve"> Signals wird bereits genutzt, um das Ein- und Austreten der Elektrode in Bezug auf den STK zu bestimmen, da die Spike-Aktivität sichtlich größer wird, sobald die Elektrode sich im STK befindet. Die Betapower wird genutzt, </w:t>
      </w:r>
      <w:r w:rsidR="001324D7">
        <w:t xml:space="preserve">um die Nähe zum </w:t>
      </w:r>
      <w:proofErr w:type="spellStart"/>
      <w:r w:rsidR="001324D7">
        <w:t>dorsolateralen</w:t>
      </w:r>
      <w:proofErr w:type="spellEnd"/>
      <w:r w:rsidR="001324D7">
        <w:t xml:space="preserve"> Bereich des STK zu schätzen. </w:t>
      </w:r>
      <w:r w:rsidR="004D5968">
        <w:t>Wenn diese Annahme</w:t>
      </w:r>
      <w:r w:rsidR="000D00F4">
        <w:t>n</w:t>
      </w:r>
      <w:r w:rsidR="004D5968">
        <w:t xml:space="preserve"> mit Hilfe der vorliegenden Daten bestätigt werden können, sollten diejenigen</w:t>
      </w:r>
      <w:r w:rsidR="00A82198">
        <w:t xml:space="preserve"> Datensätze, die in der Nähe der Zielposition</w:t>
      </w:r>
      <w:r w:rsidR="004D5968">
        <w:t xml:space="preserve"> aufgezeichnet wurden, ein</w:t>
      </w:r>
      <w:r w:rsidR="00DC5856">
        <w:t>en größeren RMS</w:t>
      </w:r>
      <w:r w:rsidR="004D5968">
        <w:t xml:space="preserve"> und eine größere Betapower aufweisen als die Datensät</w:t>
      </w:r>
      <w:r w:rsidR="00A82198">
        <w:t>ze, die in weiter Entfernung von der Zielposition</w:t>
      </w:r>
      <w:r w:rsidR="004D5968">
        <w:t xml:space="preserve"> und außerhalb des STK aufgezeichnet wurden.</w:t>
      </w:r>
      <w:r w:rsidR="00317441">
        <w:t xml:space="preserve"> </w:t>
      </w:r>
      <w:r w:rsidR="002E1176">
        <w:t>D</w:t>
      </w:r>
      <w:r w:rsidR="009C41D7">
        <w:t>ie Betapower</w:t>
      </w:r>
      <w:r w:rsidR="002E1176">
        <w:t xml:space="preserve"> war</w:t>
      </w:r>
      <w:r w:rsidR="009C41D7">
        <w:t xml:space="preserve"> </w:t>
      </w:r>
      <w:r w:rsidR="007973F5">
        <w:t>in der Nähe der Zielposition</w:t>
      </w:r>
      <w:r w:rsidR="002E1176">
        <w:t xml:space="preserve"> nicht signifikant grö</w:t>
      </w:r>
      <w:r w:rsidR="007973F5">
        <w:t>ßer als in weiter Entfernung von der Zielposition</w:t>
      </w:r>
      <w:r w:rsidR="00DC5856">
        <w:t>, der RMS</w:t>
      </w:r>
      <w:r w:rsidR="007973F5">
        <w:t xml:space="preserve"> hingegen war in der Nähe der Zielposition</w:t>
      </w:r>
      <w:r w:rsidR="002E1176">
        <w:t xml:space="preserve"> signifikant größer als in weiter Entfernung. Bei der ersten Hypothese, dass die Power im </w:t>
      </w:r>
      <w:proofErr w:type="spellStart"/>
      <w:r w:rsidR="002E1176">
        <w:t>Betaband</w:t>
      </w:r>
      <w:proofErr w:type="spellEnd"/>
      <w:r w:rsidR="002E1176">
        <w:t xml:space="preserve"> </w:t>
      </w:r>
      <w:r w:rsidR="00A82198">
        <w:t>des LFP und die Spike-Aktivität</w:t>
      </w:r>
      <w:r w:rsidR="002E1176">
        <w:t xml:space="preserve"> des</w:t>
      </w:r>
      <w:r w:rsidR="00A82198">
        <w:t xml:space="preserve"> elektrischen Signals in der Nähe der Zielposition größer sind als in weiter Entfernung von der Zielposition</w:t>
      </w:r>
      <w:r w:rsidR="002E1176">
        <w:t xml:space="preserve">, kann daher nur der zweite Teile angenommen werden. </w:t>
      </w:r>
      <w:r w:rsidR="003542BC">
        <w:t xml:space="preserve">Die Tatsache, dass der RMS in der Nähe des Zielposition signifikant größer ist als in weiter Entfernung von der Zielposition, war zu erwarten, da diese Information während der Operation genutzt wird, um zu bestimmen, ob sich die Elektrode im STK befindet. Dass die Betapower in der Nähe der Zielposition nicht signifikant größer ist als in weiter Entfernung von der Zielposition, ist unerwartet, da diese Information bereits gut nachgewiesen werden konnte und ebenfalls während der Operation genutzt wird, um die Nähe zum </w:t>
      </w:r>
      <w:proofErr w:type="spellStart"/>
      <w:r w:rsidR="003542BC">
        <w:t>dorsolateralen</w:t>
      </w:r>
      <w:proofErr w:type="spellEnd"/>
      <w:r w:rsidR="003542BC">
        <w:t xml:space="preserve"> Bereich zu schätzen.</w:t>
      </w:r>
    </w:p>
    <w:p w:rsidR="00DF2E07" w:rsidRDefault="00317441">
      <w:r>
        <w:t xml:space="preserve">Ein neuer Forschungszweig im Bereich der </w:t>
      </w:r>
      <w:r w:rsidR="00A82198">
        <w:t xml:space="preserve">oszillatorischen Aktivitätsmuster </w:t>
      </w:r>
      <w:r>
        <w:t>des Gehirns ist die aperiodische Komponente, die sich im Hintergrund der periodischen Oszillationen befindet. Dass sie existiert ist lange bekannt, bislang wurde sie jedoch als Hintergrundrauschen ohne Informationsgehalt abgetan und ignoriert. In der aktuellen Forschung wird nun vermutet, dass die aperiodische Komponente ebenfalls einen Zusammenhang mit menschlichem Verhalten und kognitiven Zuständen hat. Dies könnte potentiell ein neuer Faktor sein, der ebenfalls zu der Bestimmung der Position d</w:t>
      </w:r>
      <w:r w:rsidR="009C41D7">
        <w:t xml:space="preserve">er Elektrode im Gehirn beiträgt. </w:t>
      </w:r>
      <w:r w:rsidR="002E1176">
        <w:t>Falls diese Ver</w:t>
      </w:r>
      <w:r w:rsidR="004D0B8A">
        <w:t>mutung zutrifft, sollte sich die aperiodischen Exponenten</w:t>
      </w:r>
      <w:r w:rsidR="002E1176">
        <w:t xml:space="preserve"> von den </w:t>
      </w:r>
      <w:r w:rsidR="004D0B8A">
        <w:t>Datensätzen, die in der Nähe der Zielposition aufgenommen wurden, von den aperiodischen Exponenten</w:t>
      </w:r>
      <w:r w:rsidR="002E1176">
        <w:t xml:space="preserve"> in den Datensätz</w:t>
      </w:r>
      <w:r w:rsidR="004D0B8A">
        <w:t>en, die in weiter Entfernung von der Zielposition</w:t>
      </w:r>
      <w:r w:rsidR="004810E6">
        <w:t xml:space="preserve"> aufgezeichnet wurden, unterscheiden. Außerdem sollte ein</w:t>
      </w:r>
      <w:r w:rsidR="00E735EB">
        <w:t xml:space="preserve"> Zusammenhang</w:t>
      </w:r>
      <w:r w:rsidR="004D0B8A">
        <w:t xml:space="preserve"> zwischen dem aperiodischen Exponenten</w:t>
      </w:r>
      <w:r w:rsidR="004810E6">
        <w:t xml:space="preserve"> und der Tiefe der</w:t>
      </w:r>
      <w:r w:rsidR="004D0B8A">
        <w:t xml:space="preserve"> Elektrode aufzufinden sein. Der aperiodische Exponent in der Nähe der Zielposition</w:t>
      </w:r>
      <w:r w:rsidR="004810E6">
        <w:t xml:space="preserve"> unterscheidet sich nicht sign</w:t>
      </w:r>
      <w:r w:rsidR="004D0B8A">
        <w:t>ifikant von dem aperiodischen Exponent in weiter Entfernung von der Zielposition</w:t>
      </w:r>
      <w:r w:rsidR="004810E6">
        <w:t>. Der l</w:t>
      </w:r>
      <w:r w:rsidR="004D0B8A">
        <w:t>ineare Zusammenhang zwischen dem aperiodischen Exponenten</w:t>
      </w:r>
      <w:r w:rsidR="004810E6">
        <w:t xml:space="preserve"> und der Tiefe der Ele</w:t>
      </w:r>
      <w:r w:rsidR="00DF2E07">
        <w:t>ktrode unterscheidet sich auch nicht signifikant von 0. Die zweite</w:t>
      </w:r>
      <w:r w:rsidR="004810E6">
        <w:t xml:space="preserve"> Hypothese, dass die aperiodische Komponente des LFP-Signals mit </w:t>
      </w:r>
      <w:r w:rsidR="004D0B8A">
        <w:t>der Entfernung der Elektrode zu der Zielposition</w:t>
      </w:r>
      <w:r w:rsidR="004810E6">
        <w:t xml:space="preserve"> zusammenhängt, kann daher </w:t>
      </w:r>
      <w:r w:rsidR="00DF2E07">
        <w:t xml:space="preserve">nicht </w:t>
      </w:r>
      <w:r w:rsidR="004810E6">
        <w:t>angenommen werden.</w:t>
      </w:r>
      <w:r w:rsidR="00104D5F">
        <w:t xml:space="preserve"> </w:t>
      </w:r>
    </w:p>
    <w:p w:rsidR="00B73E19" w:rsidRDefault="0085282E">
      <w:r>
        <w:lastRenderedPageBreak/>
        <w:t xml:space="preserve">In einem weiteren Regressionsmodell, bei dem alle vorhandenen elektrophysiologischen Maße als Prädiktoren verwendet wurden, zeigte sich, dass lediglich der RMS einen signifikanten Zusammenhang mit der Tiefe der Elektrode aufweist. </w:t>
      </w:r>
      <w:r w:rsidR="00104D5F">
        <w:t>Auch haben sich die Theta- und Alphapower in der Nähe der Zielposition nicht von der Theta- und Alphapower in weiter Entfernung von der Zielposition unterschieden.</w:t>
      </w:r>
      <w:r w:rsidR="00397851">
        <w:t xml:space="preserve"> </w:t>
      </w:r>
      <w:r w:rsidR="005F128F">
        <w:t xml:space="preserve">Bei einer zusätzlichen Differenzierung der Betapower in </w:t>
      </w:r>
      <w:proofErr w:type="spellStart"/>
      <w:r w:rsidR="005F128F">
        <w:t>low</w:t>
      </w:r>
      <w:proofErr w:type="spellEnd"/>
      <w:r w:rsidR="005F128F">
        <w:t>-Betapower und high-Betapower konnte gezeigt werden, dass bei einer Einteilung des Betabands in Unterkategorien kein Unterschied zwischen der Betapower in der Bedingung „nah“ und der Betapower in der Bedingung „fern“ vorhanden ist.</w:t>
      </w:r>
      <w:r w:rsidR="00B73E19">
        <w:t xml:space="preserve"> Da der Befund, dass die Power im </w:t>
      </w:r>
      <w:proofErr w:type="spellStart"/>
      <w:r w:rsidR="00B73E19">
        <w:t>Betaband</w:t>
      </w:r>
      <w:proofErr w:type="spellEnd"/>
      <w:r w:rsidR="00B73E19">
        <w:t xml:space="preserve"> des LFP in der Nähe der Zielposition nicht größer ist als in weiter Entfernung von der Zielposition, besonders unerwartet war, wurde der Test nochmal mit dem originalen Powerspektrum wiederholt. Die Betapower wurde neu berechnet, indem das Powerspektrum verwendet wird, ohne dass vorher die aperiodische Komponente abgezogen wird, die vom FOOOF-Algorithmus geschätzt wurde. Bei Verwendung des originalen Powerspektrums konnte das erwartete Ergebnis gefunden werden, dass die Power im </w:t>
      </w:r>
      <w:proofErr w:type="spellStart"/>
      <w:r w:rsidR="00B73E19">
        <w:t>Betaband</w:t>
      </w:r>
      <w:proofErr w:type="spellEnd"/>
      <w:r w:rsidR="00B73E19">
        <w:t xml:space="preserve"> des LFP in der Nähe der Zielposition größer ist als in weiter Entfernung von der Zielposition. </w:t>
      </w:r>
    </w:p>
    <w:p w:rsidR="00944800" w:rsidRDefault="00397851">
      <w:r>
        <w:t>Die Theorie, dass in den elektrophysiologischen Daten, die während der Operation durch Mikroelektroden-Aufzeichnungen der Testelektroden aufgezeichnet wurden, über alle Patient*innen Zusammen</w:t>
      </w:r>
      <w:r w:rsidR="00030E79">
        <w:t>hä</w:t>
      </w:r>
      <w:r>
        <w:t>ng</w:t>
      </w:r>
      <w:r w:rsidR="00030E79">
        <w:t xml:space="preserve">e zwischen den </w:t>
      </w:r>
      <w:r w:rsidR="004D0B8A">
        <w:t xml:space="preserve">oszillatorischen Aktivitätsmustern </w:t>
      </w:r>
      <w:r w:rsidR="00030E79">
        <w:t>und</w:t>
      </w:r>
      <w:r>
        <w:t xml:space="preserve"> der Position</w:t>
      </w:r>
      <w:r w:rsidR="00030E79">
        <w:t xml:space="preserve"> der Elektrode zu finden sind, kann daher nur teilweise angenommen werden. </w:t>
      </w:r>
      <w:r w:rsidR="00B73E19">
        <w:t>Der gut nachgewiesene Befund, dass die Spike-Aktivität und dadurch der</w:t>
      </w:r>
      <w:r w:rsidR="00545DA4">
        <w:t xml:space="preserve"> RMS innerhalb des STK größer we</w:t>
      </w:r>
      <w:r w:rsidR="00B73E19">
        <w:t>rd</w:t>
      </w:r>
      <w:r w:rsidR="00545DA4">
        <w:t>en</w:t>
      </w:r>
      <w:r w:rsidR="00B73E19">
        <w:t xml:space="preserve">, konnte mit den vorliegenden Daten erneut belegt werden. </w:t>
      </w:r>
      <w:r w:rsidR="00545DA4">
        <w:t xml:space="preserve">Dass die Betapower innerhalb des STK größer ist als außerhalb des STK konnte nicht gezeigt werden, allerdings deutet die explorative Analyse darauf hin, dass das an der verwendeten Methode liegt und der erwartete Unterschied unter anderen Umständen gefunden worden wäre. </w:t>
      </w:r>
    </w:p>
    <w:p w:rsidR="00944800" w:rsidRDefault="00545DA4">
      <w:r>
        <w:t>D</w:t>
      </w:r>
      <w:r w:rsidR="005F71FB">
        <w:t xml:space="preserve">er FOOOF-Algorithmus </w:t>
      </w:r>
      <w:r>
        <w:t xml:space="preserve">hat eventuell </w:t>
      </w:r>
      <w:r w:rsidR="005F71FB">
        <w:t>nicht so funktioniert</w:t>
      </w:r>
      <w:r w:rsidR="00616DBA">
        <w:t>, wie es erwartet war</w:t>
      </w:r>
      <w:r w:rsidR="005F71FB">
        <w:t>, oder es sind relevante Datensätze bei der Datenbereinigung entfernt worden.</w:t>
      </w:r>
      <w:r w:rsidR="00003C21">
        <w:t xml:space="preserve"> </w:t>
      </w:r>
      <w:r w:rsidR="00E00DBC">
        <w:t xml:space="preserve">Das bedeutet, dass durch einen Prozess bei der Benutzung des FOOOF-Algorithmus, die Daten auf eine Weise verändert wurden, die nicht erwartet war. Entweder die Betapower wurde kleiner gemacht als sie es im originalen Powerspektrum ist oder die Kanäle, die wegen einer schlechten Schätzung des FOOOF-Algorithmus entfernt worden sind, hatten eine besonders große Betapower. </w:t>
      </w:r>
      <w:r w:rsidR="00D45D71">
        <w:t>Letzteres lässt sich überprüfen, indem die 30 Kanäle verglichen werden, die für den Vergleich zwischen der Bedingung „nah“ und der Bedingung „fern“</w:t>
      </w:r>
      <w:r w:rsidR="00F23AD3">
        <w:t xml:space="preserve"> zum einen für das originale Powerspektrum und zum anderen für das Powerspektrum, von dem die geschätzte a</w:t>
      </w:r>
      <w:r w:rsidR="00B716D2">
        <w:t>periodische Komponente</w:t>
      </w:r>
      <w:r w:rsidR="00F23AD3">
        <w:t xml:space="preserve"> abgezogen wurde, gewählt worden sind. </w:t>
      </w:r>
      <w:r w:rsidR="00615268">
        <w:t>Wie in de</w:t>
      </w:r>
      <w:r w:rsidR="00354074">
        <w:t>r Abbil</w:t>
      </w:r>
      <w:r w:rsidR="00450CBA">
        <w:t>dung 16</w:t>
      </w:r>
      <w:r w:rsidR="00927A54">
        <w:t xml:space="preserve"> sichtbar ist, unterscheiden sich die Kanäle, die im Falle des originalen Powerspektrums für die Bedingungen „nah“ und fern“ ausgewählt wurden, von den Kanälen, die für diese Bedingungen ausgewählt wurden, nachdem der FOOOF</w:t>
      </w:r>
      <w:r w:rsidR="00B716D2">
        <w:t>-Algorithmus</w:t>
      </w:r>
      <w:r w:rsidR="00927A54">
        <w:t xml:space="preserve"> angewendet wurde. Das bedeutet, dass bei der Bereinigung von denjenigen Daten, die vom FOOOF</w:t>
      </w:r>
      <w:r w:rsidR="00B716D2">
        <w:t>-Algorithmus</w:t>
      </w:r>
      <w:r w:rsidR="00927A54">
        <w:t xml:space="preserve"> schlecht geschätzt worden sind, Kanäle d</w:t>
      </w:r>
      <w:r w:rsidR="00080289">
        <w:t>abei waren, die besonders nah an der Zielposition</w:t>
      </w:r>
      <w:r w:rsidR="00927A54">
        <w:t xml:space="preserve"> waren oder besonders weit davon entfernt. Der Mittelwert der Betapower in der Bedingung „nah“ für das originale Powerspektrum ist 0.06, während er für die Betapower in der Bedingung „nah“ nach Anwendung des FOOOF</w:t>
      </w:r>
      <w:r w:rsidR="003C24C5">
        <w:t>-Algorithmus</w:t>
      </w:r>
      <w:r w:rsidR="00927A54">
        <w:t xml:space="preserve"> -0.05 beträgt. Für die Betapower in der Bedingung „fern“ beträgt der Mittelwert für das originale Spektrum -0.37 und für das Powerspektrum nach Anwendung des FOOOF</w:t>
      </w:r>
      <w:r w:rsidR="000F3E58">
        <w:t>-Algorithmus</w:t>
      </w:r>
      <w:r w:rsidR="00927A54">
        <w:t xml:space="preserve"> -0.028. Es wurden demnach ausgerechnet die Kanäle </w:t>
      </w:r>
      <w:r w:rsidR="00E17D48">
        <w:t>aussortiert, die in der Nähe der Zielposition</w:t>
      </w:r>
      <w:r w:rsidR="00927A54">
        <w:t xml:space="preserve"> eine größ</w:t>
      </w:r>
      <w:r w:rsidR="00E17D48">
        <w:t>ere und in weiter Entfernung von der Zielposition</w:t>
      </w:r>
      <w:r w:rsidR="00927A54">
        <w:t xml:space="preserve"> eine kleinere Betapower aufweisen.</w:t>
      </w:r>
      <w:r w:rsidR="008108A7">
        <w:t xml:space="preserve"> </w:t>
      </w:r>
    </w:p>
    <w:p w:rsidR="008A6E05" w:rsidRDefault="008A6E05">
      <w:r>
        <w:t xml:space="preserve">Wenn </w:t>
      </w:r>
      <w:r w:rsidR="008108A7">
        <w:t>der FOOOF</w:t>
      </w:r>
      <w:r w:rsidR="00E17D48">
        <w:t>-Algorithmus</w:t>
      </w:r>
      <w:r w:rsidR="008108A7">
        <w:t xml:space="preserve"> angewendet wird und die Kanäle, die wir aussorti</w:t>
      </w:r>
      <w:r w:rsidR="00503B13">
        <w:t>ert haben, diesmal drin bleiben. Damit bekommen wir</w:t>
      </w:r>
      <w:r w:rsidR="008108A7">
        <w:t xml:space="preserve"> einen Eindru</w:t>
      </w:r>
      <w:r w:rsidR="00503B13">
        <w:t>ck dafür</w:t>
      </w:r>
      <w:r w:rsidR="008108A7">
        <w:t>, ob der gleiche Effekt auch d</w:t>
      </w:r>
      <w:r w:rsidR="00503B13">
        <w:t xml:space="preserve">ann noch </w:t>
      </w:r>
      <w:r w:rsidR="00503B13">
        <w:lastRenderedPageBreak/>
        <w:t>gefunden werden könnte, wenn dieselben Kanäle genutzt werden wie die, die beim originalen Spektrum genutzt wurden, der FOOOF</w:t>
      </w:r>
      <w:r w:rsidR="00E17D48">
        <w:t>-Algorithmus</w:t>
      </w:r>
      <w:r w:rsidR="00503B13">
        <w:t xml:space="preserve"> aber trotzdem angewendet wird.</w:t>
      </w:r>
      <w:r w:rsidR="0026647E">
        <w:t xml:space="preserve"> </w:t>
      </w:r>
      <w:r w:rsidR="00CE73A8">
        <w:t xml:space="preserve">Wie in der </w:t>
      </w:r>
      <w:r w:rsidR="00450CBA">
        <w:t>Abbildung 17</w:t>
      </w:r>
      <w:r w:rsidR="008072CF">
        <w:t xml:space="preserve"> zu sehen ist zeigt der Unterschied</w:t>
      </w:r>
      <w:r w:rsidR="0026647E">
        <w:t xml:space="preserve"> zwischen</w:t>
      </w:r>
      <w:r>
        <w:t xml:space="preserve"> den Mitt</w:t>
      </w:r>
      <w:r w:rsidR="008072CF">
        <w:t>elwerten</w:t>
      </w:r>
      <w:r w:rsidR="0026647E">
        <w:t xml:space="preserve"> der Position der E</w:t>
      </w:r>
      <w:r w:rsidR="008072CF">
        <w:t>lektrode und der Betapower diesmal</w:t>
      </w:r>
      <w:r w:rsidR="0026647E">
        <w:t xml:space="preserve"> in die erwartete Richtung, ist aber deutlich kleiner geworden, nachdem </w:t>
      </w:r>
      <w:r w:rsidR="006E732E">
        <w:t xml:space="preserve">die geschätzte aperiodische Komponente vom originalen Powerspektrum abgezogen wurde. </w:t>
      </w:r>
      <w:r w:rsidR="00124FD4">
        <w:t>Dies spricht dafür, dass der</w:t>
      </w:r>
      <w:r w:rsidR="006E732E">
        <w:t xml:space="preserve"> FOOOF-Algorithmus durch einen systematischen Fehler</w:t>
      </w:r>
      <w:r w:rsidR="004000B0">
        <w:t xml:space="preserve"> die Betapower, die in Abhängigkeit von der Betapower innerhalb der jeweiligen Patient*innen z-standardisiert wurde, in der Bedingung „nah“ kleiner gemacht hat in Relation zu der Bedingung „fern“.</w:t>
      </w:r>
      <w:r w:rsidR="006E072C">
        <w:t xml:space="preserve"> </w:t>
      </w:r>
    </w:p>
    <w:p w:rsidR="005F71FB" w:rsidRDefault="006E072C">
      <w:r>
        <w:t>Daher wurde</w:t>
      </w:r>
      <w:r w:rsidR="004000B0">
        <w:t>n zwei</w:t>
      </w:r>
      <w:r>
        <w:t xml:space="preserve"> weitere Abbildung</w:t>
      </w:r>
      <w:r w:rsidR="004000B0">
        <w:t>en</w:t>
      </w:r>
      <w:r w:rsidR="00483437">
        <w:t xml:space="preserve"> erstellt, in denen die 30 Datensätze in der Bedingung „nah“ und in der Bedingung „fern“ dargestellt werden.</w:t>
      </w:r>
      <w:r>
        <w:t xml:space="preserve"> In </w:t>
      </w:r>
      <w:r w:rsidR="004000B0">
        <w:t xml:space="preserve">den </w:t>
      </w:r>
      <w:r>
        <w:t>Abbildung</w:t>
      </w:r>
      <w:r w:rsidR="004000B0">
        <w:t>en</w:t>
      </w:r>
      <w:r w:rsidR="00345E7A">
        <w:t xml:space="preserve"> 18</w:t>
      </w:r>
      <w:r>
        <w:t xml:space="preserve"> </w:t>
      </w:r>
      <w:r w:rsidR="00345E7A">
        <w:t>und 19</w:t>
      </w:r>
      <w:bookmarkStart w:id="0" w:name="_GoBack"/>
      <w:bookmarkEnd w:id="0"/>
      <w:r w:rsidR="004000B0">
        <w:t xml:space="preserve"> </w:t>
      </w:r>
      <w:r>
        <w:t>werden dabei das originale Powerspektrum und die geschätzte aperiodische Komponente der</w:t>
      </w:r>
      <w:r w:rsidR="00483437">
        <w:t xml:space="preserve"> </w:t>
      </w:r>
      <w:r>
        <w:t xml:space="preserve">Kanäle </w:t>
      </w:r>
      <w:r w:rsidR="00483437">
        <w:t>gezeigt, die</w:t>
      </w:r>
      <w:r>
        <w:t xml:space="preserve"> ausgewählt werden, wenn vorher nicht die Kanäle entfernt werden, die eine schlechte Passung haben. Es wird deutlich, dass in diesen spezifischen Kanälen, die für den Vergleich mittels </w:t>
      </w:r>
      <w:r w:rsidRPr="006E072C">
        <w:rPr>
          <w:i/>
        </w:rPr>
        <w:t>t</w:t>
      </w:r>
      <w:r w:rsidR="00541C3B">
        <w:t>-T</w:t>
      </w:r>
      <w:r>
        <w:t>est ausgewählt wurden</w:t>
      </w:r>
      <w:r w:rsidR="004000B0">
        <w:t>, insbesondere in der Bedingung „nah“ durch eine schlechte Passung zwischen dem originalen Powerspektrum und der geschätzten aperiodischen Komponente</w:t>
      </w:r>
      <w:r w:rsidR="005643EF">
        <w:t xml:space="preserve"> die aperiodische Komponente die Betapower „abgeschnitten“ hat. Da in der Bedingung „fern“ in der Regel keine größeren Peaks in der Power des Betabands existieren, wurde dort weniger Betapower „abgeschnitten“, sodass der Abstand zwischen der Betapower in der Bedingung „nah“ und der Bedingung „fern“ kleiner wurde. Daraus lässt sich schließen, dass die aperiodische Komponente oft nicht so berechnet wurde, wie es der tatsächlichen aperiodischen Komponente vermutlich entsprechen würde. Die Untersuchungen, die durchgeführt worden sind, um den Zusammenhang zwischen der aperiodischen Komponente und de</w:t>
      </w:r>
      <w:r w:rsidR="00B86607">
        <w:t xml:space="preserve">r Position der Elektrode zu überprüfen, sind daher wenig aussagekräftig. In zukünftiger Forschung sollte dieser Frage erneut nachgegangen werden, nur mit einem besser funktionierenden FOOOF-Algorithmus. </w:t>
      </w:r>
    </w:p>
    <w:p w:rsidR="006E732E" w:rsidRDefault="006E732E"/>
    <w:p w:rsidR="00BD0535" w:rsidRPr="00DF6E10" w:rsidRDefault="00BD0535">
      <w:r w:rsidRPr="00DF6E10">
        <w:br w:type="page"/>
      </w:r>
    </w:p>
    <w:p w:rsidR="00F9011C" w:rsidRPr="001C57BB" w:rsidRDefault="00BD0535" w:rsidP="00F9011C">
      <w:pPr>
        <w:rPr>
          <w:lang w:val="en-US"/>
        </w:rPr>
      </w:pPr>
      <w:r w:rsidRPr="001C57BB">
        <w:rPr>
          <w:lang w:val="en-US"/>
        </w:rPr>
        <w:lastRenderedPageBreak/>
        <w:t xml:space="preserve">5. </w:t>
      </w:r>
      <w:proofErr w:type="spellStart"/>
      <w:r w:rsidRPr="001C57BB">
        <w:rPr>
          <w:lang w:val="en-US"/>
        </w:rPr>
        <w:t>Literatur</w:t>
      </w:r>
      <w:proofErr w:type="spellEnd"/>
      <w:r w:rsidRPr="001C57BB">
        <w:rPr>
          <w:lang w:val="en-US"/>
        </w:rPr>
        <w:t xml:space="preserve"> </w:t>
      </w:r>
    </w:p>
    <w:p w:rsidR="001C4B5E" w:rsidRPr="001C4B5E" w:rsidRDefault="00D26C2C" w:rsidP="001C4B5E">
      <w:pPr>
        <w:pStyle w:val="Literaturverzeichnis"/>
        <w:rPr>
          <w:lang w:val="en-US"/>
        </w:rPr>
      </w:pPr>
      <w:r>
        <w:rPr>
          <w:lang w:val="en-US"/>
        </w:rPr>
        <w:fldChar w:fldCharType="begin"/>
      </w:r>
      <w:r w:rsidR="00D556BB">
        <w:rPr>
          <w:lang w:val="en-US"/>
        </w:rPr>
        <w:instrText xml:space="preserve"> ADDIN ZOTERO_BIBL {"uncited":[],"omitted":[],"custom":[]} CSL_BIBLIOGRAPHY </w:instrText>
      </w:r>
      <w:r>
        <w:rPr>
          <w:lang w:val="en-US"/>
        </w:rPr>
        <w:fldChar w:fldCharType="separate"/>
      </w:r>
      <w:r w:rsidR="001C4B5E" w:rsidRPr="001C4B5E">
        <w:rPr>
          <w:lang w:val="en-US"/>
        </w:rPr>
        <w:t xml:space="preserve">Abosch, A., Timmermann, L., Bartley, S., Rietkerk, H. G., Whiting, D., Connolly, P. J., Lanctin, D., &amp; Hariz, M. I. (2013). An International Survey of Deep Brain Stimulation Procedural Steps. </w:t>
      </w:r>
      <w:r w:rsidR="001C4B5E" w:rsidRPr="001C4B5E">
        <w:rPr>
          <w:i/>
          <w:iCs/>
          <w:lang w:val="en-US"/>
        </w:rPr>
        <w:t>Stereotactic and Functional Neurosurgery</w:t>
      </w:r>
      <w:r w:rsidR="001C4B5E" w:rsidRPr="001C4B5E">
        <w:rPr>
          <w:lang w:val="en-US"/>
        </w:rPr>
        <w:t xml:space="preserve">, </w:t>
      </w:r>
      <w:r w:rsidR="001C4B5E" w:rsidRPr="001C4B5E">
        <w:rPr>
          <w:i/>
          <w:iCs/>
          <w:lang w:val="en-US"/>
        </w:rPr>
        <w:t>91</w:t>
      </w:r>
      <w:r w:rsidR="001C4B5E" w:rsidRPr="001C4B5E">
        <w:rPr>
          <w:lang w:val="en-US"/>
        </w:rPr>
        <w:t>(1), 1–11. https://doi.org/10.1159/000343207</w:t>
      </w:r>
    </w:p>
    <w:p w:rsidR="001C4B5E" w:rsidRPr="001C4B5E" w:rsidRDefault="001C4B5E" w:rsidP="001C4B5E">
      <w:pPr>
        <w:pStyle w:val="Literaturverzeichnis"/>
        <w:rPr>
          <w:lang w:val="en-US"/>
        </w:rPr>
      </w:pPr>
      <w:r w:rsidRPr="001C4B5E">
        <w:rPr>
          <w:lang w:val="en-US"/>
        </w:rPr>
        <w:t xml:space="preserve">Balestrino, R., &amp; Schapira, A. H. V. (2020). Parkinson disease. </w:t>
      </w:r>
      <w:r w:rsidRPr="001C4B5E">
        <w:rPr>
          <w:i/>
          <w:iCs/>
          <w:lang w:val="en-US"/>
        </w:rPr>
        <w:t>European Journal of Neurology</w:t>
      </w:r>
      <w:r w:rsidRPr="001C4B5E">
        <w:rPr>
          <w:lang w:val="en-US"/>
        </w:rPr>
        <w:t xml:space="preserve">, </w:t>
      </w:r>
      <w:r w:rsidRPr="001C4B5E">
        <w:rPr>
          <w:i/>
          <w:iCs/>
          <w:lang w:val="en-US"/>
        </w:rPr>
        <w:t>27</w:t>
      </w:r>
      <w:r w:rsidRPr="001C4B5E">
        <w:rPr>
          <w:lang w:val="en-US"/>
        </w:rPr>
        <w:t>(1), 27–42. https://doi.org/10.1111/ene.14108</w:t>
      </w:r>
    </w:p>
    <w:p w:rsidR="001C4B5E" w:rsidRPr="001C4B5E" w:rsidRDefault="001C4B5E" w:rsidP="001C4B5E">
      <w:pPr>
        <w:pStyle w:val="Literaturverzeichnis"/>
        <w:rPr>
          <w:lang w:val="en-US"/>
        </w:rPr>
      </w:pPr>
      <w:r>
        <w:t xml:space="preserve">Bates, D., Mächler, M., Bolker, B., &amp; Walker, S. (2015). </w:t>
      </w:r>
      <w:r w:rsidRPr="001C4B5E">
        <w:rPr>
          <w:lang w:val="en-US"/>
        </w:rPr>
        <w:t xml:space="preserve">Fitting Linear Mixed-Effects Models Using </w:t>
      </w:r>
      <w:r w:rsidRPr="001C4B5E">
        <w:rPr>
          <w:b/>
          <w:bCs/>
          <w:lang w:val="en-US"/>
        </w:rPr>
        <w:t>lme4</w:t>
      </w:r>
      <w:r w:rsidRPr="001C4B5E">
        <w:rPr>
          <w:lang w:val="en-US"/>
        </w:rPr>
        <w:t xml:space="preserve">. </w:t>
      </w:r>
      <w:r w:rsidRPr="001C4B5E">
        <w:rPr>
          <w:i/>
          <w:iCs/>
          <w:lang w:val="en-US"/>
        </w:rPr>
        <w:t>Journal of Statistical Software</w:t>
      </w:r>
      <w:r w:rsidRPr="001C4B5E">
        <w:rPr>
          <w:lang w:val="en-US"/>
        </w:rPr>
        <w:t xml:space="preserve">, </w:t>
      </w:r>
      <w:r w:rsidRPr="001C4B5E">
        <w:rPr>
          <w:i/>
          <w:iCs/>
          <w:lang w:val="en-US"/>
        </w:rPr>
        <w:t>67</w:t>
      </w:r>
      <w:r w:rsidRPr="001C4B5E">
        <w:rPr>
          <w:lang w:val="en-US"/>
        </w:rPr>
        <w:t>(1). https://doi.org/10.18637/jss.v067.i01</w:t>
      </w:r>
    </w:p>
    <w:p w:rsidR="001C4B5E" w:rsidRDefault="001C4B5E" w:rsidP="001C4B5E">
      <w:pPr>
        <w:pStyle w:val="Literaturverzeichnis"/>
      </w:pPr>
      <w:r w:rsidRPr="001C4B5E">
        <w:rPr>
          <w:lang w:val="en-US"/>
        </w:rPr>
        <w:t xml:space="preserve">Benabid, A. L., Chabardes, S., Mitrofanis, J., &amp; Pollak, P. (2009). </w:t>
      </w:r>
      <w:r w:rsidRPr="001C4B5E">
        <w:rPr>
          <w:i/>
          <w:iCs/>
          <w:lang w:val="en-US"/>
        </w:rPr>
        <w:t>Deep brain stimulation of the subthalamic nucleus for the treatment of Parkinson’s disease</w:t>
      </w:r>
      <w:r w:rsidRPr="001C4B5E">
        <w:rPr>
          <w:lang w:val="en-US"/>
        </w:rPr>
        <w:t xml:space="preserve">. </w:t>
      </w:r>
      <w:r>
        <w:rPr>
          <w:i/>
          <w:iCs/>
        </w:rPr>
        <w:t>8</w:t>
      </w:r>
      <w:r>
        <w:t>, 15.</w:t>
      </w:r>
    </w:p>
    <w:p w:rsidR="001C4B5E" w:rsidRPr="001C4B5E" w:rsidRDefault="001C4B5E" w:rsidP="001C4B5E">
      <w:pPr>
        <w:pStyle w:val="Literaturverzeichnis"/>
        <w:rPr>
          <w:lang w:val="en-US"/>
        </w:rPr>
      </w:pPr>
      <w:r>
        <w:t xml:space="preserve">Bloem, B. R., Okun, M. S., &amp; Klein, C. (2021). Parkinson’s disease. </w:t>
      </w:r>
      <w:r w:rsidRPr="001C4B5E">
        <w:rPr>
          <w:i/>
          <w:iCs/>
          <w:lang w:val="en-US"/>
        </w:rPr>
        <w:t>The Lancet</w:t>
      </w:r>
      <w:r w:rsidRPr="001C4B5E">
        <w:rPr>
          <w:lang w:val="en-US"/>
        </w:rPr>
        <w:t xml:space="preserve">, </w:t>
      </w:r>
      <w:r w:rsidRPr="001C4B5E">
        <w:rPr>
          <w:i/>
          <w:iCs/>
          <w:lang w:val="en-US"/>
        </w:rPr>
        <w:t>397</w:t>
      </w:r>
      <w:r w:rsidRPr="001C4B5E">
        <w:rPr>
          <w:lang w:val="en-US"/>
        </w:rPr>
        <w:t>(10291), 2284–2303. https://doi.org/10.1016/S0140-6736(21)00218-X</w:t>
      </w:r>
    </w:p>
    <w:p w:rsidR="001C4B5E" w:rsidRPr="001C4B5E" w:rsidRDefault="001C4B5E" w:rsidP="001C4B5E">
      <w:pPr>
        <w:pStyle w:val="Literaturverzeichnis"/>
        <w:rPr>
          <w:lang w:val="en-US"/>
        </w:rPr>
      </w:pPr>
      <w:r w:rsidRPr="001C4B5E">
        <w:rPr>
          <w:lang w:val="en-US"/>
        </w:rPr>
        <w:t xml:space="preserve">Bologna, M., Guerra, A., Paparella, G., Giordo, L., Alunni Fegatelli, D., Vestri, A. R., Rothwell, J. C., &amp; Berardelli, A. (2018). Neurophysiological correlates of bradykinesia in Parkinson’s disease. </w:t>
      </w:r>
      <w:r w:rsidRPr="001C4B5E">
        <w:rPr>
          <w:i/>
          <w:iCs/>
          <w:lang w:val="en-US"/>
        </w:rPr>
        <w:t>Brain</w:t>
      </w:r>
      <w:r w:rsidRPr="001C4B5E">
        <w:rPr>
          <w:lang w:val="en-US"/>
        </w:rPr>
        <w:t xml:space="preserve">, </w:t>
      </w:r>
      <w:r w:rsidRPr="001C4B5E">
        <w:rPr>
          <w:i/>
          <w:iCs/>
          <w:lang w:val="en-US"/>
        </w:rPr>
        <w:t>141</w:t>
      </w:r>
      <w:r w:rsidRPr="001C4B5E">
        <w:rPr>
          <w:lang w:val="en-US"/>
        </w:rPr>
        <w:t>(8), 2432–2444. https://doi.org/10.1093/brain/awy155</w:t>
      </w:r>
    </w:p>
    <w:p w:rsidR="001C4B5E" w:rsidRPr="001C4B5E" w:rsidRDefault="001C4B5E" w:rsidP="001C4B5E">
      <w:pPr>
        <w:pStyle w:val="Literaturverzeichnis"/>
        <w:rPr>
          <w:lang w:val="en-US"/>
        </w:rPr>
      </w:pPr>
      <w:r>
        <w:t xml:space="preserve">Chaudhuri, K. R., &amp; Naidu, Y. (2008). </w:t>
      </w:r>
      <w:r w:rsidRPr="001C4B5E">
        <w:rPr>
          <w:lang w:val="en-US"/>
        </w:rPr>
        <w:t xml:space="preserve">Early Parkinson’s disease and non-motor issues. </w:t>
      </w:r>
      <w:r w:rsidRPr="001C4B5E">
        <w:rPr>
          <w:i/>
          <w:iCs/>
          <w:lang w:val="en-US"/>
        </w:rPr>
        <w:t>Journal of Neurology</w:t>
      </w:r>
      <w:r w:rsidRPr="001C4B5E">
        <w:rPr>
          <w:lang w:val="en-US"/>
        </w:rPr>
        <w:t xml:space="preserve">, </w:t>
      </w:r>
      <w:r w:rsidRPr="001C4B5E">
        <w:rPr>
          <w:i/>
          <w:iCs/>
          <w:lang w:val="en-US"/>
        </w:rPr>
        <w:t>255</w:t>
      </w:r>
      <w:r w:rsidRPr="001C4B5E">
        <w:rPr>
          <w:lang w:val="en-US"/>
        </w:rPr>
        <w:t>(S5), 33–38. https://doi.org/10.1007/s00415-008-5006-1</w:t>
      </w:r>
    </w:p>
    <w:p w:rsidR="001C4B5E" w:rsidRPr="001C4B5E" w:rsidRDefault="001C4B5E" w:rsidP="001C4B5E">
      <w:pPr>
        <w:pStyle w:val="Literaturverzeichnis"/>
        <w:rPr>
          <w:lang w:val="en-US"/>
        </w:rPr>
      </w:pPr>
      <w:r w:rsidRPr="001C4B5E">
        <w:rPr>
          <w:lang w:val="en-US"/>
        </w:rPr>
        <w:t xml:space="preserve">Chaudhuri, K. R., Prieto-Jurcynska, C., Naidu, Y., Mitra, T., Frades-Payo, B., Tluk, S., Ruessmann, A., Odin, P., Macphee, G., Stocchi, F., Ondo, W., Sethi, K., Schapira, A. H. V., Castrillo, J. C. M., &amp; Martinez-Martin, P. (2010). The nondeclaration of nonmotor symptoms of Parkinson’s disease to health care professionals: An international study using the nonmotor symptoms questionnaire. </w:t>
      </w:r>
      <w:r w:rsidRPr="001C4B5E">
        <w:rPr>
          <w:i/>
          <w:iCs/>
          <w:lang w:val="en-US"/>
        </w:rPr>
        <w:t>Movement Disorders</w:t>
      </w:r>
      <w:r w:rsidRPr="001C4B5E">
        <w:rPr>
          <w:lang w:val="en-US"/>
        </w:rPr>
        <w:t xml:space="preserve">, </w:t>
      </w:r>
      <w:r w:rsidRPr="001C4B5E">
        <w:rPr>
          <w:i/>
          <w:iCs/>
          <w:lang w:val="en-US"/>
        </w:rPr>
        <w:t>25</w:t>
      </w:r>
      <w:r w:rsidRPr="001C4B5E">
        <w:rPr>
          <w:lang w:val="en-US"/>
        </w:rPr>
        <w:t>(6), 704–709. https://doi.org/10.1002/mds.22868</w:t>
      </w:r>
    </w:p>
    <w:p w:rsidR="001C4B5E" w:rsidRPr="001C4B5E" w:rsidRDefault="001C4B5E" w:rsidP="001C4B5E">
      <w:pPr>
        <w:pStyle w:val="Literaturverzeichnis"/>
        <w:rPr>
          <w:lang w:val="en-US"/>
        </w:rPr>
      </w:pPr>
      <w:r w:rsidRPr="001C4B5E">
        <w:rPr>
          <w:lang w:val="en-US"/>
        </w:rPr>
        <w:t xml:space="preserve">Chaudhuri, K. R., &amp; Schapira, A. H. (2009). Non-motor symptoms of Parkinson’s disease: Dopaminergic pathophysiology and treatment. </w:t>
      </w:r>
      <w:r w:rsidRPr="001C4B5E">
        <w:rPr>
          <w:i/>
          <w:iCs/>
          <w:lang w:val="en-US"/>
        </w:rPr>
        <w:t>The Lancet Neurology</w:t>
      </w:r>
      <w:r w:rsidRPr="001C4B5E">
        <w:rPr>
          <w:lang w:val="en-US"/>
        </w:rPr>
        <w:t xml:space="preserve">, </w:t>
      </w:r>
      <w:r w:rsidRPr="001C4B5E">
        <w:rPr>
          <w:i/>
          <w:iCs/>
          <w:lang w:val="en-US"/>
        </w:rPr>
        <w:t>8</w:t>
      </w:r>
      <w:r w:rsidRPr="001C4B5E">
        <w:rPr>
          <w:lang w:val="en-US"/>
        </w:rPr>
        <w:t>(5), 464–474. https://doi.org/10.1016/S1474-4422(09)70068-7</w:t>
      </w:r>
    </w:p>
    <w:p w:rsidR="001C4B5E" w:rsidRPr="001C4B5E" w:rsidRDefault="001C4B5E" w:rsidP="001C4B5E">
      <w:pPr>
        <w:pStyle w:val="Literaturverzeichnis"/>
        <w:rPr>
          <w:lang w:val="en-US"/>
        </w:rPr>
      </w:pPr>
      <w:r w:rsidRPr="001C4B5E">
        <w:rPr>
          <w:lang w:val="en-US"/>
        </w:rPr>
        <w:t xml:space="preserve">Cohen, M. X. (2020). </w:t>
      </w:r>
      <w:r w:rsidRPr="001C4B5E">
        <w:rPr>
          <w:i/>
          <w:iCs/>
          <w:lang w:val="en-US"/>
        </w:rPr>
        <w:t>A data-driven method to identify frequency boundaries in multichannel electrophysiology data</w:t>
      </w:r>
      <w:r w:rsidRPr="001C4B5E">
        <w:rPr>
          <w:lang w:val="en-US"/>
        </w:rPr>
        <w:t xml:space="preserve"> [Preprint]. Neuroscience. https://doi.org/10.1101/2020.07.09.195784</w:t>
      </w:r>
    </w:p>
    <w:p w:rsidR="001C4B5E" w:rsidRPr="001C4B5E" w:rsidRDefault="001C4B5E" w:rsidP="001C4B5E">
      <w:pPr>
        <w:pStyle w:val="Literaturverzeichnis"/>
        <w:rPr>
          <w:lang w:val="en-US"/>
        </w:rPr>
      </w:pPr>
      <w:r w:rsidRPr="001C4B5E">
        <w:rPr>
          <w:lang w:val="en-US"/>
        </w:rPr>
        <w:lastRenderedPageBreak/>
        <w:t xml:space="preserve">Cole, S. R., van der Meij, R., Peterson, E. J., de Hemptinne, C., Starr, P. A., &amp; Voytek, B. (2017). Nonsinusoidal Beta Oscillations Reflect Cortical Pathophysiology in Parkinson’s Disease. </w:t>
      </w:r>
      <w:r w:rsidRPr="001C4B5E">
        <w:rPr>
          <w:i/>
          <w:iCs/>
          <w:lang w:val="en-US"/>
        </w:rPr>
        <w:t>The Journal of Neuroscience</w:t>
      </w:r>
      <w:r w:rsidRPr="001C4B5E">
        <w:rPr>
          <w:lang w:val="en-US"/>
        </w:rPr>
        <w:t xml:space="preserve">, </w:t>
      </w:r>
      <w:r w:rsidRPr="001C4B5E">
        <w:rPr>
          <w:i/>
          <w:iCs/>
          <w:lang w:val="en-US"/>
        </w:rPr>
        <w:t>37</w:t>
      </w:r>
      <w:r w:rsidRPr="001C4B5E">
        <w:rPr>
          <w:lang w:val="en-US"/>
        </w:rPr>
        <w:t>(18), 4830–4840. https://doi.org/10.1523/JNEUROSCI.2208-16.2017</w:t>
      </w:r>
    </w:p>
    <w:p w:rsidR="001C4B5E" w:rsidRDefault="001C4B5E" w:rsidP="001C4B5E">
      <w:pPr>
        <w:pStyle w:val="Literaturverzeichnis"/>
      </w:pPr>
      <w:r w:rsidRPr="001C4B5E">
        <w:rPr>
          <w:lang w:val="en-US"/>
        </w:rPr>
        <w:t xml:space="preserve">Cooper, J. A., Sagar, H. J., Tidswell, P., &amp; Jordan, N. (1994). Slowed central processing in simple and go/no-go reaction time tasks in Parkinson’s disease. </w:t>
      </w:r>
      <w:r>
        <w:rPr>
          <w:i/>
          <w:iCs/>
        </w:rPr>
        <w:t>Brain</w:t>
      </w:r>
      <w:r>
        <w:t xml:space="preserve">, </w:t>
      </w:r>
      <w:r>
        <w:rPr>
          <w:i/>
          <w:iCs/>
        </w:rPr>
        <w:t>117</w:t>
      </w:r>
      <w:r>
        <w:t>(3), 517–529. https://doi.org/10.1093/brain/117.3.517</w:t>
      </w:r>
    </w:p>
    <w:p w:rsidR="001C4B5E" w:rsidRPr="001C4B5E" w:rsidRDefault="001C4B5E" w:rsidP="001C4B5E">
      <w:pPr>
        <w:pStyle w:val="Literaturverzeichnis"/>
        <w:rPr>
          <w:lang w:val="en-US"/>
        </w:rPr>
      </w:pPr>
      <w:r>
        <w:t xml:space="preserve">Dembek, T. A., Roediger, J., Horn, A., Reker, P., Oehrn, C., Dafsari, H. S., Li, N., Kühn, A. A., Fink, G. R., Visser‐Vandewalle, V., Barbe, M. T., &amp; Timmermann, L. (2019). </w:t>
      </w:r>
      <w:r w:rsidRPr="001C4B5E">
        <w:rPr>
          <w:lang w:val="en-US"/>
        </w:rPr>
        <w:t xml:space="preserve">Probabilistic sweet spots predict motor outcome for deep brain stimulation in Parkinson disease. </w:t>
      </w:r>
      <w:r w:rsidRPr="001C4B5E">
        <w:rPr>
          <w:i/>
          <w:iCs/>
          <w:lang w:val="en-US"/>
        </w:rPr>
        <w:t>Annals of Neurology</w:t>
      </w:r>
      <w:r w:rsidRPr="001C4B5E">
        <w:rPr>
          <w:lang w:val="en-US"/>
        </w:rPr>
        <w:t xml:space="preserve">, </w:t>
      </w:r>
      <w:r w:rsidRPr="001C4B5E">
        <w:rPr>
          <w:i/>
          <w:iCs/>
          <w:lang w:val="en-US"/>
        </w:rPr>
        <w:t>86</w:t>
      </w:r>
      <w:r w:rsidRPr="001C4B5E">
        <w:rPr>
          <w:lang w:val="en-US"/>
        </w:rPr>
        <w:t>(4), 527–538. https://doi.org/10.1002/ana.25567</w:t>
      </w:r>
    </w:p>
    <w:p w:rsidR="001C4B5E" w:rsidRPr="001C4B5E" w:rsidRDefault="001C4B5E" w:rsidP="001C4B5E">
      <w:pPr>
        <w:pStyle w:val="Literaturverzeichnis"/>
        <w:rPr>
          <w:lang w:val="en-US"/>
        </w:rPr>
      </w:pPr>
      <w:r w:rsidRPr="001C4B5E">
        <w:rPr>
          <w:lang w:val="en-US"/>
        </w:rPr>
        <w:t xml:space="preserve">Deuschl, G., &amp; Agid, Y. (2013). Subthalamic neurostimulation for Parkinson’s disease with early fluctuations: Balancing the risks and benefits. </w:t>
      </w:r>
      <w:r w:rsidRPr="001C4B5E">
        <w:rPr>
          <w:i/>
          <w:iCs/>
          <w:lang w:val="en-US"/>
        </w:rPr>
        <w:t>The Lancet Neurology</w:t>
      </w:r>
      <w:r w:rsidRPr="001C4B5E">
        <w:rPr>
          <w:lang w:val="en-US"/>
        </w:rPr>
        <w:t xml:space="preserve">, </w:t>
      </w:r>
      <w:r w:rsidRPr="001C4B5E">
        <w:rPr>
          <w:i/>
          <w:iCs/>
          <w:lang w:val="en-US"/>
        </w:rPr>
        <w:t>12</w:t>
      </w:r>
      <w:r w:rsidRPr="001C4B5E">
        <w:rPr>
          <w:lang w:val="en-US"/>
        </w:rPr>
        <w:t>(10), 1025–1034. https://doi.org/10.1016/S1474-4422(13)70151-0</w:t>
      </w:r>
    </w:p>
    <w:p w:rsidR="001C4B5E" w:rsidRPr="001C4B5E" w:rsidRDefault="001C4B5E" w:rsidP="001C4B5E">
      <w:pPr>
        <w:pStyle w:val="Literaturverzeichnis"/>
        <w:rPr>
          <w:lang w:val="en-US"/>
        </w:rPr>
      </w:pPr>
      <w:r w:rsidRPr="001C4B5E">
        <w:rPr>
          <w:lang w:val="en-US"/>
        </w:rPr>
        <w:t xml:space="preserve">Donoghue, T., Haller, M., Peterson, E. J., Varma, P., Sebastian, P., Gao, R., Noto, T., Lara, A. H., Wallis, J. D., Knight, R. T., Shestyuk, A., &amp; Voytek, B. (2020). Parameterizing neural power spectra into periodic and aperiodic components. </w:t>
      </w:r>
      <w:r w:rsidRPr="001C4B5E">
        <w:rPr>
          <w:i/>
          <w:iCs/>
          <w:lang w:val="en-US"/>
        </w:rPr>
        <w:t>Nature Neuroscience</w:t>
      </w:r>
      <w:r w:rsidRPr="001C4B5E">
        <w:rPr>
          <w:lang w:val="en-US"/>
        </w:rPr>
        <w:t xml:space="preserve">, </w:t>
      </w:r>
      <w:r w:rsidRPr="001C4B5E">
        <w:rPr>
          <w:i/>
          <w:iCs/>
          <w:lang w:val="en-US"/>
        </w:rPr>
        <w:t>23</w:t>
      </w:r>
      <w:r w:rsidRPr="001C4B5E">
        <w:rPr>
          <w:lang w:val="en-US"/>
        </w:rPr>
        <w:t>(12), 1655–1665. https://doi.org/10.1038/s41593-020-00744-x</w:t>
      </w:r>
    </w:p>
    <w:p w:rsidR="001C4B5E" w:rsidRPr="001C4B5E" w:rsidRDefault="001C4B5E" w:rsidP="001C4B5E">
      <w:pPr>
        <w:pStyle w:val="Literaturverzeichnis"/>
        <w:rPr>
          <w:lang w:val="en-US"/>
        </w:rPr>
      </w:pPr>
      <w:r w:rsidRPr="001C4B5E">
        <w:rPr>
          <w:lang w:val="en-US"/>
        </w:rPr>
        <w:t xml:space="preserve">Dorsey, E. R., Elbaz, A., Nichols, E., Abbasi, N., Abd-Allah, F., Abdelalim, A., Adsuar, J. C., Ansha, M. G., Brayne, C., Choi, J.-Y. J., Collado-Mateo, D., Dahodwala, N., Do, H. P., Edessa, D., Endres, M., Fereshtehnejad, S.-M., Foreman, K. J., Gankpe, F. G., Gupta, R., … Murray, C. J. L. (2018). Global, regional, and national burden of Parkinson’s disease, 1990–2016: A systematic analysis for the Global Burden of Disease Study 2016. </w:t>
      </w:r>
      <w:r w:rsidRPr="001C4B5E">
        <w:rPr>
          <w:i/>
          <w:iCs/>
          <w:lang w:val="en-US"/>
        </w:rPr>
        <w:t>The Lancet Neurology</w:t>
      </w:r>
      <w:r w:rsidRPr="001C4B5E">
        <w:rPr>
          <w:lang w:val="en-US"/>
        </w:rPr>
        <w:t xml:space="preserve">, </w:t>
      </w:r>
      <w:r w:rsidRPr="001C4B5E">
        <w:rPr>
          <w:i/>
          <w:iCs/>
          <w:lang w:val="en-US"/>
        </w:rPr>
        <w:t>17</w:t>
      </w:r>
      <w:r w:rsidRPr="001C4B5E">
        <w:rPr>
          <w:lang w:val="en-US"/>
        </w:rPr>
        <w:t>(11), 939–953. https://doi.org/10.1016/S1474-4422(18)30295-3</w:t>
      </w:r>
    </w:p>
    <w:p w:rsidR="001C4B5E" w:rsidRPr="001C4B5E" w:rsidRDefault="001C4B5E" w:rsidP="001C4B5E">
      <w:pPr>
        <w:pStyle w:val="Literaturverzeichnis"/>
        <w:rPr>
          <w:lang w:val="en-US"/>
        </w:rPr>
      </w:pPr>
      <w:r w:rsidRPr="001C4B5E">
        <w:rPr>
          <w:lang w:val="en-US"/>
        </w:rPr>
        <w:t xml:space="preserve">Dorsey, E. R., Sherer, T., Okun, M. S., &amp; Bloem, B. R. (2018). The Emerging Evidence of the Parkinson Pandemic. </w:t>
      </w:r>
      <w:r w:rsidRPr="001C4B5E">
        <w:rPr>
          <w:i/>
          <w:iCs/>
          <w:lang w:val="en-US"/>
        </w:rPr>
        <w:t>Journal of Parkinson’s Disease</w:t>
      </w:r>
      <w:r w:rsidRPr="001C4B5E">
        <w:rPr>
          <w:lang w:val="en-US"/>
        </w:rPr>
        <w:t xml:space="preserve">, </w:t>
      </w:r>
      <w:r w:rsidRPr="001C4B5E">
        <w:rPr>
          <w:i/>
          <w:iCs/>
          <w:lang w:val="en-US"/>
        </w:rPr>
        <w:t>8</w:t>
      </w:r>
      <w:r w:rsidRPr="001C4B5E">
        <w:rPr>
          <w:lang w:val="en-US"/>
        </w:rPr>
        <w:t>(s1), S3–S8. https://doi.org/10.3233/JPD-181474</w:t>
      </w:r>
    </w:p>
    <w:p w:rsidR="001C4B5E" w:rsidRPr="001C4B5E" w:rsidRDefault="001C4B5E" w:rsidP="001C4B5E">
      <w:pPr>
        <w:pStyle w:val="Literaturverzeichnis"/>
        <w:rPr>
          <w:lang w:val="en-US"/>
        </w:rPr>
      </w:pPr>
      <w:r w:rsidRPr="001C4B5E">
        <w:rPr>
          <w:lang w:val="en-US"/>
        </w:rPr>
        <w:lastRenderedPageBreak/>
        <w:t xml:space="preserve">Feigin, V. L., Abajobir, A. A., Abate, K. H., Abd-Allah, F., Abdulle, A. M., Abera, S. F., Abyu, G. Y., Ahmed, M. B., Aichour, A. N., Aichour, I., Aichour, M. T. E., Akinyemi, R. O., Alabed, S., Al-Raddadi, R., Alvis-Guzman, N., Amare, A. T., Ansari, H., Anwari, P., Ärnlöv, J., … Vos, T. (2017). Global, regional, and national burden of neurological disorders during 1990–2015: A systematic analysis for the Global Burden of Disease Study 2015. </w:t>
      </w:r>
      <w:r w:rsidRPr="001C4B5E">
        <w:rPr>
          <w:i/>
          <w:iCs/>
          <w:lang w:val="en-US"/>
        </w:rPr>
        <w:t>The Lancet Neurology</w:t>
      </w:r>
      <w:r w:rsidRPr="001C4B5E">
        <w:rPr>
          <w:lang w:val="en-US"/>
        </w:rPr>
        <w:t xml:space="preserve">, </w:t>
      </w:r>
      <w:r w:rsidRPr="001C4B5E">
        <w:rPr>
          <w:i/>
          <w:iCs/>
          <w:lang w:val="en-US"/>
        </w:rPr>
        <w:t>16</w:t>
      </w:r>
      <w:r w:rsidRPr="001C4B5E">
        <w:rPr>
          <w:lang w:val="en-US"/>
        </w:rPr>
        <w:t>(11), 877–897. https://doi.org/10.1016/S1474-4422(17)30299-5</w:t>
      </w:r>
    </w:p>
    <w:p w:rsidR="001C4B5E" w:rsidRPr="001C4B5E" w:rsidRDefault="001C4B5E" w:rsidP="001C4B5E">
      <w:pPr>
        <w:pStyle w:val="Literaturverzeichnis"/>
        <w:rPr>
          <w:lang w:val="en-US"/>
        </w:rPr>
      </w:pPr>
      <w:r w:rsidRPr="001C4B5E">
        <w:rPr>
          <w:lang w:val="en-US"/>
        </w:rPr>
        <w:t xml:space="preserve">Fox, S. H., Katzenschlager, R., Lim, S.-Y., Ravina, B., Seppi, K., Coelho, M., Poewe, W., Rascol, O., Goetz, C. G., &amp; Sampaio, C. (2011). The Movement Disorder Society Evidence-Based Medicine Review Update: Treatments for the motor symptoms of Parkinson’s disease. </w:t>
      </w:r>
      <w:r w:rsidRPr="001C4B5E">
        <w:rPr>
          <w:i/>
          <w:iCs/>
          <w:lang w:val="en-US"/>
        </w:rPr>
        <w:t>Movement Disorders</w:t>
      </w:r>
      <w:r w:rsidRPr="001C4B5E">
        <w:rPr>
          <w:lang w:val="en-US"/>
        </w:rPr>
        <w:t xml:space="preserve">, </w:t>
      </w:r>
      <w:r w:rsidRPr="001C4B5E">
        <w:rPr>
          <w:i/>
          <w:iCs/>
          <w:lang w:val="en-US"/>
        </w:rPr>
        <w:t>26</w:t>
      </w:r>
      <w:r w:rsidRPr="001C4B5E">
        <w:rPr>
          <w:lang w:val="en-US"/>
        </w:rPr>
        <w:t>(S3), S2–S41. https://doi.org/10.1002/mds.23829</w:t>
      </w:r>
    </w:p>
    <w:p w:rsidR="001C4B5E" w:rsidRDefault="001C4B5E" w:rsidP="001C4B5E">
      <w:pPr>
        <w:pStyle w:val="Literaturverzeichnis"/>
      </w:pPr>
      <w:r w:rsidRPr="001C4B5E">
        <w:rPr>
          <w:lang w:val="en-US"/>
        </w:rPr>
        <w:t xml:space="preserve">Giesbrecht, F. G., &amp; Burns, J. C. (1985). Two-Stage Analysis Based on a Mixed Model: Large-Sample Asymptotic Theory and Small-Sample Simulation Results. </w:t>
      </w:r>
      <w:r>
        <w:rPr>
          <w:i/>
          <w:iCs/>
        </w:rPr>
        <w:t>Biometrics</w:t>
      </w:r>
      <w:r>
        <w:t xml:space="preserve">, </w:t>
      </w:r>
      <w:r>
        <w:rPr>
          <w:i/>
          <w:iCs/>
        </w:rPr>
        <w:t>41</w:t>
      </w:r>
      <w:r>
        <w:t>(2), 477. https://doi.org/10.2307/2530872</w:t>
      </w:r>
    </w:p>
    <w:p w:rsidR="001C4B5E" w:rsidRPr="001C4B5E" w:rsidRDefault="001C4B5E" w:rsidP="001C4B5E">
      <w:pPr>
        <w:pStyle w:val="Literaturverzeichnis"/>
        <w:rPr>
          <w:lang w:val="en-US"/>
        </w:rPr>
      </w:pPr>
      <w:r>
        <w:t xml:space="preserve">Giovannoni, G., van Schalkwyk, J., Fritz, V. U., &amp; Lees, A. J. (1999). </w:t>
      </w:r>
      <w:r w:rsidRPr="001C4B5E">
        <w:rPr>
          <w:lang w:val="en-US"/>
        </w:rPr>
        <w:t xml:space="preserve">Bradykinesia akinesia inco-ordination test (BRAIN TEST): An objective computerised assessment of upper limb motor function. </w:t>
      </w:r>
      <w:r w:rsidRPr="001C4B5E">
        <w:rPr>
          <w:i/>
          <w:iCs/>
          <w:lang w:val="en-US"/>
        </w:rPr>
        <w:t>Journal of Neurology, Neurosurgery &amp; Psychiatry</w:t>
      </w:r>
      <w:r w:rsidRPr="001C4B5E">
        <w:rPr>
          <w:lang w:val="en-US"/>
        </w:rPr>
        <w:t xml:space="preserve">, </w:t>
      </w:r>
      <w:r w:rsidRPr="001C4B5E">
        <w:rPr>
          <w:i/>
          <w:iCs/>
          <w:lang w:val="en-US"/>
        </w:rPr>
        <w:t>67</w:t>
      </w:r>
      <w:r w:rsidRPr="001C4B5E">
        <w:rPr>
          <w:lang w:val="en-US"/>
        </w:rPr>
        <w:t>(5), 624–629. https://doi.org/10.1136/jnnp.67.5.624</w:t>
      </w:r>
    </w:p>
    <w:p w:rsidR="001C4B5E" w:rsidRPr="001C4B5E" w:rsidRDefault="001C4B5E" w:rsidP="001C4B5E">
      <w:pPr>
        <w:pStyle w:val="Literaturverzeichnis"/>
        <w:rPr>
          <w:lang w:val="en-US"/>
        </w:rPr>
      </w:pPr>
      <w:r w:rsidRPr="001C4B5E">
        <w:rPr>
          <w:lang w:val="en-US"/>
        </w:rPr>
        <w:t xml:space="preserve">Goetz, C. G., Tilley, B. C., Shaftman, S. R., Stebbins, G. T., Fahn, S., Martinez-Martin, P., Poewe, W., Sampaio, C., Stern, M. B., Dodel, R., Dubois, B., Holloway, R., Jankovic, J., Kulisevsky, J., Lang, A. E., Lees, A., Leurgans, S., LeWitt, P. A., Nyenhuis, D., … LaPelle, N. (2008). Movement Disorder Society-sponsored revision of the Unified Parkinson’s Disease Rating Scale (MDS-UPDRS): Scale presentation and clinimetric testing results: MDS-UPDRS: Clinimetric Assessment. </w:t>
      </w:r>
      <w:r w:rsidRPr="001C4B5E">
        <w:rPr>
          <w:i/>
          <w:iCs/>
          <w:lang w:val="en-US"/>
        </w:rPr>
        <w:t>Movement Disorders</w:t>
      </w:r>
      <w:r w:rsidRPr="001C4B5E">
        <w:rPr>
          <w:lang w:val="en-US"/>
        </w:rPr>
        <w:t xml:space="preserve">, </w:t>
      </w:r>
      <w:r w:rsidRPr="001C4B5E">
        <w:rPr>
          <w:i/>
          <w:iCs/>
          <w:lang w:val="en-US"/>
        </w:rPr>
        <w:t>23</w:t>
      </w:r>
      <w:r w:rsidRPr="001C4B5E">
        <w:rPr>
          <w:lang w:val="en-US"/>
        </w:rPr>
        <w:t>(15), 2129–2170. https://doi.org/10.1002/mds.22340</w:t>
      </w:r>
    </w:p>
    <w:p w:rsidR="001C4B5E" w:rsidRPr="001C4B5E" w:rsidRDefault="001C4B5E" w:rsidP="001C4B5E">
      <w:pPr>
        <w:pStyle w:val="Literaturverzeichnis"/>
        <w:rPr>
          <w:lang w:val="en-US"/>
        </w:rPr>
      </w:pPr>
      <w:r w:rsidRPr="001C4B5E">
        <w:rPr>
          <w:lang w:val="en-US"/>
        </w:rPr>
        <w:t xml:space="preserve">Gómez-Esteban, J. C., Zarranz, J. J., Lezcano, E., Tijero, B., Luna, A., Velasco, F., Rouco, I., &amp; Garamendi, I. (2007). Influence of Motor Symptoms upon the Quality of Life of Patients with Parkinson’s Disease. </w:t>
      </w:r>
      <w:r w:rsidRPr="001C4B5E">
        <w:rPr>
          <w:i/>
          <w:iCs/>
          <w:lang w:val="en-US"/>
        </w:rPr>
        <w:t>European Neurology</w:t>
      </w:r>
      <w:r w:rsidRPr="001C4B5E">
        <w:rPr>
          <w:lang w:val="en-US"/>
        </w:rPr>
        <w:t xml:space="preserve">, </w:t>
      </w:r>
      <w:r w:rsidRPr="001C4B5E">
        <w:rPr>
          <w:i/>
          <w:iCs/>
          <w:lang w:val="en-US"/>
        </w:rPr>
        <w:t>57</w:t>
      </w:r>
      <w:r w:rsidRPr="001C4B5E">
        <w:rPr>
          <w:lang w:val="en-US"/>
        </w:rPr>
        <w:t>(3), 161–165. https://doi.org/10.1159/000098468</w:t>
      </w:r>
    </w:p>
    <w:p w:rsidR="001C4B5E" w:rsidRPr="001C4B5E" w:rsidRDefault="001C4B5E" w:rsidP="001C4B5E">
      <w:pPr>
        <w:pStyle w:val="Literaturverzeichnis"/>
        <w:rPr>
          <w:lang w:val="en-US"/>
        </w:rPr>
      </w:pPr>
      <w:r w:rsidRPr="001C4B5E">
        <w:rPr>
          <w:lang w:val="en-US"/>
        </w:rPr>
        <w:lastRenderedPageBreak/>
        <w:t xml:space="preserve">He, S., Debarros, J., Khawaldeh, S., Pogosyan, A., Mostofi, A., Baig, F., Pereira, E., Brown, P., &amp; Tan, H. (2020). Closed-loop DBS triggered by real-time movement and tremor decoding based on thalamic LFPs for essential tremor. </w:t>
      </w:r>
      <w:r w:rsidRPr="001C4B5E">
        <w:rPr>
          <w:i/>
          <w:iCs/>
          <w:lang w:val="en-US"/>
        </w:rPr>
        <w:t>2020 42nd Annual International Conference of the IEEE Engineering in Medicine &amp; Biology Society (EMBC)</w:t>
      </w:r>
      <w:r w:rsidRPr="001C4B5E">
        <w:rPr>
          <w:lang w:val="en-US"/>
        </w:rPr>
        <w:t>, 3602–3605. https://doi.org/10.1109/EMBC44109.2020.9175433</w:t>
      </w:r>
    </w:p>
    <w:p w:rsidR="001C4B5E" w:rsidRPr="001C4B5E" w:rsidRDefault="001C4B5E" w:rsidP="001C4B5E">
      <w:pPr>
        <w:pStyle w:val="Literaturverzeichnis"/>
        <w:rPr>
          <w:lang w:val="en-US"/>
        </w:rPr>
      </w:pPr>
      <w:r w:rsidRPr="001C4B5E">
        <w:rPr>
          <w:lang w:val="en-US"/>
        </w:rPr>
        <w:t xml:space="preserve">Helmich, R. C. (2018). The cerebral basis of Parkinsonian tremor: A network perspective. </w:t>
      </w:r>
      <w:r w:rsidRPr="001C4B5E">
        <w:rPr>
          <w:i/>
          <w:iCs/>
          <w:lang w:val="en-US"/>
        </w:rPr>
        <w:t>Movement Disorders</w:t>
      </w:r>
      <w:r w:rsidRPr="001C4B5E">
        <w:rPr>
          <w:lang w:val="en-US"/>
        </w:rPr>
        <w:t xml:space="preserve">, </w:t>
      </w:r>
      <w:r w:rsidRPr="001C4B5E">
        <w:rPr>
          <w:i/>
          <w:iCs/>
          <w:lang w:val="en-US"/>
        </w:rPr>
        <w:t>33</w:t>
      </w:r>
      <w:r w:rsidRPr="001C4B5E">
        <w:rPr>
          <w:lang w:val="en-US"/>
        </w:rPr>
        <w:t>(2), 219–231. https://doi.org/10.1002/mds.27224</w:t>
      </w:r>
    </w:p>
    <w:p w:rsidR="001C4B5E" w:rsidRPr="001C4B5E" w:rsidRDefault="001C4B5E" w:rsidP="001C4B5E">
      <w:pPr>
        <w:pStyle w:val="Literaturverzeichnis"/>
        <w:rPr>
          <w:lang w:val="en-US"/>
        </w:rPr>
      </w:pPr>
      <w:r w:rsidRPr="001C4B5E">
        <w:rPr>
          <w:lang w:val="en-US"/>
        </w:rPr>
        <w:t xml:space="preserve">Helmich, R., &amp; Dirkx, M. (2017). Pathophysiology and Management of Parkinsonian Tremor. </w:t>
      </w:r>
      <w:r w:rsidRPr="001C4B5E">
        <w:rPr>
          <w:i/>
          <w:iCs/>
          <w:lang w:val="en-US"/>
        </w:rPr>
        <w:t>Seminars in Neurology</w:t>
      </w:r>
      <w:r w:rsidRPr="001C4B5E">
        <w:rPr>
          <w:lang w:val="en-US"/>
        </w:rPr>
        <w:t xml:space="preserve">, </w:t>
      </w:r>
      <w:r w:rsidRPr="001C4B5E">
        <w:rPr>
          <w:i/>
          <w:iCs/>
          <w:lang w:val="en-US"/>
        </w:rPr>
        <w:t>37</w:t>
      </w:r>
      <w:r w:rsidRPr="001C4B5E">
        <w:rPr>
          <w:lang w:val="en-US"/>
        </w:rPr>
        <w:t>(02), 127–134. https://doi.org/10.1055/s-0037-1601558</w:t>
      </w:r>
    </w:p>
    <w:p w:rsidR="001C4B5E" w:rsidRPr="001C4B5E" w:rsidRDefault="001C4B5E" w:rsidP="001C4B5E">
      <w:pPr>
        <w:pStyle w:val="Literaturverzeichnis"/>
        <w:rPr>
          <w:lang w:val="en-US"/>
        </w:rPr>
      </w:pPr>
      <w:r w:rsidRPr="001C4B5E">
        <w:rPr>
          <w:lang w:val="en-US"/>
        </w:rPr>
        <w:t xml:space="preserve">Hess, C., &amp; Hallett, M. (2017). The Phenomenology of Parkinson’s Disease. </w:t>
      </w:r>
      <w:r w:rsidRPr="001C4B5E">
        <w:rPr>
          <w:i/>
          <w:iCs/>
          <w:lang w:val="en-US"/>
        </w:rPr>
        <w:t>Seminars in Neurology</w:t>
      </w:r>
      <w:r w:rsidRPr="001C4B5E">
        <w:rPr>
          <w:lang w:val="en-US"/>
        </w:rPr>
        <w:t xml:space="preserve">, </w:t>
      </w:r>
      <w:r w:rsidRPr="001C4B5E">
        <w:rPr>
          <w:i/>
          <w:iCs/>
          <w:lang w:val="en-US"/>
        </w:rPr>
        <w:t>37</w:t>
      </w:r>
      <w:r w:rsidRPr="001C4B5E">
        <w:rPr>
          <w:lang w:val="en-US"/>
        </w:rPr>
        <w:t>(02), 109–117. https://doi.org/10.1055/s-0037-1601869</w:t>
      </w:r>
    </w:p>
    <w:p w:rsidR="001C4B5E" w:rsidRPr="001C4B5E" w:rsidRDefault="001C4B5E" w:rsidP="001C4B5E">
      <w:pPr>
        <w:pStyle w:val="Literaturverzeichnis"/>
        <w:rPr>
          <w:lang w:val="en-US"/>
        </w:rPr>
      </w:pPr>
      <w:r w:rsidRPr="001C4B5E">
        <w:rPr>
          <w:lang w:val="en-US"/>
        </w:rPr>
        <w:t xml:space="preserve">Jankovic, J. (2008). Parkinson’s disease: Clinical features and diagnosis. </w:t>
      </w:r>
      <w:r w:rsidRPr="001C4B5E">
        <w:rPr>
          <w:i/>
          <w:iCs/>
          <w:lang w:val="en-US"/>
        </w:rPr>
        <w:t>Journal of Neurology, Neurosurgery &amp; Psychiatry</w:t>
      </w:r>
      <w:r w:rsidRPr="001C4B5E">
        <w:rPr>
          <w:lang w:val="en-US"/>
        </w:rPr>
        <w:t xml:space="preserve">, </w:t>
      </w:r>
      <w:r w:rsidRPr="001C4B5E">
        <w:rPr>
          <w:i/>
          <w:iCs/>
          <w:lang w:val="en-US"/>
        </w:rPr>
        <w:t>79</w:t>
      </w:r>
      <w:r w:rsidRPr="001C4B5E">
        <w:rPr>
          <w:lang w:val="en-US"/>
        </w:rPr>
        <w:t>(4), 368–376. https://doi.org/10.1136/jnnp.2007.131045</w:t>
      </w:r>
    </w:p>
    <w:p w:rsidR="001C4B5E" w:rsidRPr="001C4B5E" w:rsidRDefault="001C4B5E" w:rsidP="001C4B5E">
      <w:pPr>
        <w:pStyle w:val="Literaturverzeichnis"/>
        <w:rPr>
          <w:lang w:val="en-US"/>
        </w:rPr>
      </w:pPr>
      <w:r w:rsidRPr="001C4B5E">
        <w:rPr>
          <w:lang w:val="en-US"/>
        </w:rPr>
        <w:t xml:space="preserve">Koirala, N., Serrano, L., Paschen, S., Falk, D., Anwar, A. R., Kuravi, P., Deuschl, G., Groppa, S., &amp; Muthuraman, M. (2020). Mapping of subthalamic nucleus using microelectrode recordings during deep brain stimulation. </w:t>
      </w:r>
      <w:r w:rsidRPr="001C4B5E">
        <w:rPr>
          <w:i/>
          <w:iCs/>
          <w:lang w:val="en-US"/>
        </w:rPr>
        <w:t>Scientific Reports</w:t>
      </w:r>
      <w:r w:rsidRPr="001C4B5E">
        <w:rPr>
          <w:lang w:val="en-US"/>
        </w:rPr>
        <w:t xml:space="preserve">, </w:t>
      </w:r>
      <w:r w:rsidRPr="001C4B5E">
        <w:rPr>
          <w:i/>
          <w:iCs/>
          <w:lang w:val="en-US"/>
        </w:rPr>
        <w:t>10</w:t>
      </w:r>
      <w:r w:rsidRPr="001C4B5E">
        <w:rPr>
          <w:lang w:val="en-US"/>
        </w:rPr>
        <w:t>(1), 19241. https://doi.org/10.1038/s41598-020-74196-5</w:t>
      </w:r>
    </w:p>
    <w:p w:rsidR="001C4B5E" w:rsidRPr="001C4B5E" w:rsidRDefault="001C4B5E" w:rsidP="001C4B5E">
      <w:pPr>
        <w:pStyle w:val="Literaturverzeichnis"/>
        <w:rPr>
          <w:lang w:val="en-US"/>
        </w:rPr>
      </w:pPr>
      <w:r w:rsidRPr="001C4B5E">
        <w:rPr>
          <w:lang w:val="en-US"/>
        </w:rPr>
        <w:t xml:space="preserve">Köllensperger, M., Geser, F., Seppi, K., Stampfer-Kountchev, M., Sawires, M., Scherfler, C., Boesch, S., Mueller, J., Koukouni, V., Quinn, N., Pellecchia, M. T., Barone, P., Schimke, N., Dodel, R., Oertel, W., Dupont, E., Østergaard, K., Daniels, C., Deuschl, G., … on behalf of the European MSA Study Group (EMSA-SG). (2008). Red flags for multiple system atrophy. </w:t>
      </w:r>
      <w:r w:rsidRPr="001C4B5E">
        <w:rPr>
          <w:i/>
          <w:iCs/>
          <w:lang w:val="en-US"/>
        </w:rPr>
        <w:t>Movement Disorders</w:t>
      </w:r>
      <w:r w:rsidRPr="001C4B5E">
        <w:rPr>
          <w:lang w:val="en-US"/>
        </w:rPr>
        <w:t xml:space="preserve">, </w:t>
      </w:r>
      <w:r w:rsidRPr="001C4B5E">
        <w:rPr>
          <w:i/>
          <w:iCs/>
          <w:lang w:val="en-US"/>
        </w:rPr>
        <w:t>23</w:t>
      </w:r>
      <w:r w:rsidRPr="001C4B5E">
        <w:rPr>
          <w:lang w:val="en-US"/>
        </w:rPr>
        <w:t>(8), 1093–1099. https://doi.org/10.1002/mds.21992</w:t>
      </w:r>
    </w:p>
    <w:p w:rsidR="001C4B5E" w:rsidRPr="001C4B5E" w:rsidRDefault="001C4B5E" w:rsidP="001C4B5E">
      <w:pPr>
        <w:pStyle w:val="Literaturverzeichnis"/>
        <w:rPr>
          <w:lang w:val="en-US"/>
        </w:rPr>
      </w:pPr>
      <w:r>
        <w:t xml:space="preserve">Kühn, A. A., Kupsch, A., Schneider, G.-H., &amp; Brown, P. (2006). </w:t>
      </w:r>
      <w:r w:rsidRPr="001C4B5E">
        <w:rPr>
          <w:lang w:val="en-US"/>
        </w:rPr>
        <w:t xml:space="preserve">Reduction in subthalamic 8-35 Hz oscillatory activity correlates with clinical improvement in Parkinson’s disease: STN activity and motor improvement. </w:t>
      </w:r>
      <w:r w:rsidRPr="001C4B5E">
        <w:rPr>
          <w:i/>
          <w:iCs/>
          <w:lang w:val="en-US"/>
        </w:rPr>
        <w:t>European Journal of Neuroscience</w:t>
      </w:r>
      <w:r w:rsidRPr="001C4B5E">
        <w:rPr>
          <w:lang w:val="en-US"/>
        </w:rPr>
        <w:t xml:space="preserve">, </w:t>
      </w:r>
      <w:r w:rsidRPr="001C4B5E">
        <w:rPr>
          <w:i/>
          <w:iCs/>
          <w:lang w:val="en-US"/>
        </w:rPr>
        <w:t>23</w:t>
      </w:r>
      <w:r w:rsidRPr="001C4B5E">
        <w:rPr>
          <w:lang w:val="en-US"/>
        </w:rPr>
        <w:t>(7), 1956–1960. https://doi.org/10.1111/j.1460-9568.2006.04717.x</w:t>
      </w:r>
    </w:p>
    <w:p w:rsidR="001C4B5E" w:rsidRPr="001C4B5E" w:rsidRDefault="001C4B5E" w:rsidP="001C4B5E">
      <w:pPr>
        <w:pStyle w:val="Literaturverzeichnis"/>
        <w:rPr>
          <w:lang w:val="en-US"/>
        </w:rPr>
      </w:pPr>
      <w:r w:rsidRPr="001C4B5E">
        <w:rPr>
          <w:lang w:val="en-US"/>
        </w:rPr>
        <w:lastRenderedPageBreak/>
        <w:t xml:space="preserve">Kutukcu, Y., Marks, W. J., Goodin, D. S., &amp; Aminoff, M. J. (1999). Simple and choice reaction time in Parkinson’s disease. </w:t>
      </w:r>
      <w:r w:rsidRPr="001C4B5E">
        <w:rPr>
          <w:i/>
          <w:iCs/>
          <w:lang w:val="en-US"/>
        </w:rPr>
        <w:t>Brain Research</w:t>
      </w:r>
      <w:r w:rsidRPr="001C4B5E">
        <w:rPr>
          <w:lang w:val="en-US"/>
        </w:rPr>
        <w:t xml:space="preserve">, </w:t>
      </w:r>
      <w:r w:rsidRPr="001C4B5E">
        <w:rPr>
          <w:i/>
          <w:iCs/>
          <w:lang w:val="en-US"/>
        </w:rPr>
        <w:t>815</w:t>
      </w:r>
      <w:r w:rsidRPr="001C4B5E">
        <w:rPr>
          <w:lang w:val="en-US"/>
        </w:rPr>
        <w:t>(2), 367–372. https://doi.org/10.1016/S0006-8993(98)01060-9</w:t>
      </w:r>
    </w:p>
    <w:p w:rsidR="001C4B5E" w:rsidRPr="001C4B5E" w:rsidRDefault="001C4B5E" w:rsidP="001C4B5E">
      <w:pPr>
        <w:pStyle w:val="Literaturverzeichnis"/>
        <w:rPr>
          <w:lang w:val="en-US"/>
        </w:rPr>
      </w:pPr>
      <w:r w:rsidRPr="001C4B5E">
        <w:rPr>
          <w:lang w:val="en-US"/>
        </w:rPr>
        <w:t xml:space="preserve">Kuznetsova, A., Brockhoff, P. B., &amp; Christensen, R. H. B. (2017). </w:t>
      </w:r>
      <w:r w:rsidRPr="001C4B5E">
        <w:rPr>
          <w:b/>
          <w:bCs/>
          <w:lang w:val="en-US"/>
        </w:rPr>
        <w:t>lmerTest</w:t>
      </w:r>
      <w:r w:rsidRPr="001C4B5E">
        <w:rPr>
          <w:lang w:val="en-US"/>
        </w:rPr>
        <w:t xml:space="preserve"> Package: Tests in Linear Mixed Effects Models. </w:t>
      </w:r>
      <w:r w:rsidRPr="001C4B5E">
        <w:rPr>
          <w:i/>
          <w:iCs/>
          <w:lang w:val="en-US"/>
        </w:rPr>
        <w:t>Journal of Statistical Software</w:t>
      </w:r>
      <w:r w:rsidRPr="001C4B5E">
        <w:rPr>
          <w:lang w:val="en-US"/>
        </w:rPr>
        <w:t xml:space="preserve">, </w:t>
      </w:r>
      <w:r w:rsidRPr="001C4B5E">
        <w:rPr>
          <w:i/>
          <w:iCs/>
          <w:lang w:val="en-US"/>
        </w:rPr>
        <w:t>82</w:t>
      </w:r>
      <w:r w:rsidRPr="001C4B5E">
        <w:rPr>
          <w:lang w:val="en-US"/>
        </w:rPr>
        <w:t>(13). https://doi.org/10.18637/jss.v082.i13</w:t>
      </w:r>
    </w:p>
    <w:p w:rsidR="001C4B5E" w:rsidRPr="001C4B5E" w:rsidRDefault="001C4B5E" w:rsidP="001C4B5E">
      <w:pPr>
        <w:pStyle w:val="Literaturverzeichnis"/>
        <w:rPr>
          <w:lang w:val="en-US"/>
        </w:rPr>
      </w:pPr>
      <w:r w:rsidRPr="001C4B5E">
        <w:rPr>
          <w:lang w:val="en-US"/>
        </w:rPr>
        <w:t xml:space="preserve">Limousin, P., Pollak, P., Benazzouz, A., Hoffmann, D., Le Bas, J.-F., Perret, J. E., Benabid, A.-L., &amp; Broussolle, E. (1995). Effect on parkinsonian signs and symptoms of bilateral subthalamic nucleus stimulation. </w:t>
      </w:r>
      <w:r w:rsidRPr="001C4B5E">
        <w:rPr>
          <w:i/>
          <w:iCs/>
          <w:lang w:val="en-US"/>
        </w:rPr>
        <w:t>The Lancet</w:t>
      </w:r>
      <w:r w:rsidRPr="001C4B5E">
        <w:rPr>
          <w:lang w:val="en-US"/>
        </w:rPr>
        <w:t xml:space="preserve">, </w:t>
      </w:r>
      <w:r w:rsidRPr="001C4B5E">
        <w:rPr>
          <w:i/>
          <w:iCs/>
          <w:lang w:val="en-US"/>
        </w:rPr>
        <w:t>345</w:t>
      </w:r>
      <w:r w:rsidRPr="001C4B5E">
        <w:rPr>
          <w:lang w:val="en-US"/>
        </w:rPr>
        <w:t>(8942), 91–95. https://doi.org/10.1016/S0140-6736(95)90062-4</w:t>
      </w:r>
    </w:p>
    <w:p w:rsidR="001C4B5E" w:rsidRPr="001C4B5E" w:rsidRDefault="001C4B5E" w:rsidP="001C4B5E">
      <w:pPr>
        <w:pStyle w:val="Literaturverzeichnis"/>
        <w:rPr>
          <w:lang w:val="en-US"/>
        </w:rPr>
      </w:pPr>
      <w:r w:rsidRPr="001C4B5E">
        <w:rPr>
          <w:lang w:val="en-US"/>
        </w:rPr>
        <w:t xml:space="preserve">Morgante, L., Morgante, F., Moro, E., Epifanio, A., Girlanda, P., Ragonese, P., Antonini, A., Barone, P., Bonuccelli, U., Contarino, M. F., Capus, L., Ceravolo, M. G., Marconi, R., Ceravolo, R., D’Amelio, M., &amp; Savettieri, G. (2007). How many parkinsonian patients are suitable candidates for deep brain stimulation of subthalamic nucleus? Results of a questionnaire. </w:t>
      </w:r>
      <w:r w:rsidRPr="001C4B5E">
        <w:rPr>
          <w:i/>
          <w:iCs/>
          <w:lang w:val="en-US"/>
        </w:rPr>
        <w:t>Parkinsonism &amp; Related Disorders</w:t>
      </w:r>
      <w:r w:rsidRPr="001C4B5E">
        <w:rPr>
          <w:lang w:val="en-US"/>
        </w:rPr>
        <w:t xml:space="preserve">, </w:t>
      </w:r>
      <w:r w:rsidRPr="001C4B5E">
        <w:rPr>
          <w:i/>
          <w:iCs/>
          <w:lang w:val="en-US"/>
        </w:rPr>
        <w:t>13</w:t>
      </w:r>
      <w:r w:rsidRPr="001C4B5E">
        <w:rPr>
          <w:lang w:val="en-US"/>
        </w:rPr>
        <w:t>(8), 528–531. https://doi.org/10.1016/j.parkreldis.2006.12.013</w:t>
      </w:r>
    </w:p>
    <w:p w:rsidR="001C4B5E" w:rsidRPr="001C4B5E" w:rsidRDefault="001C4B5E" w:rsidP="001C4B5E">
      <w:pPr>
        <w:pStyle w:val="Literaturverzeichnis"/>
        <w:rPr>
          <w:lang w:val="en-US"/>
        </w:rPr>
      </w:pPr>
      <w:r>
        <w:t xml:space="preserve">Odekerken, V. J., van Laar, T., Staal, M. J., Mosch, A., Hoffmann, C. F., Nijssen, P. C., Beute, G. N., van Vugt, J. P., Lenders, M. W., Contarino, M. F., Mink, M. S., Bour, L. J., van den Munckhof, P., Schmand, B. A., de Haan, R. J., Schuurman, P. R., &amp; de Bie, R. M. (2013). </w:t>
      </w:r>
      <w:r w:rsidRPr="001C4B5E">
        <w:rPr>
          <w:lang w:val="en-US"/>
        </w:rPr>
        <w:t xml:space="preserve">Subthalamic nucleus versus globus pallidus bilateral deep brain stimulation for advanced Parkinson’s disease (NSTAPS study): A randomised controlled trial. </w:t>
      </w:r>
      <w:r w:rsidRPr="001C4B5E">
        <w:rPr>
          <w:i/>
          <w:iCs/>
          <w:lang w:val="en-US"/>
        </w:rPr>
        <w:t>The Lancet Neurology</w:t>
      </w:r>
      <w:r w:rsidRPr="001C4B5E">
        <w:rPr>
          <w:lang w:val="en-US"/>
        </w:rPr>
        <w:t xml:space="preserve">, </w:t>
      </w:r>
      <w:r w:rsidRPr="001C4B5E">
        <w:rPr>
          <w:i/>
          <w:iCs/>
          <w:lang w:val="en-US"/>
        </w:rPr>
        <w:t>12</w:t>
      </w:r>
      <w:r w:rsidRPr="001C4B5E">
        <w:rPr>
          <w:lang w:val="en-US"/>
        </w:rPr>
        <w:t>(1), 37–44. https://doi.org/10.1016/S1474-4422(12)70264-8</w:t>
      </w:r>
    </w:p>
    <w:p w:rsidR="001C4B5E" w:rsidRPr="001C4B5E" w:rsidRDefault="001C4B5E" w:rsidP="001C4B5E">
      <w:pPr>
        <w:pStyle w:val="Literaturverzeichnis"/>
        <w:rPr>
          <w:lang w:val="en-US"/>
        </w:rPr>
      </w:pPr>
      <w:r w:rsidRPr="001C4B5E">
        <w:rPr>
          <w:lang w:val="en-US"/>
        </w:rPr>
        <w:t xml:space="preserve">Oostenveld, R. (2018). Fieldtriptoolbox. </w:t>
      </w:r>
      <w:r w:rsidRPr="001C4B5E">
        <w:rPr>
          <w:i/>
          <w:iCs/>
          <w:lang w:val="en-US"/>
        </w:rPr>
        <w:t>Time-frequency analysis using Hanning window, multitapers and wavelets</w:t>
      </w:r>
      <w:r w:rsidRPr="001C4B5E">
        <w:rPr>
          <w:lang w:val="en-US"/>
        </w:rPr>
        <w:t>. https://www.fieldtriptoolbox.org/tutorial/timefrequencyanalysis/</w:t>
      </w:r>
    </w:p>
    <w:p w:rsidR="001C4B5E" w:rsidRPr="001C4B5E" w:rsidRDefault="001C4B5E" w:rsidP="001C4B5E">
      <w:pPr>
        <w:pStyle w:val="Literaturverzeichnis"/>
        <w:rPr>
          <w:lang w:val="en-US"/>
        </w:rPr>
      </w:pPr>
      <w:r w:rsidRPr="001C4B5E">
        <w:rPr>
          <w:lang w:val="en-US"/>
        </w:rPr>
        <w:t xml:space="preserve">Oostenveld, R., Fries, P., Maris, E., &amp; Schoffelen, J.-M. (2011). FieldTrip: Open Source Software for Advanced Analysis of MEG, EEG, and Invasive Electrophysiological Data. </w:t>
      </w:r>
      <w:r w:rsidRPr="001C4B5E">
        <w:rPr>
          <w:i/>
          <w:iCs/>
          <w:lang w:val="en-US"/>
        </w:rPr>
        <w:t>Computational Intelligence and Neuroscience</w:t>
      </w:r>
      <w:r w:rsidRPr="001C4B5E">
        <w:rPr>
          <w:lang w:val="en-US"/>
        </w:rPr>
        <w:t xml:space="preserve">, </w:t>
      </w:r>
      <w:r w:rsidRPr="001C4B5E">
        <w:rPr>
          <w:i/>
          <w:iCs/>
          <w:lang w:val="en-US"/>
        </w:rPr>
        <w:t>2011</w:t>
      </w:r>
      <w:r w:rsidRPr="001C4B5E">
        <w:rPr>
          <w:lang w:val="en-US"/>
        </w:rPr>
        <w:t>, 1–9. https://doi.org/10.1155/2011/156869</w:t>
      </w:r>
    </w:p>
    <w:p w:rsidR="001C4B5E" w:rsidRPr="001C4B5E" w:rsidRDefault="001C4B5E" w:rsidP="001C4B5E">
      <w:pPr>
        <w:pStyle w:val="Literaturverzeichnis"/>
        <w:rPr>
          <w:lang w:val="en-US"/>
        </w:rPr>
      </w:pPr>
      <w:r w:rsidRPr="001C4B5E">
        <w:rPr>
          <w:lang w:val="en-US"/>
        </w:rPr>
        <w:lastRenderedPageBreak/>
        <w:t xml:space="preserve">Opri, E., Cernera, S., Molina, R., Eisinger, R. S., Cagle, J. N., Almeida, L., Denison, T., Okun, M. S., Foote, K. D., &amp; Gunduz, A. (2020). Chronic embedded cortico-thalamic closed-loop deep brain stimulation for the treatment of essential tremor. </w:t>
      </w:r>
      <w:r w:rsidRPr="001C4B5E">
        <w:rPr>
          <w:i/>
          <w:iCs/>
          <w:lang w:val="en-US"/>
        </w:rPr>
        <w:t>Science Translational Medicine</w:t>
      </w:r>
      <w:r w:rsidRPr="001C4B5E">
        <w:rPr>
          <w:lang w:val="en-US"/>
        </w:rPr>
        <w:t xml:space="preserve">, </w:t>
      </w:r>
      <w:r w:rsidRPr="001C4B5E">
        <w:rPr>
          <w:i/>
          <w:iCs/>
          <w:lang w:val="en-US"/>
        </w:rPr>
        <w:t>12</w:t>
      </w:r>
      <w:r w:rsidRPr="001C4B5E">
        <w:rPr>
          <w:lang w:val="en-US"/>
        </w:rPr>
        <w:t>(572), eaay7680. https://doi.org/10.1126/scitranslmed.aay7680</w:t>
      </w:r>
    </w:p>
    <w:p w:rsidR="001C4B5E" w:rsidRPr="001C4B5E" w:rsidRDefault="001C4B5E" w:rsidP="001C4B5E">
      <w:pPr>
        <w:pStyle w:val="Literaturverzeichnis"/>
        <w:rPr>
          <w:lang w:val="en-US"/>
        </w:rPr>
      </w:pPr>
      <w:r w:rsidRPr="001C4B5E">
        <w:rPr>
          <w:lang w:val="en-US"/>
        </w:rPr>
        <w:t xml:space="preserve">Poewe, W., Seppi, K., Tanner, C. M., Halliday, G. M., Brundin, P., Volkmann, J., Schrag, A.-E., &amp; Lang, A. E. (2017). Parkinson disease. </w:t>
      </w:r>
      <w:r w:rsidRPr="001C4B5E">
        <w:rPr>
          <w:i/>
          <w:iCs/>
          <w:lang w:val="en-US"/>
        </w:rPr>
        <w:t>Nature Reviews Disease Primers</w:t>
      </w:r>
      <w:r w:rsidRPr="001C4B5E">
        <w:rPr>
          <w:lang w:val="en-US"/>
        </w:rPr>
        <w:t xml:space="preserve">, </w:t>
      </w:r>
      <w:r w:rsidRPr="001C4B5E">
        <w:rPr>
          <w:i/>
          <w:iCs/>
          <w:lang w:val="en-US"/>
        </w:rPr>
        <w:t>3</w:t>
      </w:r>
      <w:r w:rsidRPr="001C4B5E">
        <w:rPr>
          <w:lang w:val="en-US"/>
        </w:rPr>
        <w:t>(1), 17013. https://doi.org/10.1038/nrdp.2017.13</w:t>
      </w:r>
    </w:p>
    <w:p w:rsidR="001C4B5E" w:rsidRPr="001C4B5E" w:rsidRDefault="001C4B5E" w:rsidP="001C4B5E">
      <w:pPr>
        <w:pStyle w:val="Literaturverzeichnis"/>
        <w:rPr>
          <w:lang w:val="en-US"/>
        </w:rPr>
      </w:pPr>
      <w:r>
        <w:t xml:space="preserve">Postuma, R. B., Berg, D., Stern, M., Poewe, W., Olanow, C. W., Oertel, W., Obeso, J., Marek, K., Litvan, I., Lang, A. E., Halliday, G., Goetz, C. G., Gasser, T., Dubois, B., Chan, P., Bloem, B. R., Adler, C. H., &amp; Deuschl, G. (2015). </w:t>
      </w:r>
      <w:r w:rsidRPr="001C4B5E">
        <w:rPr>
          <w:lang w:val="en-US"/>
        </w:rPr>
        <w:t xml:space="preserve">MDS clinical diagnostic criteria for Parkinson’s disease: MDS-PD Clinical Diagnostic Criteria. </w:t>
      </w:r>
      <w:r w:rsidRPr="001C4B5E">
        <w:rPr>
          <w:i/>
          <w:iCs/>
          <w:lang w:val="en-US"/>
        </w:rPr>
        <w:t>Movement Disorders</w:t>
      </w:r>
      <w:r w:rsidRPr="001C4B5E">
        <w:rPr>
          <w:lang w:val="en-US"/>
        </w:rPr>
        <w:t xml:space="preserve">, </w:t>
      </w:r>
      <w:r w:rsidRPr="001C4B5E">
        <w:rPr>
          <w:i/>
          <w:iCs/>
          <w:lang w:val="en-US"/>
        </w:rPr>
        <w:t>30</w:t>
      </w:r>
      <w:r w:rsidRPr="001C4B5E">
        <w:rPr>
          <w:lang w:val="en-US"/>
        </w:rPr>
        <w:t>(12), 1591–1601. https://doi.org/10.1002/mds.26424</w:t>
      </w:r>
    </w:p>
    <w:p w:rsidR="001C4B5E" w:rsidRPr="001C4B5E" w:rsidRDefault="001C4B5E" w:rsidP="001C4B5E">
      <w:pPr>
        <w:pStyle w:val="Literaturverzeichnis"/>
        <w:rPr>
          <w:lang w:val="en-US"/>
        </w:rPr>
      </w:pPr>
      <w:r w:rsidRPr="001C4B5E">
        <w:rPr>
          <w:lang w:val="en-US"/>
        </w:rPr>
        <w:t xml:space="preserve">Prakash, K. M., Nadkarni, N. V., Lye, W.-K., Yong, M.-H., &amp; Tan, E.-K. (2016). The impact of non-motor symptoms on the quality of life of Parkinson’s disease patients: A longitudinal study. </w:t>
      </w:r>
      <w:r w:rsidRPr="001C4B5E">
        <w:rPr>
          <w:i/>
          <w:iCs/>
          <w:lang w:val="en-US"/>
        </w:rPr>
        <w:t>European Journal of Neurology</w:t>
      </w:r>
      <w:r w:rsidRPr="001C4B5E">
        <w:rPr>
          <w:lang w:val="en-US"/>
        </w:rPr>
        <w:t xml:space="preserve">, </w:t>
      </w:r>
      <w:r w:rsidRPr="001C4B5E">
        <w:rPr>
          <w:i/>
          <w:iCs/>
          <w:lang w:val="en-US"/>
        </w:rPr>
        <w:t>23</w:t>
      </w:r>
      <w:r w:rsidRPr="001C4B5E">
        <w:rPr>
          <w:lang w:val="en-US"/>
        </w:rPr>
        <w:t>(5), 854–860. https://doi.org/10.1111/ene.12950</w:t>
      </w:r>
    </w:p>
    <w:p w:rsidR="001C4B5E" w:rsidRPr="001C4B5E" w:rsidRDefault="001C4B5E" w:rsidP="001C4B5E">
      <w:pPr>
        <w:pStyle w:val="Literaturverzeichnis"/>
        <w:rPr>
          <w:lang w:val="en-US"/>
        </w:rPr>
      </w:pPr>
      <w:r w:rsidRPr="001C4B5E">
        <w:rPr>
          <w:lang w:val="en-US"/>
        </w:rPr>
        <w:t xml:space="preserve">Rahman, S., Griffin, H. J., Quinn, N. P., &amp; Jahanshahi, M. (2008). Quality of life in Parkinson’s disease: The relative importance of the symptoms. </w:t>
      </w:r>
      <w:r w:rsidRPr="001C4B5E">
        <w:rPr>
          <w:i/>
          <w:iCs/>
          <w:lang w:val="en-US"/>
        </w:rPr>
        <w:t>Movement Disorders</w:t>
      </w:r>
      <w:r w:rsidRPr="001C4B5E">
        <w:rPr>
          <w:lang w:val="en-US"/>
        </w:rPr>
        <w:t xml:space="preserve">, </w:t>
      </w:r>
      <w:r w:rsidRPr="001C4B5E">
        <w:rPr>
          <w:i/>
          <w:iCs/>
          <w:lang w:val="en-US"/>
        </w:rPr>
        <w:t>23</w:t>
      </w:r>
      <w:r w:rsidRPr="001C4B5E">
        <w:rPr>
          <w:lang w:val="en-US"/>
        </w:rPr>
        <w:t>(10), 1428–1434. https://doi.org/10.1002/mds.21667</w:t>
      </w:r>
    </w:p>
    <w:p w:rsidR="001C4B5E" w:rsidRPr="001C4B5E" w:rsidRDefault="001C4B5E" w:rsidP="001C4B5E">
      <w:pPr>
        <w:pStyle w:val="Literaturverzeichnis"/>
        <w:rPr>
          <w:lang w:val="en-US"/>
        </w:rPr>
      </w:pPr>
      <w:r w:rsidRPr="001C4B5E">
        <w:rPr>
          <w:lang w:val="en-US"/>
        </w:rPr>
        <w:t xml:space="preserve">Schielzeth, H., Dingemanse, N. J., Nakagawa, S., Westneat, D. F., Allegue, H., Teplitsky, C., Réale, D., Dochtermann, N. A., Garamszegi, L. Z., &amp; Araya‐Ajoy, Y. G. (2020). Robustness of linear mixed‐effects models to violations of distributional assumptions. </w:t>
      </w:r>
      <w:r w:rsidRPr="001C4B5E">
        <w:rPr>
          <w:i/>
          <w:iCs/>
          <w:lang w:val="en-US"/>
        </w:rPr>
        <w:t>Methods in Ecology and Evolution</w:t>
      </w:r>
      <w:r w:rsidRPr="001C4B5E">
        <w:rPr>
          <w:lang w:val="en-US"/>
        </w:rPr>
        <w:t xml:space="preserve">, </w:t>
      </w:r>
      <w:r w:rsidRPr="001C4B5E">
        <w:rPr>
          <w:i/>
          <w:iCs/>
          <w:lang w:val="en-US"/>
        </w:rPr>
        <w:t>11</w:t>
      </w:r>
      <w:r w:rsidRPr="001C4B5E">
        <w:rPr>
          <w:lang w:val="en-US"/>
        </w:rPr>
        <w:t>(9), 1141–1152. https://doi.org/10.1111/2041-210X.13434</w:t>
      </w:r>
    </w:p>
    <w:p w:rsidR="001C4B5E" w:rsidRPr="001C4B5E" w:rsidRDefault="001C4B5E" w:rsidP="001C4B5E">
      <w:pPr>
        <w:pStyle w:val="Literaturverzeichnis"/>
        <w:rPr>
          <w:lang w:val="en-US"/>
        </w:rPr>
      </w:pPr>
      <w:r w:rsidRPr="001C4B5E">
        <w:rPr>
          <w:lang w:val="en-US"/>
        </w:rPr>
        <w:t xml:space="preserve">Simon, D. K., Tanner, C. M., &amp; Brundin, P. (2020). Parkinson Disease Epidemiology, Pathology, Genetics, and Pathophysiology. </w:t>
      </w:r>
      <w:r w:rsidRPr="001C4B5E">
        <w:rPr>
          <w:i/>
          <w:iCs/>
          <w:lang w:val="en-US"/>
        </w:rPr>
        <w:t>Clinics in Geriatric Medicine</w:t>
      </w:r>
      <w:r w:rsidRPr="001C4B5E">
        <w:rPr>
          <w:lang w:val="en-US"/>
        </w:rPr>
        <w:t xml:space="preserve">, </w:t>
      </w:r>
      <w:r w:rsidRPr="001C4B5E">
        <w:rPr>
          <w:i/>
          <w:iCs/>
          <w:lang w:val="en-US"/>
        </w:rPr>
        <w:t>36</w:t>
      </w:r>
      <w:r w:rsidRPr="001C4B5E">
        <w:rPr>
          <w:lang w:val="en-US"/>
        </w:rPr>
        <w:t>(1), 1–12. https://doi.org/10.1016/j.cger.2019.08.002</w:t>
      </w:r>
    </w:p>
    <w:p w:rsidR="001C4B5E" w:rsidRPr="001C4B5E" w:rsidRDefault="001C4B5E" w:rsidP="001C4B5E">
      <w:pPr>
        <w:pStyle w:val="Literaturverzeichnis"/>
        <w:rPr>
          <w:lang w:val="en-US"/>
        </w:rPr>
      </w:pPr>
      <w:r w:rsidRPr="001C4B5E">
        <w:rPr>
          <w:lang w:val="en-US"/>
        </w:rPr>
        <w:lastRenderedPageBreak/>
        <w:t xml:space="preserve">Telkes, I., Jimenez-Shahed, J., Viswanathan, A., Abosch, A., &amp; Ince, N. F. (2016). Prediction of STN-DBS Electrode Implantation Track in Parkinson’s Disease by Using Local Field Potentials. </w:t>
      </w:r>
      <w:r w:rsidRPr="001C4B5E">
        <w:rPr>
          <w:i/>
          <w:iCs/>
          <w:lang w:val="en-US"/>
        </w:rPr>
        <w:t>Frontiers in Neuroscience</w:t>
      </w:r>
      <w:r w:rsidRPr="001C4B5E">
        <w:rPr>
          <w:lang w:val="en-US"/>
        </w:rPr>
        <w:t xml:space="preserve">, </w:t>
      </w:r>
      <w:r w:rsidRPr="001C4B5E">
        <w:rPr>
          <w:i/>
          <w:iCs/>
          <w:lang w:val="en-US"/>
        </w:rPr>
        <w:t>10</w:t>
      </w:r>
      <w:r w:rsidRPr="001C4B5E">
        <w:rPr>
          <w:lang w:val="en-US"/>
        </w:rPr>
        <w:t>. https://doi.org/10.3389/fnins.2016.00198</w:t>
      </w:r>
    </w:p>
    <w:p w:rsidR="001C4B5E" w:rsidRPr="001C4B5E" w:rsidRDefault="001C4B5E" w:rsidP="001C4B5E">
      <w:pPr>
        <w:pStyle w:val="Literaturverzeichnis"/>
        <w:rPr>
          <w:lang w:val="en-US"/>
        </w:rPr>
      </w:pPr>
      <w:r w:rsidRPr="001C4B5E">
        <w:rPr>
          <w:lang w:val="en-US"/>
        </w:rPr>
        <w:t xml:space="preserve">Telkes, I., Sabourin, S., Durphy, J., Adam, O., Sukul, V., Raviv, N., Staudt, M. D., &amp; Pilitsis, J. G. (2020). Functional Use of Directional Local Field Potentials in the Subthalamic Nucleus Deep Brain Stimulation. </w:t>
      </w:r>
      <w:r w:rsidRPr="001C4B5E">
        <w:rPr>
          <w:i/>
          <w:iCs/>
          <w:lang w:val="en-US"/>
        </w:rPr>
        <w:t>Frontiers in Human Neuroscience</w:t>
      </w:r>
      <w:r w:rsidRPr="001C4B5E">
        <w:rPr>
          <w:lang w:val="en-US"/>
        </w:rPr>
        <w:t xml:space="preserve">, </w:t>
      </w:r>
      <w:r w:rsidRPr="001C4B5E">
        <w:rPr>
          <w:i/>
          <w:iCs/>
          <w:lang w:val="en-US"/>
        </w:rPr>
        <w:t>14</w:t>
      </w:r>
      <w:r w:rsidRPr="001C4B5E">
        <w:rPr>
          <w:lang w:val="en-US"/>
        </w:rPr>
        <w:t>, 145. https://doi.org/10.3389/fnhum.2020.00145</w:t>
      </w:r>
    </w:p>
    <w:p w:rsidR="001C4B5E" w:rsidRPr="001C4B5E" w:rsidRDefault="001C4B5E" w:rsidP="001C4B5E">
      <w:pPr>
        <w:pStyle w:val="Literaturverzeichnis"/>
        <w:rPr>
          <w:lang w:val="en-US"/>
        </w:rPr>
      </w:pPr>
      <w:r w:rsidRPr="001C4B5E">
        <w:rPr>
          <w:lang w:val="en-US"/>
        </w:rPr>
        <w:t xml:space="preserve">Thenganatt, M. A., &amp; Jankovic, J. (2016). The relationship between essential tremor and Parkinson’s disease. </w:t>
      </w:r>
      <w:r w:rsidRPr="001C4B5E">
        <w:rPr>
          <w:i/>
          <w:iCs/>
          <w:lang w:val="en-US"/>
        </w:rPr>
        <w:t>Parkinsonism &amp; Related Disorders</w:t>
      </w:r>
      <w:r w:rsidRPr="001C4B5E">
        <w:rPr>
          <w:lang w:val="en-US"/>
        </w:rPr>
        <w:t xml:space="preserve">, </w:t>
      </w:r>
      <w:r w:rsidRPr="001C4B5E">
        <w:rPr>
          <w:i/>
          <w:iCs/>
          <w:lang w:val="en-US"/>
        </w:rPr>
        <w:t>22</w:t>
      </w:r>
      <w:r w:rsidRPr="001C4B5E">
        <w:rPr>
          <w:lang w:val="en-US"/>
        </w:rPr>
        <w:t>, S162–S165. https://doi.org/10.1016/j.parkreldis.2015.09.032</w:t>
      </w:r>
    </w:p>
    <w:p w:rsidR="001C4B5E" w:rsidRPr="001C4B5E" w:rsidRDefault="001C4B5E" w:rsidP="001C4B5E">
      <w:pPr>
        <w:pStyle w:val="Literaturverzeichnis"/>
        <w:rPr>
          <w:lang w:val="en-US"/>
        </w:rPr>
      </w:pPr>
      <w:r w:rsidRPr="001C4B5E">
        <w:rPr>
          <w:lang w:val="en-US"/>
        </w:rPr>
        <w:t xml:space="preserve">Thenganatt, M. A., &amp; Louis, E. D. (2012). Distinguishing essential tremor from Parkinson’s disease: Bedside tests and laboratory evaluations. </w:t>
      </w:r>
      <w:r w:rsidRPr="001C4B5E">
        <w:rPr>
          <w:i/>
          <w:iCs/>
          <w:lang w:val="en-US"/>
        </w:rPr>
        <w:t>Expert Review of Neurotherapeutics</w:t>
      </w:r>
      <w:r w:rsidRPr="001C4B5E">
        <w:rPr>
          <w:lang w:val="en-US"/>
        </w:rPr>
        <w:t xml:space="preserve">, </w:t>
      </w:r>
      <w:r w:rsidRPr="001C4B5E">
        <w:rPr>
          <w:i/>
          <w:iCs/>
          <w:lang w:val="en-US"/>
        </w:rPr>
        <w:t>12</w:t>
      </w:r>
      <w:r w:rsidRPr="001C4B5E">
        <w:rPr>
          <w:lang w:val="en-US"/>
        </w:rPr>
        <w:t>(6), 687–696. https://doi.org/10.1586/ern.12.49</w:t>
      </w:r>
    </w:p>
    <w:p w:rsidR="001C4B5E" w:rsidRPr="001C4B5E" w:rsidRDefault="001C4B5E" w:rsidP="001C4B5E">
      <w:pPr>
        <w:pStyle w:val="Literaturverzeichnis"/>
        <w:rPr>
          <w:lang w:val="en-US"/>
        </w:rPr>
      </w:pPr>
      <w:r w:rsidRPr="001C4B5E">
        <w:rPr>
          <w:lang w:val="en-US"/>
        </w:rPr>
        <w:t xml:space="preserve">Thompson, J. A., Oukal, S., Bergman, H., Ojemann, S., Hebb, A. O., Hanrahan, S., Israel, Z., &amp; Abosch, A. (2018). Semi-automated application for estimating subthalamic nucleus boundaries and optimal target selection for deep brain stimulation implantation surgery. </w:t>
      </w:r>
      <w:r w:rsidRPr="001C4B5E">
        <w:rPr>
          <w:i/>
          <w:iCs/>
          <w:lang w:val="en-US"/>
        </w:rPr>
        <w:t>Journal of Neurosurgery</w:t>
      </w:r>
      <w:r w:rsidRPr="001C4B5E">
        <w:rPr>
          <w:lang w:val="en-US"/>
        </w:rPr>
        <w:t>, 1–10. https://doi.org/10.3171/2017.12.JNS171964</w:t>
      </w:r>
    </w:p>
    <w:p w:rsidR="001C4B5E" w:rsidRPr="001C4B5E" w:rsidRDefault="001C4B5E" w:rsidP="001C4B5E">
      <w:pPr>
        <w:pStyle w:val="Literaturverzeichnis"/>
        <w:rPr>
          <w:lang w:val="en-US"/>
        </w:rPr>
      </w:pPr>
      <w:r w:rsidRPr="001C4B5E">
        <w:rPr>
          <w:lang w:val="en-US"/>
        </w:rPr>
        <w:t xml:space="preserve">Voytek, B., &amp; Knight, R. T. (2015). Dynamic Network Communication as a Unifying Neural Basis for Cognition, Development, Aging, and Disease. </w:t>
      </w:r>
      <w:r w:rsidRPr="001C4B5E">
        <w:rPr>
          <w:i/>
          <w:iCs/>
          <w:lang w:val="en-US"/>
        </w:rPr>
        <w:t>Biological Psychiatry</w:t>
      </w:r>
      <w:r w:rsidRPr="001C4B5E">
        <w:rPr>
          <w:lang w:val="en-US"/>
        </w:rPr>
        <w:t xml:space="preserve">, </w:t>
      </w:r>
      <w:r w:rsidRPr="001C4B5E">
        <w:rPr>
          <w:i/>
          <w:iCs/>
          <w:lang w:val="en-US"/>
        </w:rPr>
        <w:t>77</w:t>
      </w:r>
      <w:r w:rsidRPr="001C4B5E">
        <w:rPr>
          <w:lang w:val="en-US"/>
        </w:rPr>
        <w:t>(12), 1089–1097. https://doi.org/10.1016/j.biopsych.2015.04.016</w:t>
      </w:r>
    </w:p>
    <w:p w:rsidR="001C4B5E" w:rsidRDefault="001C4B5E" w:rsidP="001C4B5E">
      <w:pPr>
        <w:pStyle w:val="Literaturverzeichnis"/>
      </w:pPr>
      <w:r w:rsidRPr="001C4B5E">
        <w:rPr>
          <w:lang w:val="en-US"/>
        </w:rPr>
        <w:t xml:space="preserve">Wichmann, T. (2019). Changing views of the pathophysiology of Parkinsonism. </w:t>
      </w:r>
      <w:r>
        <w:rPr>
          <w:i/>
          <w:iCs/>
        </w:rPr>
        <w:t>Movement Disorders</w:t>
      </w:r>
      <w:r>
        <w:t xml:space="preserve">, </w:t>
      </w:r>
      <w:r>
        <w:rPr>
          <w:i/>
          <w:iCs/>
        </w:rPr>
        <w:t>34</w:t>
      </w:r>
      <w:r>
        <w:t>(8), 1130–1143. https://doi.org/10.1002/mds.27741</w:t>
      </w:r>
    </w:p>
    <w:p w:rsidR="001C4B5E" w:rsidRDefault="001C4B5E" w:rsidP="001C4B5E">
      <w:pPr>
        <w:pStyle w:val="Literaturverzeichnis"/>
      </w:pPr>
      <w:r>
        <w:t xml:space="preserve">Zaidel, A., Spivak, A., Grieb, B., Bergman, H., &amp; Israel, Z. (2010). </w:t>
      </w:r>
      <w:r w:rsidRPr="001C4B5E">
        <w:rPr>
          <w:lang w:val="en-US"/>
        </w:rPr>
        <w:t xml:space="preserve">Subthalamic span of oscillations predicts deep brain stimulation efficacy for patients with Parkinson’s disease. </w:t>
      </w:r>
      <w:r>
        <w:rPr>
          <w:i/>
          <w:iCs/>
        </w:rPr>
        <w:t>Brain</w:t>
      </w:r>
      <w:r>
        <w:t xml:space="preserve">, </w:t>
      </w:r>
      <w:r>
        <w:rPr>
          <w:i/>
          <w:iCs/>
        </w:rPr>
        <w:t>133</w:t>
      </w:r>
      <w:r>
        <w:t>(7), 2007–2021. https://doi.org/10.1093/brain/awq144</w:t>
      </w:r>
    </w:p>
    <w:p w:rsidR="0007089E" w:rsidRPr="00415C65" w:rsidRDefault="00D26C2C" w:rsidP="00F9011C">
      <w:pPr>
        <w:rPr>
          <w:lang w:val="en-US"/>
        </w:rPr>
      </w:pPr>
      <w:r>
        <w:rPr>
          <w:lang w:val="en-US"/>
        </w:rPr>
        <w:fldChar w:fldCharType="end"/>
      </w:r>
    </w:p>
    <w:sectPr w:rsidR="0007089E" w:rsidRPr="00415C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00368"/>
    <w:rsid w:val="00003911"/>
    <w:rsid w:val="00003C21"/>
    <w:rsid w:val="0000655A"/>
    <w:rsid w:val="0001456B"/>
    <w:rsid w:val="00023F1B"/>
    <w:rsid w:val="00030807"/>
    <w:rsid w:val="00030E79"/>
    <w:rsid w:val="00031E37"/>
    <w:rsid w:val="000502CA"/>
    <w:rsid w:val="0006445C"/>
    <w:rsid w:val="0006494A"/>
    <w:rsid w:val="00064BC6"/>
    <w:rsid w:val="0007089E"/>
    <w:rsid w:val="000716BE"/>
    <w:rsid w:val="00080289"/>
    <w:rsid w:val="00084A45"/>
    <w:rsid w:val="00087CA9"/>
    <w:rsid w:val="00094EA7"/>
    <w:rsid w:val="000A2779"/>
    <w:rsid w:val="000A59CC"/>
    <w:rsid w:val="000A7B2C"/>
    <w:rsid w:val="000A7E18"/>
    <w:rsid w:val="000B55FD"/>
    <w:rsid w:val="000B6912"/>
    <w:rsid w:val="000C2C56"/>
    <w:rsid w:val="000C366C"/>
    <w:rsid w:val="000C43BE"/>
    <w:rsid w:val="000C5BA2"/>
    <w:rsid w:val="000D00F4"/>
    <w:rsid w:val="000D0B7B"/>
    <w:rsid w:val="000D188D"/>
    <w:rsid w:val="000D4712"/>
    <w:rsid w:val="000D6596"/>
    <w:rsid w:val="000E1DA9"/>
    <w:rsid w:val="000E3A63"/>
    <w:rsid w:val="000E7629"/>
    <w:rsid w:val="000F0842"/>
    <w:rsid w:val="000F1D68"/>
    <w:rsid w:val="000F3E58"/>
    <w:rsid w:val="00103A37"/>
    <w:rsid w:val="00104D5F"/>
    <w:rsid w:val="00105260"/>
    <w:rsid w:val="00113861"/>
    <w:rsid w:val="001166D2"/>
    <w:rsid w:val="0011688D"/>
    <w:rsid w:val="00117895"/>
    <w:rsid w:val="001225A7"/>
    <w:rsid w:val="001238AA"/>
    <w:rsid w:val="00124FD4"/>
    <w:rsid w:val="001324D7"/>
    <w:rsid w:val="00142857"/>
    <w:rsid w:val="00151D50"/>
    <w:rsid w:val="00155869"/>
    <w:rsid w:val="00155949"/>
    <w:rsid w:val="001579F1"/>
    <w:rsid w:val="00171926"/>
    <w:rsid w:val="00183EF5"/>
    <w:rsid w:val="00190BF4"/>
    <w:rsid w:val="00193E0E"/>
    <w:rsid w:val="00193E65"/>
    <w:rsid w:val="00196173"/>
    <w:rsid w:val="001A107E"/>
    <w:rsid w:val="001A4C03"/>
    <w:rsid w:val="001A759A"/>
    <w:rsid w:val="001B2C1C"/>
    <w:rsid w:val="001B40AC"/>
    <w:rsid w:val="001B40C0"/>
    <w:rsid w:val="001B472F"/>
    <w:rsid w:val="001B5C96"/>
    <w:rsid w:val="001C4291"/>
    <w:rsid w:val="001C4B5E"/>
    <w:rsid w:val="001C57BB"/>
    <w:rsid w:val="001C7A6F"/>
    <w:rsid w:val="001D7CCD"/>
    <w:rsid w:val="001F213D"/>
    <w:rsid w:val="001F2601"/>
    <w:rsid w:val="001F6663"/>
    <w:rsid w:val="001F6781"/>
    <w:rsid w:val="001F68C6"/>
    <w:rsid w:val="00202D62"/>
    <w:rsid w:val="00206261"/>
    <w:rsid w:val="0020690E"/>
    <w:rsid w:val="00206C21"/>
    <w:rsid w:val="0021190D"/>
    <w:rsid w:val="002128B3"/>
    <w:rsid w:val="00217D73"/>
    <w:rsid w:val="002218C5"/>
    <w:rsid w:val="00230440"/>
    <w:rsid w:val="00232E75"/>
    <w:rsid w:val="0023392E"/>
    <w:rsid w:val="00245ED2"/>
    <w:rsid w:val="0024755B"/>
    <w:rsid w:val="00250996"/>
    <w:rsid w:val="00253D57"/>
    <w:rsid w:val="00254332"/>
    <w:rsid w:val="00255E11"/>
    <w:rsid w:val="0026647E"/>
    <w:rsid w:val="00267210"/>
    <w:rsid w:val="002810FD"/>
    <w:rsid w:val="0028116E"/>
    <w:rsid w:val="002A2765"/>
    <w:rsid w:val="002A3CF9"/>
    <w:rsid w:val="002A5B77"/>
    <w:rsid w:val="002B033C"/>
    <w:rsid w:val="002B3B68"/>
    <w:rsid w:val="002C0AF9"/>
    <w:rsid w:val="002E1176"/>
    <w:rsid w:val="002F21E3"/>
    <w:rsid w:val="002F2462"/>
    <w:rsid w:val="002F55DE"/>
    <w:rsid w:val="002F5F14"/>
    <w:rsid w:val="002F7E01"/>
    <w:rsid w:val="00304D59"/>
    <w:rsid w:val="00306F70"/>
    <w:rsid w:val="00307BA4"/>
    <w:rsid w:val="00317441"/>
    <w:rsid w:val="0032010C"/>
    <w:rsid w:val="00321F42"/>
    <w:rsid w:val="003235F2"/>
    <w:rsid w:val="00325C5E"/>
    <w:rsid w:val="003349A0"/>
    <w:rsid w:val="00335719"/>
    <w:rsid w:val="00335D4C"/>
    <w:rsid w:val="0033728A"/>
    <w:rsid w:val="00337D8D"/>
    <w:rsid w:val="00341361"/>
    <w:rsid w:val="00341376"/>
    <w:rsid w:val="00342718"/>
    <w:rsid w:val="00343C6C"/>
    <w:rsid w:val="00345E7A"/>
    <w:rsid w:val="0034643F"/>
    <w:rsid w:val="00354074"/>
    <w:rsid w:val="003542BC"/>
    <w:rsid w:val="00354E21"/>
    <w:rsid w:val="0035508D"/>
    <w:rsid w:val="00360434"/>
    <w:rsid w:val="00361555"/>
    <w:rsid w:val="00377AFD"/>
    <w:rsid w:val="003804D7"/>
    <w:rsid w:val="00381D25"/>
    <w:rsid w:val="00392EE0"/>
    <w:rsid w:val="00393D36"/>
    <w:rsid w:val="00394DE3"/>
    <w:rsid w:val="00396391"/>
    <w:rsid w:val="00396A46"/>
    <w:rsid w:val="00397851"/>
    <w:rsid w:val="003A42A8"/>
    <w:rsid w:val="003A467F"/>
    <w:rsid w:val="003A538C"/>
    <w:rsid w:val="003A79D9"/>
    <w:rsid w:val="003B4970"/>
    <w:rsid w:val="003C24C5"/>
    <w:rsid w:val="003C26E7"/>
    <w:rsid w:val="003C71DA"/>
    <w:rsid w:val="003C78F7"/>
    <w:rsid w:val="003D06CC"/>
    <w:rsid w:val="003E1B09"/>
    <w:rsid w:val="003E434A"/>
    <w:rsid w:val="003E4BE1"/>
    <w:rsid w:val="003F42FA"/>
    <w:rsid w:val="003F70B6"/>
    <w:rsid w:val="004000B0"/>
    <w:rsid w:val="00400442"/>
    <w:rsid w:val="004036E5"/>
    <w:rsid w:val="00403A86"/>
    <w:rsid w:val="00403EFA"/>
    <w:rsid w:val="00403FCE"/>
    <w:rsid w:val="0040745D"/>
    <w:rsid w:val="00415C65"/>
    <w:rsid w:val="00415F05"/>
    <w:rsid w:val="00430E9B"/>
    <w:rsid w:val="0044125E"/>
    <w:rsid w:val="00441A07"/>
    <w:rsid w:val="00446D46"/>
    <w:rsid w:val="00447304"/>
    <w:rsid w:val="00450CBA"/>
    <w:rsid w:val="0045240F"/>
    <w:rsid w:val="00454B1E"/>
    <w:rsid w:val="004550A5"/>
    <w:rsid w:val="00460855"/>
    <w:rsid w:val="004622A3"/>
    <w:rsid w:val="00465A31"/>
    <w:rsid w:val="00465D1F"/>
    <w:rsid w:val="0047219A"/>
    <w:rsid w:val="00475349"/>
    <w:rsid w:val="004778B5"/>
    <w:rsid w:val="004810E6"/>
    <w:rsid w:val="00483437"/>
    <w:rsid w:val="004904A7"/>
    <w:rsid w:val="00492E17"/>
    <w:rsid w:val="0049460C"/>
    <w:rsid w:val="004A551C"/>
    <w:rsid w:val="004A7834"/>
    <w:rsid w:val="004B117D"/>
    <w:rsid w:val="004B1A26"/>
    <w:rsid w:val="004B3024"/>
    <w:rsid w:val="004B5E2E"/>
    <w:rsid w:val="004C3764"/>
    <w:rsid w:val="004C51EE"/>
    <w:rsid w:val="004C62A2"/>
    <w:rsid w:val="004C7615"/>
    <w:rsid w:val="004D0B8A"/>
    <w:rsid w:val="004D1546"/>
    <w:rsid w:val="004D5968"/>
    <w:rsid w:val="004D5C32"/>
    <w:rsid w:val="004D6C77"/>
    <w:rsid w:val="004D7765"/>
    <w:rsid w:val="004E28B4"/>
    <w:rsid w:val="004F60B1"/>
    <w:rsid w:val="00503B13"/>
    <w:rsid w:val="00503E2D"/>
    <w:rsid w:val="0051280E"/>
    <w:rsid w:val="00516698"/>
    <w:rsid w:val="00527BD2"/>
    <w:rsid w:val="0053542A"/>
    <w:rsid w:val="00541C3B"/>
    <w:rsid w:val="0054334D"/>
    <w:rsid w:val="00545DA4"/>
    <w:rsid w:val="00545DE5"/>
    <w:rsid w:val="0055306F"/>
    <w:rsid w:val="00557FEB"/>
    <w:rsid w:val="00562463"/>
    <w:rsid w:val="005643EF"/>
    <w:rsid w:val="005914D3"/>
    <w:rsid w:val="0059460D"/>
    <w:rsid w:val="00596F24"/>
    <w:rsid w:val="005A139C"/>
    <w:rsid w:val="005A17E7"/>
    <w:rsid w:val="005A38F4"/>
    <w:rsid w:val="005A5A41"/>
    <w:rsid w:val="005B233D"/>
    <w:rsid w:val="005B2AEA"/>
    <w:rsid w:val="005C0164"/>
    <w:rsid w:val="005C10C5"/>
    <w:rsid w:val="005C311D"/>
    <w:rsid w:val="005C413E"/>
    <w:rsid w:val="005D189F"/>
    <w:rsid w:val="005D6C98"/>
    <w:rsid w:val="005E28DA"/>
    <w:rsid w:val="005E3203"/>
    <w:rsid w:val="005F0D0D"/>
    <w:rsid w:val="005F128F"/>
    <w:rsid w:val="005F4B73"/>
    <w:rsid w:val="005F4D0E"/>
    <w:rsid w:val="005F6D74"/>
    <w:rsid w:val="005F71FB"/>
    <w:rsid w:val="005F79CC"/>
    <w:rsid w:val="006045B8"/>
    <w:rsid w:val="00606DE4"/>
    <w:rsid w:val="00607622"/>
    <w:rsid w:val="00610D3E"/>
    <w:rsid w:val="00612B79"/>
    <w:rsid w:val="006132A0"/>
    <w:rsid w:val="0061355F"/>
    <w:rsid w:val="00615268"/>
    <w:rsid w:val="00616DBA"/>
    <w:rsid w:val="00623A73"/>
    <w:rsid w:val="006257D1"/>
    <w:rsid w:val="00626AE7"/>
    <w:rsid w:val="006279A1"/>
    <w:rsid w:val="00630274"/>
    <w:rsid w:val="00633C0C"/>
    <w:rsid w:val="00635E49"/>
    <w:rsid w:val="006407F7"/>
    <w:rsid w:val="0064535B"/>
    <w:rsid w:val="00655BEC"/>
    <w:rsid w:val="00663B3B"/>
    <w:rsid w:val="0066637E"/>
    <w:rsid w:val="0067427F"/>
    <w:rsid w:val="006804F1"/>
    <w:rsid w:val="00680AAF"/>
    <w:rsid w:val="00681A68"/>
    <w:rsid w:val="006868EC"/>
    <w:rsid w:val="00692037"/>
    <w:rsid w:val="006949A2"/>
    <w:rsid w:val="00694CDE"/>
    <w:rsid w:val="006A007A"/>
    <w:rsid w:val="006A1123"/>
    <w:rsid w:val="006A24F5"/>
    <w:rsid w:val="006A443F"/>
    <w:rsid w:val="006A735B"/>
    <w:rsid w:val="006A7676"/>
    <w:rsid w:val="006B0A1E"/>
    <w:rsid w:val="006B18AD"/>
    <w:rsid w:val="006B416F"/>
    <w:rsid w:val="006B65CD"/>
    <w:rsid w:val="006C0314"/>
    <w:rsid w:val="006C0BC0"/>
    <w:rsid w:val="006C5A05"/>
    <w:rsid w:val="006C5A40"/>
    <w:rsid w:val="006D64CD"/>
    <w:rsid w:val="006E072C"/>
    <w:rsid w:val="006E4456"/>
    <w:rsid w:val="006E732E"/>
    <w:rsid w:val="006F1E21"/>
    <w:rsid w:val="007054DD"/>
    <w:rsid w:val="00707B15"/>
    <w:rsid w:val="00714095"/>
    <w:rsid w:val="0071419B"/>
    <w:rsid w:val="00717323"/>
    <w:rsid w:val="00720C7A"/>
    <w:rsid w:val="00722001"/>
    <w:rsid w:val="00732F2D"/>
    <w:rsid w:val="00745B25"/>
    <w:rsid w:val="00746345"/>
    <w:rsid w:val="00746F1F"/>
    <w:rsid w:val="00753235"/>
    <w:rsid w:val="00754537"/>
    <w:rsid w:val="007546E7"/>
    <w:rsid w:val="00761855"/>
    <w:rsid w:val="00770A1C"/>
    <w:rsid w:val="007717F4"/>
    <w:rsid w:val="0078306A"/>
    <w:rsid w:val="00783604"/>
    <w:rsid w:val="00785F35"/>
    <w:rsid w:val="007943FC"/>
    <w:rsid w:val="007954D3"/>
    <w:rsid w:val="00795CA5"/>
    <w:rsid w:val="0079625F"/>
    <w:rsid w:val="007973F5"/>
    <w:rsid w:val="007A538E"/>
    <w:rsid w:val="007B13F9"/>
    <w:rsid w:val="007B2BE2"/>
    <w:rsid w:val="007B3B38"/>
    <w:rsid w:val="007C132B"/>
    <w:rsid w:val="007C221B"/>
    <w:rsid w:val="007C4638"/>
    <w:rsid w:val="007E24C7"/>
    <w:rsid w:val="007E4E37"/>
    <w:rsid w:val="007F07C3"/>
    <w:rsid w:val="007F47B2"/>
    <w:rsid w:val="007F6159"/>
    <w:rsid w:val="00803919"/>
    <w:rsid w:val="008044D6"/>
    <w:rsid w:val="00805A2D"/>
    <w:rsid w:val="008072CF"/>
    <w:rsid w:val="008108A7"/>
    <w:rsid w:val="00821B87"/>
    <w:rsid w:val="00823ED0"/>
    <w:rsid w:val="00823F52"/>
    <w:rsid w:val="00825F2E"/>
    <w:rsid w:val="00831127"/>
    <w:rsid w:val="00833E8F"/>
    <w:rsid w:val="008423B7"/>
    <w:rsid w:val="00842AF4"/>
    <w:rsid w:val="00842EDA"/>
    <w:rsid w:val="00843FF4"/>
    <w:rsid w:val="00847716"/>
    <w:rsid w:val="00852527"/>
    <w:rsid w:val="0085282E"/>
    <w:rsid w:val="00853078"/>
    <w:rsid w:val="0085728D"/>
    <w:rsid w:val="008637AB"/>
    <w:rsid w:val="00863B8E"/>
    <w:rsid w:val="00866225"/>
    <w:rsid w:val="00867786"/>
    <w:rsid w:val="008724AD"/>
    <w:rsid w:val="00872575"/>
    <w:rsid w:val="00875986"/>
    <w:rsid w:val="008813BD"/>
    <w:rsid w:val="00897722"/>
    <w:rsid w:val="0089781C"/>
    <w:rsid w:val="00897AE4"/>
    <w:rsid w:val="008A2AD0"/>
    <w:rsid w:val="008A6E05"/>
    <w:rsid w:val="008B1E28"/>
    <w:rsid w:val="008B546F"/>
    <w:rsid w:val="008B6691"/>
    <w:rsid w:val="008C2BEA"/>
    <w:rsid w:val="008C59A1"/>
    <w:rsid w:val="008C5FBA"/>
    <w:rsid w:val="008D15C4"/>
    <w:rsid w:val="008D1C0B"/>
    <w:rsid w:val="008D4B6A"/>
    <w:rsid w:val="008D7AD9"/>
    <w:rsid w:val="008E1846"/>
    <w:rsid w:val="008E66E5"/>
    <w:rsid w:val="008E707B"/>
    <w:rsid w:val="008F1774"/>
    <w:rsid w:val="008F6B7C"/>
    <w:rsid w:val="00912E0E"/>
    <w:rsid w:val="00912FB2"/>
    <w:rsid w:val="0091701B"/>
    <w:rsid w:val="0092094A"/>
    <w:rsid w:val="009229BA"/>
    <w:rsid w:val="009244FB"/>
    <w:rsid w:val="0092475B"/>
    <w:rsid w:val="00927A54"/>
    <w:rsid w:val="0093676D"/>
    <w:rsid w:val="00942303"/>
    <w:rsid w:val="00942BDB"/>
    <w:rsid w:val="00942FA8"/>
    <w:rsid w:val="00943331"/>
    <w:rsid w:val="00944800"/>
    <w:rsid w:val="009563DC"/>
    <w:rsid w:val="00956D07"/>
    <w:rsid w:val="00966214"/>
    <w:rsid w:val="0097193C"/>
    <w:rsid w:val="009829BB"/>
    <w:rsid w:val="00986457"/>
    <w:rsid w:val="00997325"/>
    <w:rsid w:val="00997D2F"/>
    <w:rsid w:val="009A1054"/>
    <w:rsid w:val="009A227E"/>
    <w:rsid w:val="009A4A90"/>
    <w:rsid w:val="009B4733"/>
    <w:rsid w:val="009C2B17"/>
    <w:rsid w:val="009C3907"/>
    <w:rsid w:val="009C41D7"/>
    <w:rsid w:val="009C4706"/>
    <w:rsid w:val="009C7A7B"/>
    <w:rsid w:val="009D21C5"/>
    <w:rsid w:val="009E164B"/>
    <w:rsid w:val="009F0BD2"/>
    <w:rsid w:val="009F2646"/>
    <w:rsid w:val="009F2C28"/>
    <w:rsid w:val="00A045D7"/>
    <w:rsid w:val="00A05DBF"/>
    <w:rsid w:val="00A06DE3"/>
    <w:rsid w:val="00A11FF6"/>
    <w:rsid w:val="00A125A2"/>
    <w:rsid w:val="00A130E3"/>
    <w:rsid w:val="00A1348D"/>
    <w:rsid w:val="00A236E8"/>
    <w:rsid w:val="00A25B47"/>
    <w:rsid w:val="00A33422"/>
    <w:rsid w:val="00A43161"/>
    <w:rsid w:val="00A43F20"/>
    <w:rsid w:val="00A458C8"/>
    <w:rsid w:val="00A47FB2"/>
    <w:rsid w:val="00A51B3E"/>
    <w:rsid w:val="00A546EE"/>
    <w:rsid w:val="00A6045F"/>
    <w:rsid w:val="00A81F12"/>
    <w:rsid w:val="00A82198"/>
    <w:rsid w:val="00A82E5D"/>
    <w:rsid w:val="00A8416D"/>
    <w:rsid w:val="00A87B9E"/>
    <w:rsid w:val="00A90AB8"/>
    <w:rsid w:val="00A92D87"/>
    <w:rsid w:val="00A92E93"/>
    <w:rsid w:val="00A93D10"/>
    <w:rsid w:val="00AA14DD"/>
    <w:rsid w:val="00AA520A"/>
    <w:rsid w:val="00AB5A7E"/>
    <w:rsid w:val="00AB6FCF"/>
    <w:rsid w:val="00AD4E9E"/>
    <w:rsid w:val="00AD619B"/>
    <w:rsid w:val="00AE35F8"/>
    <w:rsid w:val="00AF1A6E"/>
    <w:rsid w:val="00AF6079"/>
    <w:rsid w:val="00B00B23"/>
    <w:rsid w:val="00B13614"/>
    <w:rsid w:val="00B17ACC"/>
    <w:rsid w:val="00B20730"/>
    <w:rsid w:val="00B20E7A"/>
    <w:rsid w:val="00B21298"/>
    <w:rsid w:val="00B2426C"/>
    <w:rsid w:val="00B24691"/>
    <w:rsid w:val="00B30E54"/>
    <w:rsid w:val="00B312D7"/>
    <w:rsid w:val="00B33C26"/>
    <w:rsid w:val="00B35EA1"/>
    <w:rsid w:val="00B36BC8"/>
    <w:rsid w:val="00B43223"/>
    <w:rsid w:val="00B43C14"/>
    <w:rsid w:val="00B47553"/>
    <w:rsid w:val="00B47FD4"/>
    <w:rsid w:val="00B53390"/>
    <w:rsid w:val="00B55603"/>
    <w:rsid w:val="00B579DE"/>
    <w:rsid w:val="00B61CB9"/>
    <w:rsid w:val="00B679D1"/>
    <w:rsid w:val="00B67AB5"/>
    <w:rsid w:val="00B716D2"/>
    <w:rsid w:val="00B73E19"/>
    <w:rsid w:val="00B77089"/>
    <w:rsid w:val="00B77A63"/>
    <w:rsid w:val="00B77D49"/>
    <w:rsid w:val="00B84E11"/>
    <w:rsid w:val="00B861AE"/>
    <w:rsid w:val="00B86607"/>
    <w:rsid w:val="00B86D3C"/>
    <w:rsid w:val="00B91321"/>
    <w:rsid w:val="00B9395C"/>
    <w:rsid w:val="00B94287"/>
    <w:rsid w:val="00B958E0"/>
    <w:rsid w:val="00BA3F56"/>
    <w:rsid w:val="00BA6F4A"/>
    <w:rsid w:val="00BB0F3D"/>
    <w:rsid w:val="00BB72C8"/>
    <w:rsid w:val="00BC0E72"/>
    <w:rsid w:val="00BC250B"/>
    <w:rsid w:val="00BC6192"/>
    <w:rsid w:val="00BC6D48"/>
    <w:rsid w:val="00BD0535"/>
    <w:rsid w:val="00BD31C8"/>
    <w:rsid w:val="00BD410F"/>
    <w:rsid w:val="00BE14B3"/>
    <w:rsid w:val="00BE20E5"/>
    <w:rsid w:val="00BF1CB7"/>
    <w:rsid w:val="00C00E12"/>
    <w:rsid w:val="00C041A8"/>
    <w:rsid w:val="00C073B8"/>
    <w:rsid w:val="00C141B0"/>
    <w:rsid w:val="00C16DA5"/>
    <w:rsid w:val="00C269DB"/>
    <w:rsid w:val="00C33B2D"/>
    <w:rsid w:val="00C354B8"/>
    <w:rsid w:val="00C36D16"/>
    <w:rsid w:val="00C37B5C"/>
    <w:rsid w:val="00C54190"/>
    <w:rsid w:val="00C54FC8"/>
    <w:rsid w:val="00C56B62"/>
    <w:rsid w:val="00C6070B"/>
    <w:rsid w:val="00C62577"/>
    <w:rsid w:val="00C62D1C"/>
    <w:rsid w:val="00C648A4"/>
    <w:rsid w:val="00C704AE"/>
    <w:rsid w:val="00C76B2F"/>
    <w:rsid w:val="00C773F4"/>
    <w:rsid w:val="00C801F7"/>
    <w:rsid w:val="00C81150"/>
    <w:rsid w:val="00C87F2F"/>
    <w:rsid w:val="00C91C5C"/>
    <w:rsid w:val="00C92CD3"/>
    <w:rsid w:val="00C9335A"/>
    <w:rsid w:val="00C94F55"/>
    <w:rsid w:val="00CA4299"/>
    <w:rsid w:val="00CA7EC0"/>
    <w:rsid w:val="00CB3974"/>
    <w:rsid w:val="00CB3F02"/>
    <w:rsid w:val="00CB49E6"/>
    <w:rsid w:val="00CB4C93"/>
    <w:rsid w:val="00CB74F0"/>
    <w:rsid w:val="00CC5EAA"/>
    <w:rsid w:val="00CC67CF"/>
    <w:rsid w:val="00CD47DF"/>
    <w:rsid w:val="00CD7D71"/>
    <w:rsid w:val="00CD7FA9"/>
    <w:rsid w:val="00CE04C8"/>
    <w:rsid w:val="00CE1690"/>
    <w:rsid w:val="00CE47C9"/>
    <w:rsid w:val="00CE73A8"/>
    <w:rsid w:val="00CE7D6F"/>
    <w:rsid w:val="00CF138F"/>
    <w:rsid w:val="00CF2797"/>
    <w:rsid w:val="00D13501"/>
    <w:rsid w:val="00D13EC1"/>
    <w:rsid w:val="00D14511"/>
    <w:rsid w:val="00D21565"/>
    <w:rsid w:val="00D22916"/>
    <w:rsid w:val="00D23BEA"/>
    <w:rsid w:val="00D26B4D"/>
    <w:rsid w:val="00D26C2C"/>
    <w:rsid w:val="00D33CC9"/>
    <w:rsid w:val="00D34323"/>
    <w:rsid w:val="00D37F49"/>
    <w:rsid w:val="00D41A87"/>
    <w:rsid w:val="00D41FFA"/>
    <w:rsid w:val="00D4260A"/>
    <w:rsid w:val="00D45D71"/>
    <w:rsid w:val="00D5555C"/>
    <w:rsid w:val="00D556BB"/>
    <w:rsid w:val="00D60E01"/>
    <w:rsid w:val="00D625F0"/>
    <w:rsid w:val="00D64C7A"/>
    <w:rsid w:val="00D659D2"/>
    <w:rsid w:val="00D65F3D"/>
    <w:rsid w:val="00D66911"/>
    <w:rsid w:val="00D67C89"/>
    <w:rsid w:val="00D7004D"/>
    <w:rsid w:val="00D82083"/>
    <w:rsid w:val="00D82EED"/>
    <w:rsid w:val="00D95A67"/>
    <w:rsid w:val="00D95EBB"/>
    <w:rsid w:val="00D97AB8"/>
    <w:rsid w:val="00DA12FA"/>
    <w:rsid w:val="00DA1F01"/>
    <w:rsid w:val="00DA4FB4"/>
    <w:rsid w:val="00DB03FE"/>
    <w:rsid w:val="00DB3D34"/>
    <w:rsid w:val="00DB5039"/>
    <w:rsid w:val="00DB648D"/>
    <w:rsid w:val="00DB7C45"/>
    <w:rsid w:val="00DC360E"/>
    <w:rsid w:val="00DC5856"/>
    <w:rsid w:val="00DD186D"/>
    <w:rsid w:val="00DD1A90"/>
    <w:rsid w:val="00DD3702"/>
    <w:rsid w:val="00DE1CDC"/>
    <w:rsid w:val="00DE435A"/>
    <w:rsid w:val="00DF2E07"/>
    <w:rsid w:val="00DF6E10"/>
    <w:rsid w:val="00E006EC"/>
    <w:rsid w:val="00E00DBC"/>
    <w:rsid w:val="00E01DC6"/>
    <w:rsid w:val="00E060EA"/>
    <w:rsid w:val="00E1148E"/>
    <w:rsid w:val="00E14194"/>
    <w:rsid w:val="00E17474"/>
    <w:rsid w:val="00E17525"/>
    <w:rsid w:val="00E17D48"/>
    <w:rsid w:val="00E17EC6"/>
    <w:rsid w:val="00E230CE"/>
    <w:rsid w:val="00E26200"/>
    <w:rsid w:val="00E26E9F"/>
    <w:rsid w:val="00E3180C"/>
    <w:rsid w:val="00E35838"/>
    <w:rsid w:val="00E36320"/>
    <w:rsid w:val="00E5355F"/>
    <w:rsid w:val="00E635F2"/>
    <w:rsid w:val="00E65182"/>
    <w:rsid w:val="00E670E0"/>
    <w:rsid w:val="00E704C7"/>
    <w:rsid w:val="00E735EB"/>
    <w:rsid w:val="00E74455"/>
    <w:rsid w:val="00E85563"/>
    <w:rsid w:val="00E8660E"/>
    <w:rsid w:val="00E871FE"/>
    <w:rsid w:val="00E9447D"/>
    <w:rsid w:val="00E97C3E"/>
    <w:rsid w:val="00EA3C7A"/>
    <w:rsid w:val="00EA4FAA"/>
    <w:rsid w:val="00EA5EE9"/>
    <w:rsid w:val="00EB624F"/>
    <w:rsid w:val="00EC3B09"/>
    <w:rsid w:val="00ED2315"/>
    <w:rsid w:val="00ED36E1"/>
    <w:rsid w:val="00ED5162"/>
    <w:rsid w:val="00EE0F79"/>
    <w:rsid w:val="00EE1234"/>
    <w:rsid w:val="00EF2E9F"/>
    <w:rsid w:val="00EF5196"/>
    <w:rsid w:val="00EF627E"/>
    <w:rsid w:val="00EF6A05"/>
    <w:rsid w:val="00F07B62"/>
    <w:rsid w:val="00F17AE3"/>
    <w:rsid w:val="00F209E7"/>
    <w:rsid w:val="00F234B7"/>
    <w:rsid w:val="00F23AD3"/>
    <w:rsid w:val="00F26140"/>
    <w:rsid w:val="00F26471"/>
    <w:rsid w:val="00F2656C"/>
    <w:rsid w:val="00F30356"/>
    <w:rsid w:val="00F36ED1"/>
    <w:rsid w:val="00F4057B"/>
    <w:rsid w:val="00F45874"/>
    <w:rsid w:val="00F50C5B"/>
    <w:rsid w:val="00F53E1D"/>
    <w:rsid w:val="00F576AF"/>
    <w:rsid w:val="00F577BF"/>
    <w:rsid w:val="00F6126C"/>
    <w:rsid w:val="00F63A22"/>
    <w:rsid w:val="00F65A91"/>
    <w:rsid w:val="00F70B1B"/>
    <w:rsid w:val="00F7580F"/>
    <w:rsid w:val="00F7695A"/>
    <w:rsid w:val="00F77EC2"/>
    <w:rsid w:val="00F83E31"/>
    <w:rsid w:val="00F858AF"/>
    <w:rsid w:val="00F9011C"/>
    <w:rsid w:val="00F96889"/>
    <w:rsid w:val="00F96CB9"/>
    <w:rsid w:val="00F97B00"/>
    <w:rsid w:val="00FA0E4A"/>
    <w:rsid w:val="00FA6E57"/>
    <w:rsid w:val="00FA7950"/>
    <w:rsid w:val="00FB14CA"/>
    <w:rsid w:val="00FB2138"/>
    <w:rsid w:val="00FB72CF"/>
    <w:rsid w:val="00FC0B88"/>
    <w:rsid w:val="00FC5862"/>
    <w:rsid w:val="00FD199E"/>
    <w:rsid w:val="00FD3B36"/>
    <w:rsid w:val="00FD57B9"/>
    <w:rsid w:val="00FE115F"/>
    <w:rsid w:val="00FE568A"/>
    <w:rsid w:val="00FE684F"/>
    <w:rsid w:val="00FF204A"/>
    <w:rsid w:val="00FF4E18"/>
    <w:rsid w:val="00FF60D9"/>
    <w:rsid w:val="00FF7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78AE5-EE52-45B8-8C61-4328F70E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3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 w:type="character" w:customStyle="1" w:styleId="berschrift1Zchn">
    <w:name w:val="Überschrift 1 Zchn"/>
    <w:basedOn w:val="Absatz-Standardschriftart"/>
    <w:link w:val="berschrift1"/>
    <w:uiPriority w:val="9"/>
    <w:rsid w:val="00503E2D"/>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6949A2"/>
    <w:rPr>
      <w:color w:val="0563C1" w:themeColor="hyperlink"/>
      <w:u w:val="single"/>
    </w:rPr>
  </w:style>
  <w:style w:type="paragraph" w:styleId="Literaturverzeichnis">
    <w:name w:val="Bibliography"/>
    <w:basedOn w:val="Standard"/>
    <w:next w:val="Standard"/>
    <w:uiPriority w:val="37"/>
    <w:unhideWhenUsed/>
    <w:rsid w:val="00D26C2C"/>
    <w:pPr>
      <w:spacing w:after="0" w:line="480" w:lineRule="auto"/>
      <w:ind w:left="720" w:hanging="720"/>
    </w:pPr>
  </w:style>
  <w:style w:type="character" w:styleId="Kommentarzeichen">
    <w:name w:val="annotation reference"/>
    <w:basedOn w:val="Absatz-Standardschriftart"/>
    <w:uiPriority w:val="99"/>
    <w:semiHidden/>
    <w:unhideWhenUsed/>
    <w:rsid w:val="00206C21"/>
    <w:rPr>
      <w:sz w:val="16"/>
      <w:szCs w:val="16"/>
    </w:rPr>
  </w:style>
  <w:style w:type="paragraph" w:styleId="Kommentartext">
    <w:name w:val="annotation text"/>
    <w:basedOn w:val="Standard"/>
    <w:link w:val="KommentartextZchn"/>
    <w:uiPriority w:val="99"/>
    <w:semiHidden/>
    <w:unhideWhenUsed/>
    <w:rsid w:val="00206C2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6C21"/>
    <w:rPr>
      <w:sz w:val="20"/>
      <w:szCs w:val="20"/>
    </w:rPr>
  </w:style>
  <w:style w:type="paragraph" w:styleId="Kommentarthema">
    <w:name w:val="annotation subject"/>
    <w:basedOn w:val="Kommentartext"/>
    <w:next w:val="Kommentartext"/>
    <w:link w:val="KommentarthemaZchn"/>
    <w:uiPriority w:val="99"/>
    <w:semiHidden/>
    <w:unhideWhenUsed/>
    <w:rsid w:val="00206C21"/>
    <w:rPr>
      <w:b/>
      <w:bCs/>
    </w:rPr>
  </w:style>
  <w:style w:type="character" w:customStyle="1" w:styleId="KommentarthemaZchn">
    <w:name w:val="Kommentarthema Zchn"/>
    <w:basedOn w:val="KommentartextZchn"/>
    <w:link w:val="Kommentarthema"/>
    <w:uiPriority w:val="99"/>
    <w:semiHidden/>
    <w:rsid w:val="00206C21"/>
    <w:rPr>
      <w:b/>
      <w:bCs/>
      <w:sz w:val="20"/>
      <w:szCs w:val="20"/>
    </w:rPr>
  </w:style>
  <w:style w:type="paragraph" w:styleId="Sprechblasentext">
    <w:name w:val="Balloon Text"/>
    <w:basedOn w:val="Standard"/>
    <w:link w:val="SprechblasentextZchn"/>
    <w:uiPriority w:val="99"/>
    <w:semiHidden/>
    <w:unhideWhenUsed/>
    <w:rsid w:val="00206C2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6C21"/>
    <w:rPr>
      <w:rFonts w:ascii="Segoe UI" w:hAnsi="Segoe UI" w:cs="Segoe UI"/>
      <w:sz w:val="18"/>
      <w:szCs w:val="18"/>
    </w:rPr>
  </w:style>
  <w:style w:type="character" w:customStyle="1" w:styleId="mathtextbox">
    <w:name w:val="mathtextbox"/>
    <w:basedOn w:val="Absatz-Standardschriftart"/>
    <w:rsid w:val="00030807"/>
  </w:style>
  <w:style w:type="character" w:customStyle="1" w:styleId="mathtext">
    <w:name w:val="mathtext"/>
    <w:basedOn w:val="Absatz-Standardschriftart"/>
    <w:rsid w:val="00030807"/>
  </w:style>
  <w:style w:type="character" w:styleId="Platzhaltertext">
    <w:name w:val="Placeholder Text"/>
    <w:basedOn w:val="Absatz-Standardschriftart"/>
    <w:uiPriority w:val="99"/>
    <w:semiHidden/>
    <w:rsid w:val="00ED51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31001">
      <w:bodyDiv w:val="1"/>
      <w:marLeft w:val="0"/>
      <w:marRight w:val="0"/>
      <w:marTop w:val="0"/>
      <w:marBottom w:val="0"/>
      <w:divBdr>
        <w:top w:val="none" w:sz="0" w:space="0" w:color="auto"/>
        <w:left w:val="none" w:sz="0" w:space="0" w:color="auto"/>
        <w:bottom w:val="none" w:sz="0" w:space="0" w:color="auto"/>
        <w:right w:val="none" w:sz="0" w:space="0" w:color="auto"/>
      </w:divBdr>
      <w:divsChild>
        <w:div w:id="96755071">
          <w:marLeft w:val="0"/>
          <w:marRight w:val="0"/>
          <w:marTop w:val="0"/>
          <w:marBottom w:val="0"/>
          <w:divBdr>
            <w:top w:val="none" w:sz="0" w:space="0" w:color="auto"/>
            <w:left w:val="none" w:sz="0" w:space="0" w:color="auto"/>
            <w:bottom w:val="none" w:sz="0" w:space="0" w:color="auto"/>
            <w:right w:val="none" w:sz="0" w:space="0" w:color="auto"/>
          </w:divBdr>
        </w:div>
      </w:divsChild>
    </w:div>
    <w:div w:id="457798627">
      <w:bodyDiv w:val="1"/>
      <w:marLeft w:val="0"/>
      <w:marRight w:val="0"/>
      <w:marTop w:val="0"/>
      <w:marBottom w:val="0"/>
      <w:divBdr>
        <w:top w:val="none" w:sz="0" w:space="0" w:color="auto"/>
        <w:left w:val="none" w:sz="0" w:space="0" w:color="auto"/>
        <w:bottom w:val="none" w:sz="0" w:space="0" w:color="auto"/>
        <w:right w:val="none" w:sz="0" w:space="0" w:color="auto"/>
      </w:divBdr>
      <w:divsChild>
        <w:div w:id="1371299791">
          <w:marLeft w:val="0"/>
          <w:marRight w:val="0"/>
          <w:marTop w:val="0"/>
          <w:marBottom w:val="0"/>
          <w:divBdr>
            <w:top w:val="none" w:sz="0" w:space="0" w:color="auto"/>
            <w:left w:val="none" w:sz="0" w:space="0" w:color="auto"/>
            <w:bottom w:val="none" w:sz="0" w:space="0" w:color="auto"/>
            <w:right w:val="none" w:sz="0" w:space="0" w:color="auto"/>
          </w:divBdr>
        </w:div>
      </w:divsChild>
    </w:div>
    <w:div w:id="14717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08850-BCAD-43AF-A5B5-D3443F119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47272</Words>
  <Characters>297816</Characters>
  <Application>Microsoft Office Word</Application>
  <DocSecurity>0</DocSecurity>
  <Lines>2481</Lines>
  <Paragraphs>688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344400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Microsoft-Konto</cp:lastModifiedBy>
  <cp:revision>315</cp:revision>
  <dcterms:created xsi:type="dcterms:W3CDTF">2022-01-10T16:42:00Z</dcterms:created>
  <dcterms:modified xsi:type="dcterms:W3CDTF">2022-04-19T07:35:00Z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id="JNLuuyud"/&gt;&lt;style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