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BC0E72">
        <w:t>. Die DALYSs wurden dabei berechnet als Summe aus der Lebenszeit, die durchschnittlich durch die Erkrankung verloren gegangen ist, und der Lebenszeit, die durchschnittlich mit der Erkrankung gelebt wurde.</w:t>
      </w:r>
      <w:bookmarkStart w:id="0" w:name="_GoBack"/>
      <w:bookmarkEnd w:id="0"/>
      <w:r w:rsidR="008044D6">
        <w:t xml:space="preserve"> (</w:t>
      </w:r>
      <w:proofErr w:type="spellStart"/>
      <w:r w:rsidR="008044D6">
        <w:t>Feigin</w:t>
      </w:r>
      <w:proofErr w:type="spellEnd"/>
      <w:r w:rsidR="008044D6">
        <w:t xml:space="preserve"> et al., 2017). </w:t>
      </w:r>
      <w:r w:rsidR="002810FD">
        <w:t>Der demografische Wandel spielt dafür eine große Rolle, kann diese Entwicklung jed</w:t>
      </w:r>
      <w:r w:rsidR="001B472F">
        <w:t>och nicht vollständig erklären (</w:t>
      </w:r>
      <w:r w:rsidR="004D1546">
        <w:t>Dorsey et al</w:t>
      </w:r>
      <w:r w:rsidR="000502CA">
        <w:t>., 2018). Aufgrund der weiterhin</w:t>
      </w:r>
      <w:r w:rsidR="004D1546">
        <w:t xml:space="preserve"> steigenden Lebenserwartung und älter werdenden</w:t>
      </w:r>
      <w:r w:rsidR="000502CA">
        <w:t xml:space="preserve"> Bevölkerung wird für die Zukunft ein weiterer Anstieg der Prävalenz erwartet, der effektivere Präventionen und Behandlungen dringend notwendig macht (Simon, Tanner &amp; </w:t>
      </w:r>
      <w:proofErr w:type="spellStart"/>
      <w:r w:rsidR="000502CA">
        <w:t>Brundin</w:t>
      </w:r>
      <w:proofErr w:type="spellEnd"/>
      <w:r w:rsidR="000502CA">
        <w:t xml:space="preserve">, 2020).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5F6D74" w:rsidRDefault="00897722" w:rsidP="00F9011C">
      <w:r>
        <w:t>1.1 Pathophysiologie</w:t>
      </w:r>
    </w:p>
    <w:p w:rsidR="001166D2" w:rsidRDefault="00F6126C" w:rsidP="00F9011C">
      <w:r>
        <w:t>Bereits seit 1919 ist es bekannt, dass</w:t>
      </w:r>
      <w:r w:rsidR="00A06DE3">
        <w:t xml:space="preserve"> ein Abbau von Zellen in der </w:t>
      </w:r>
      <w:proofErr w:type="spellStart"/>
      <w:r w:rsidR="00A06DE3">
        <w:t>Substantia</w:t>
      </w:r>
      <w:proofErr w:type="spellEnd"/>
      <w:r w:rsidR="00A06DE3">
        <w:t xml:space="preserve"> </w:t>
      </w:r>
      <w:proofErr w:type="spellStart"/>
      <w:r w:rsidR="00A06DE3">
        <w:t>Nigra</w:t>
      </w:r>
      <w:proofErr w:type="spellEnd"/>
      <w:r w:rsidR="00A06DE3">
        <w:t xml:space="preserve"> für die Entstehung von Morbus Parkinson verantwortlich ist. 1957 wurde erkannt, dass der Neurotransmitter Dopamin dabei eine </w:t>
      </w:r>
      <w:r w:rsidR="00897722">
        <w:t xml:space="preserve">entscheidende </w:t>
      </w:r>
      <w:r w:rsidR="00A06DE3">
        <w:t>Rolle spielt (Jankovic, 2008). Heutzutage gilt der Verlust von pig</w:t>
      </w:r>
      <w:r w:rsidR="00CC5EAA">
        <w:t xml:space="preserve">mentierten </w:t>
      </w:r>
      <w:proofErr w:type="spellStart"/>
      <w:r w:rsidR="00CC5EAA">
        <w:t>dopaminergen</w:t>
      </w:r>
      <w:proofErr w:type="spellEnd"/>
      <w:r w:rsidR="00CC5EAA">
        <w:t xml:space="preserve"> Neuronen in bestimmten Bereichen der </w:t>
      </w:r>
      <w:proofErr w:type="spellStart"/>
      <w:r w:rsidR="00CC5EAA">
        <w:t>Substantia</w:t>
      </w:r>
      <w:proofErr w:type="spellEnd"/>
      <w:r w:rsidR="00CC5EAA">
        <w:t xml:space="preserve"> </w:t>
      </w:r>
      <w:proofErr w:type="spellStart"/>
      <w:r w:rsidR="00CC5EAA">
        <w:t>Ni</w:t>
      </w:r>
      <w:r w:rsidR="002F7E01">
        <w:t>gra</w:t>
      </w:r>
      <w:proofErr w:type="spellEnd"/>
      <w:r w:rsidR="002F7E01">
        <w:t xml:space="preserve"> als wichtiger Hinweis auf Morbus Parkinson. Tritt dies zusammen mit einer weitverbreiteten intrazellulären Ansammlung des Proteins </w:t>
      </w:r>
      <w:r w:rsidR="002F7E01" w:rsidRPr="002F7E01">
        <w:rPr>
          <w:bCs/>
        </w:rPr>
        <w:t>α</w:t>
      </w:r>
      <w:r w:rsidR="002F7E01" w:rsidRPr="002F7E01">
        <w:t>-</w:t>
      </w:r>
      <w:proofErr w:type="spellStart"/>
      <w:r w:rsidR="002F7E01" w:rsidRPr="002F7E01">
        <w:t>Synuklein</w:t>
      </w:r>
      <w:proofErr w:type="spellEnd"/>
      <w:r w:rsidR="002F7E01">
        <w:t xml:space="preserve"> </w:t>
      </w:r>
      <w:r w:rsidR="001166D2">
        <w:t xml:space="preserve">in den Neuronen </w:t>
      </w:r>
      <w:r w:rsidR="002F7E01">
        <w:t>auf</w:t>
      </w:r>
      <w:r w:rsidR="001166D2">
        <w:t>, kann eine definitive Diagnose für Morbus Parkinson gestellt werden (</w:t>
      </w:r>
      <w:proofErr w:type="spellStart"/>
      <w:r w:rsidR="001166D2">
        <w:t>Poewe</w:t>
      </w:r>
      <w:proofErr w:type="spellEnd"/>
      <w:r w:rsidR="001166D2">
        <w:t xml:space="preserve"> et al., 2017).</w:t>
      </w:r>
      <w:r w:rsidR="006A1123">
        <w:t xml:space="preserve"> </w:t>
      </w:r>
    </w:p>
    <w:p w:rsidR="00A11FF6" w:rsidRDefault="005F6D74" w:rsidP="00F9011C">
      <w:r>
        <w:t>1.2</w:t>
      </w:r>
      <w:r w:rsidR="007F07C3">
        <w:t xml:space="preserve"> Symptome von Morbus Parkinson</w:t>
      </w:r>
    </w:p>
    <w:p w:rsidR="007054DD"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 xml:space="preserve">ität der Körperhaltung und Tremor. </w:t>
      </w:r>
      <w:proofErr w:type="spellStart"/>
      <w:r w:rsidR="00392EE0">
        <w:t>Bradykinesie</w:t>
      </w:r>
      <w:proofErr w:type="spellEnd"/>
      <w:r w:rsidR="00392EE0">
        <w:t xml:space="preserve"> ist die Verlangsamte Bewegun</w:t>
      </w:r>
      <w:r w:rsidR="00A125A2">
        <w:t xml:space="preserve">g der Betroffenen. Das äußert sich beispielweise in schlechteren Reaktionszeiten oder eingeschränkter Feinmotorik. </w:t>
      </w:r>
      <w:proofErr w:type="spellStart"/>
      <w:r w:rsidR="00A125A2">
        <w:t>Bradykinesie</w:t>
      </w:r>
      <w:proofErr w:type="spellEnd"/>
      <w:r w:rsidR="00A125A2">
        <w:t xml:space="preserve"> ist allerdings abhängig vom emotionalen Z</w:t>
      </w:r>
      <w:r>
        <w:t>ustand, da Patient*innen mit Morbus</w:t>
      </w:r>
      <w:r w:rsidR="00A125A2">
        <w:t xml:space="preserve"> Parkinson trotz Verlangsamung schnelle Bewegungen und Reaktionen zeigen können, wenn sie sich in einem Zustand erhöhter Aufregung befinden</w:t>
      </w:r>
      <w:r w:rsidR="007054DD">
        <w:t xml:space="preserve"> (Jankovic, 2008)</w:t>
      </w:r>
      <w:r w:rsidR="00A125A2">
        <w:t xml:space="preserve">. </w:t>
      </w:r>
    </w:p>
    <w:p w:rsidR="00FA6E57" w:rsidRDefault="007054DD" w:rsidP="00F9011C">
      <w:r>
        <w:t xml:space="preserve">Der Rigor steht für eine erhöhte Bewegungsresistenz, die am besten durch das „Zahnradphänomen“ dargestellt werden kann. </w:t>
      </w:r>
      <w:r w:rsidR="006B18AD">
        <w:t>Dieses wird häufig überprüft, indem die Hände von Patient*innen mit Rigor festgehalten und im Kreis gedreht werden. Statt einer flüssigen kreisförmigen Bewegung ist ein Widerstand fühlbar.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 xml:space="preserve"> (Jankovic, 2008).</w:t>
      </w:r>
    </w:p>
    <w:p w:rsidR="00A11FF6" w:rsidRDefault="00FA6E57" w:rsidP="00F9011C">
      <w:r>
        <w:t>Die Instabilität der Körperhaltung tritt meistens</w:t>
      </w:r>
      <w:r w:rsidR="007F07C3">
        <w:t xml:space="preserve"> erst in den letzten Stadien von Morbus Parkinson</w:t>
      </w:r>
      <w:r>
        <w:t xml:space="preserve"> auf. Diese wird getestet, indem Patient*innen an ihren Schultern schnell vor und </w:t>
      </w:r>
      <w:proofErr w:type="gramStart"/>
      <w:r>
        <w:t>zurück gezogen</w:t>
      </w:r>
      <w:proofErr w:type="gramEnd"/>
      <w:r>
        <w:t xml:space="preserve"> werden. Wenn sie mehr als zwei Schritte zurückgehen oder gar keine Reaktion in ihrer Haltung zeigen, deutet das </w:t>
      </w:r>
      <w:r w:rsidR="00C91C5C">
        <w:t>auf eine Einschränkung. Dieses Symptom gehört zu den Hauptursachen von Stürzen und ist daher äußerst gefährlich</w:t>
      </w:r>
      <w:r w:rsidR="0067427F">
        <w:t xml:space="preserve"> (Jankovic, 2008)</w:t>
      </w:r>
      <w:r w:rsidR="00C91C5C">
        <w:t xml:space="preserve">. </w:t>
      </w:r>
    </w:p>
    <w:p w:rsidR="005F6D74" w:rsidRDefault="0067427F">
      <w:r>
        <w:t>Der Ruhetremor ist das häufigste und am leich</w:t>
      </w:r>
      <w:r w:rsidR="00DE1CDC">
        <w:t>testen zu erkennende Symptom von</w:t>
      </w:r>
      <w:r>
        <w:t xml:space="preserve"> </w:t>
      </w:r>
      <w:r w:rsidR="00DE1CDC">
        <w:t xml:space="preserve">Morbus </w:t>
      </w:r>
      <w:r>
        <w:t>Parkins</w:t>
      </w:r>
      <w:r w:rsidR="00DE1CDC">
        <w:t>on</w:t>
      </w:r>
      <w:r>
        <w:t xml:space="preserve">. </w:t>
      </w:r>
      <w:r w:rsidR="009C7A7B">
        <w:t xml:space="preserve">Er muss abgegrenzt werden von dem essentiellen Tremor. Der Ruhetremor betrifft in fast </w:t>
      </w:r>
      <w:r w:rsidR="009C7A7B">
        <w:lastRenderedPageBreak/>
        <w:t>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betroffen sind. Außerdem verschwindet der Ruhetrem</w:t>
      </w:r>
      <w:r w:rsidR="005B233D">
        <w:t>or bei Aktivität, wohingegen der essentielle Tremor gerade dann auftritt,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 (Jankovic, 2008).</w:t>
      </w:r>
    </w:p>
    <w:p w:rsidR="00BD0535" w:rsidRDefault="00DE435A">
      <w:r>
        <w:t>Die nicht motorischen Sympt</w:t>
      </w:r>
      <w:r w:rsidR="00DE1CDC">
        <w:t>ome von Morbus</w:t>
      </w:r>
      <w:r>
        <w:t xml:space="preserve"> </w:t>
      </w:r>
      <w:r w:rsidR="00DE1CDC">
        <w:t>Parkinson</w:t>
      </w:r>
      <w:r>
        <w:t xml:space="preserve"> treten häufig auf, bekommen allerdings häufig zu wenig Beachtung, da sie im Vergleich zu den motorischen Symptomen nicht so offensichtlich erkennbar sind.</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 Depressionen sind aber auch eine g</w:t>
      </w:r>
      <w:r w:rsidR="00DE1CDC">
        <w:t>enerell häufige Komorbidität von Morbus Parkinson</w:t>
      </w:r>
      <w:r w:rsidR="00394DE3">
        <w:t xml:space="preserve">, die oft nicht berücksichtigt wird. </w:t>
      </w:r>
      <w:r w:rsidR="008724AD">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 xml:space="preserve">orische Verhaltensweisen zeigen. Mehr als die Hälfte der Patient*innen mit Morbus Parkinson leiden auch an Insomnie.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 Es wird oft nicht erkannt, dass diese Symptome durch Morbus Parkinson </w:t>
      </w:r>
      <w:r w:rsidR="00FB2138">
        <w:t xml:space="preserve">bedingt sind. </w:t>
      </w:r>
      <w:r w:rsidR="00084A45">
        <w:t xml:space="preserve">   </w:t>
      </w:r>
      <w:r w:rsidR="00BD0535">
        <w:br w:type="page"/>
      </w:r>
    </w:p>
    <w:p w:rsidR="00F9011C" w:rsidRDefault="00BD0535" w:rsidP="00F9011C">
      <w:r>
        <w:lastRenderedPageBreak/>
        <w:t xml:space="preserve">5. Literatur </w:t>
      </w:r>
    </w:p>
    <w:p w:rsidR="001B472F" w:rsidRPr="001B472F" w:rsidRDefault="001B472F" w:rsidP="00F9011C">
      <w:pPr>
        <w:rPr>
          <w:lang w:val="en-US"/>
        </w:rPr>
      </w:pPr>
      <w:r w:rsidRPr="001B472F">
        <w:t xml:space="preserve">Dorsey, E. R., </w:t>
      </w:r>
      <w:proofErr w:type="spellStart"/>
      <w:r w:rsidRPr="001B472F">
        <w:t>Elbaz</w:t>
      </w:r>
      <w:proofErr w:type="spellEnd"/>
      <w:r w:rsidRPr="001B472F">
        <w:t xml:space="preserve">, A., Nichols, E., Abbasi, N., </w:t>
      </w:r>
      <w:proofErr w:type="spellStart"/>
      <w:r w:rsidRPr="001B472F">
        <w:t>Ab</w:t>
      </w:r>
      <w:r>
        <w:t>d</w:t>
      </w:r>
      <w:proofErr w:type="spellEnd"/>
      <w:r>
        <w:t xml:space="preserve">-Allah, F., </w:t>
      </w:r>
      <w:proofErr w:type="spellStart"/>
      <w:r>
        <w:t>Abdelalim</w:t>
      </w:r>
      <w:proofErr w:type="spellEnd"/>
      <w:r>
        <w:t>, A. et al.</w:t>
      </w:r>
      <w:r w:rsidRPr="001B472F">
        <w:t xml:space="preserve"> </w:t>
      </w:r>
      <w:r w:rsidRPr="00DE435A">
        <w:rPr>
          <w:lang w:val="en-US"/>
        </w:rPr>
        <w:t>(2018). Gl</w:t>
      </w:r>
      <w:r w:rsidRPr="006B18AD">
        <w:rPr>
          <w:lang w:val="en-US"/>
        </w:rPr>
        <w:t xml:space="preserve">obal,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7054DD" w:rsidRPr="003C71DA"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1B472F" w:rsidRPr="00415C65"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proofErr w:type="spellStart"/>
      <w:r w:rsidRPr="001B472F">
        <w:rPr>
          <w:i/>
          <w:iCs/>
        </w:rPr>
        <w:t>Clinics</w:t>
      </w:r>
      <w:proofErr w:type="spellEnd"/>
      <w:r w:rsidRPr="001B472F">
        <w:rPr>
          <w:i/>
          <w:iCs/>
        </w:rPr>
        <w:t xml:space="preserve"> in </w:t>
      </w:r>
      <w:proofErr w:type="spellStart"/>
      <w:r w:rsidRPr="001B472F">
        <w:rPr>
          <w:i/>
          <w:iCs/>
        </w:rPr>
        <w:t>geriatric</w:t>
      </w:r>
      <w:proofErr w:type="spellEnd"/>
      <w:r w:rsidRPr="001B472F">
        <w:rPr>
          <w:i/>
          <w:iCs/>
        </w:rPr>
        <w:t xml:space="preserve"> </w:t>
      </w:r>
      <w:proofErr w:type="spellStart"/>
      <w:r w:rsidRPr="001B472F">
        <w:rPr>
          <w:i/>
          <w:iCs/>
        </w:rPr>
        <w:t>medicine</w:t>
      </w:r>
      <w:proofErr w:type="spellEnd"/>
      <w:r w:rsidRPr="001B472F">
        <w:t>, </w:t>
      </w:r>
      <w:r w:rsidRPr="001B472F">
        <w:rPr>
          <w:i/>
          <w:iCs/>
        </w:rPr>
        <w:t>36</w:t>
      </w:r>
      <w:r w:rsidRPr="001B472F">
        <w:t>(1), 1-12.</w:t>
      </w:r>
    </w:p>
    <w:sectPr w:rsidR="001B472F"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502CA"/>
    <w:rsid w:val="00084A45"/>
    <w:rsid w:val="001166D2"/>
    <w:rsid w:val="00151D50"/>
    <w:rsid w:val="001B472F"/>
    <w:rsid w:val="001D7CCD"/>
    <w:rsid w:val="002810FD"/>
    <w:rsid w:val="002F7E01"/>
    <w:rsid w:val="00392EE0"/>
    <w:rsid w:val="00394DE3"/>
    <w:rsid w:val="003C71DA"/>
    <w:rsid w:val="003C78F7"/>
    <w:rsid w:val="00415C65"/>
    <w:rsid w:val="00475349"/>
    <w:rsid w:val="004D1546"/>
    <w:rsid w:val="004D6C77"/>
    <w:rsid w:val="0059460D"/>
    <w:rsid w:val="005A17E7"/>
    <w:rsid w:val="005B233D"/>
    <w:rsid w:val="005F6D74"/>
    <w:rsid w:val="0067427F"/>
    <w:rsid w:val="006A1123"/>
    <w:rsid w:val="006B18AD"/>
    <w:rsid w:val="006E4456"/>
    <w:rsid w:val="007054DD"/>
    <w:rsid w:val="00795CA5"/>
    <w:rsid w:val="007F07C3"/>
    <w:rsid w:val="008044D6"/>
    <w:rsid w:val="0085728D"/>
    <w:rsid w:val="008724AD"/>
    <w:rsid w:val="00897722"/>
    <w:rsid w:val="0089781C"/>
    <w:rsid w:val="008C59A1"/>
    <w:rsid w:val="009C7A7B"/>
    <w:rsid w:val="00A06DE3"/>
    <w:rsid w:val="00A11FF6"/>
    <w:rsid w:val="00A125A2"/>
    <w:rsid w:val="00A90AB8"/>
    <w:rsid w:val="00AA520A"/>
    <w:rsid w:val="00B13614"/>
    <w:rsid w:val="00B55603"/>
    <w:rsid w:val="00B958E0"/>
    <w:rsid w:val="00BC0E72"/>
    <w:rsid w:val="00BD0535"/>
    <w:rsid w:val="00C91C5C"/>
    <w:rsid w:val="00CC5EAA"/>
    <w:rsid w:val="00D5555C"/>
    <w:rsid w:val="00DE1CDC"/>
    <w:rsid w:val="00DE435A"/>
    <w:rsid w:val="00E1148E"/>
    <w:rsid w:val="00F26140"/>
    <w:rsid w:val="00F53E1D"/>
    <w:rsid w:val="00F6126C"/>
    <w:rsid w:val="00F63A22"/>
    <w:rsid w:val="00F9011C"/>
    <w:rsid w:val="00F97B00"/>
    <w:rsid w:val="00FA6E57"/>
    <w:rsid w:val="00FB2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A1535A-BFE5-415E-9896-368BFC00C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6258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15</cp:revision>
  <dcterms:created xsi:type="dcterms:W3CDTF">2022-01-10T16:42:00Z</dcterms:created>
  <dcterms:modified xsi:type="dcterms:W3CDTF">2022-01-20T18:09:00Z</dcterms:modified>
</cp:coreProperties>
</file>