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Christian-Albrechts-Universität zu Kiel </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rsidR="009A40FF" w:rsidRPr="000C03D8" w:rsidRDefault="009A40FF"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 xml:space="preserve">Explorative Studie zum Zusammenhang zwischen neuronalen Oszillationen und </w:t>
      </w:r>
      <w:r w:rsidR="000B53A3">
        <w:rPr>
          <w:rFonts w:ascii="Times New Roman" w:hAnsi="Times New Roman" w:cs="Times New Roman"/>
          <w:b/>
          <w:sz w:val="24"/>
          <w:szCs w:val="24"/>
        </w:rPr>
        <w:br/>
      </w:r>
      <w:r w:rsidRPr="000C03D8">
        <w:rPr>
          <w:rFonts w:ascii="Times New Roman" w:hAnsi="Times New Roman" w:cs="Times New Roman"/>
          <w:b/>
          <w:sz w:val="24"/>
          <w:szCs w:val="24"/>
        </w:rPr>
        <w:t>Elektrodenposition bei Tiefer Hirnstimulation von Parkinson</w:t>
      </w:r>
    </w:p>
    <w:p w:rsidR="008E395C" w:rsidRPr="000C03D8" w:rsidRDefault="008E395C" w:rsidP="009A40FF">
      <w:pPr>
        <w:spacing w:line="480" w:lineRule="auto"/>
        <w:rPr>
          <w:rFonts w:ascii="Times New Roman" w:hAnsi="Times New Roman" w:cs="Times New Roman"/>
          <w:b/>
          <w:sz w:val="24"/>
          <w:szCs w:val="24"/>
        </w:rPr>
      </w:pPr>
    </w:p>
    <w:p w:rsidR="008E395C" w:rsidRPr="000C03D8" w:rsidRDefault="008E395C" w:rsidP="009A40FF">
      <w:pPr>
        <w:spacing w:line="480" w:lineRule="auto"/>
        <w:jc w:val="center"/>
        <w:rPr>
          <w:rFonts w:ascii="Times New Roman" w:hAnsi="Times New Roman" w:cs="Times New Roman"/>
          <w:b/>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Sörensenstraße 26</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t>Dipl.-Psych. Julius Welzel</w:t>
      </w:r>
    </w:p>
    <w:p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heme="minorHAnsi" w:eastAsiaTheme="minorHAnsi" w:hAnsiTheme="minorHAnsi" w:cstheme="minorBidi"/>
          <w:color w:val="auto"/>
          <w:sz w:val="22"/>
          <w:szCs w:val="22"/>
          <w:lang w:eastAsia="en-US"/>
        </w:rPr>
        <w:id w:val="91759865"/>
        <w:docPartObj>
          <w:docPartGallery w:val="Table of Contents"/>
          <w:docPartUnique/>
        </w:docPartObj>
      </w:sdtPr>
      <w:sdtEndPr>
        <w:rPr>
          <w:b/>
          <w:bCs/>
        </w:rPr>
      </w:sdtEndPr>
      <w:sdtContent>
        <w:p w:rsidR="000C03D8" w:rsidRPr="000C03D8" w:rsidRDefault="000C03D8">
          <w:pPr>
            <w:pStyle w:val="Inhaltsverzeichnisberschrift"/>
            <w:rPr>
              <w:color w:val="auto"/>
            </w:rPr>
          </w:pPr>
          <w:r w:rsidRPr="000C03D8">
            <w:rPr>
              <w:color w:val="auto"/>
            </w:rPr>
            <w:t>Inhalt</w:t>
          </w:r>
        </w:p>
        <w:p w:rsidR="000C03D8" w:rsidRDefault="000C03D8">
          <w:pPr>
            <w:pStyle w:val="Verzeichnis1"/>
            <w:tabs>
              <w:tab w:val="right" w:leader="dot" w:pos="9060"/>
            </w:tabs>
            <w:rPr>
              <w:rFonts w:eastAsiaTheme="minorEastAsia"/>
              <w:noProof/>
              <w:lang w:eastAsia="de-DE"/>
            </w:rPr>
          </w:pPr>
          <w:r w:rsidRPr="000C03D8">
            <w:rPr>
              <w:b/>
              <w:bCs/>
            </w:rPr>
            <w:fldChar w:fldCharType="begin"/>
          </w:r>
          <w:r w:rsidRPr="000C03D8">
            <w:rPr>
              <w:b/>
              <w:bCs/>
            </w:rPr>
            <w:instrText xml:space="preserve"> TOC \o "1-3" \h \z \u </w:instrText>
          </w:r>
          <w:r w:rsidRPr="000C03D8">
            <w:rPr>
              <w:b/>
              <w:bCs/>
            </w:rPr>
            <w:fldChar w:fldCharType="separate"/>
          </w:r>
          <w:hyperlink w:anchor="_Toc102231148" w:history="1">
            <w:r w:rsidRPr="00D95802">
              <w:rPr>
                <w:rStyle w:val="Hyperlink"/>
                <w:rFonts w:ascii="Times New Roman" w:hAnsi="Times New Roman" w:cs="Times New Roman"/>
                <w:b/>
                <w:noProof/>
              </w:rPr>
              <w:t>Zusammenfassung</w:t>
            </w:r>
            <w:r>
              <w:rPr>
                <w:noProof/>
                <w:webHidden/>
              </w:rPr>
              <w:tab/>
            </w:r>
            <w:r>
              <w:rPr>
                <w:noProof/>
                <w:webHidden/>
              </w:rPr>
              <w:fldChar w:fldCharType="begin"/>
            </w:r>
            <w:r>
              <w:rPr>
                <w:noProof/>
                <w:webHidden/>
              </w:rPr>
              <w:instrText xml:space="preserve"> PAGEREF _Toc102231148 \h </w:instrText>
            </w:r>
            <w:r>
              <w:rPr>
                <w:noProof/>
                <w:webHidden/>
              </w:rPr>
            </w:r>
            <w:r>
              <w:rPr>
                <w:noProof/>
                <w:webHidden/>
              </w:rPr>
              <w:fldChar w:fldCharType="separate"/>
            </w:r>
            <w:r>
              <w:rPr>
                <w:noProof/>
                <w:webHidden/>
              </w:rPr>
              <w:t>3</w:t>
            </w:r>
            <w:r>
              <w:rPr>
                <w:noProof/>
                <w:webHidden/>
              </w:rPr>
              <w:fldChar w:fldCharType="end"/>
            </w:r>
          </w:hyperlink>
        </w:p>
        <w:p w:rsidR="000C03D8" w:rsidRDefault="004F72C3">
          <w:pPr>
            <w:pStyle w:val="Verzeichnis1"/>
            <w:tabs>
              <w:tab w:val="right" w:leader="dot" w:pos="9060"/>
            </w:tabs>
            <w:rPr>
              <w:rFonts w:eastAsiaTheme="minorEastAsia"/>
              <w:noProof/>
              <w:lang w:eastAsia="de-DE"/>
            </w:rPr>
          </w:pPr>
          <w:hyperlink w:anchor="_Toc102231149" w:history="1">
            <w:r w:rsidR="000C03D8" w:rsidRPr="00D95802">
              <w:rPr>
                <w:rStyle w:val="Hyperlink"/>
                <w:rFonts w:ascii="Times New Roman" w:hAnsi="Times New Roman" w:cs="Times New Roman"/>
                <w:b/>
                <w:noProof/>
              </w:rPr>
              <w:t>1. Einleitung</w:t>
            </w:r>
            <w:r w:rsidR="000C03D8">
              <w:rPr>
                <w:noProof/>
                <w:webHidden/>
              </w:rPr>
              <w:tab/>
            </w:r>
            <w:r w:rsidR="000C03D8">
              <w:rPr>
                <w:noProof/>
                <w:webHidden/>
              </w:rPr>
              <w:fldChar w:fldCharType="begin"/>
            </w:r>
            <w:r w:rsidR="000C03D8">
              <w:rPr>
                <w:noProof/>
                <w:webHidden/>
              </w:rPr>
              <w:instrText xml:space="preserve"> PAGEREF _Toc102231149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50" w:history="1">
            <w:r w:rsidR="000C03D8" w:rsidRPr="00D95802">
              <w:rPr>
                <w:rStyle w:val="Hyperlink"/>
                <w:rFonts w:ascii="Times New Roman" w:hAnsi="Times New Roman" w:cs="Times New Roman"/>
                <w:b/>
                <w:noProof/>
              </w:rPr>
              <w:t>1.1 Symptome von Morbus Parkinson</w:t>
            </w:r>
            <w:r w:rsidR="000C03D8">
              <w:rPr>
                <w:noProof/>
                <w:webHidden/>
              </w:rPr>
              <w:tab/>
            </w:r>
            <w:r w:rsidR="000C03D8">
              <w:rPr>
                <w:noProof/>
                <w:webHidden/>
              </w:rPr>
              <w:fldChar w:fldCharType="begin"/>
            </w:r>
            <w:r w:rsidR="000C03D8">
              <w:rPr>
                <w:noProof/>
                <w:webHidden/>
              </w:rPr>
              <w:instrText xml:space="preserve"> PAGEREF _Toc102231150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51" w:history="1">
            <w:r w:rsidR="000C03D8" w:rsidRPr="00D95802">
              <w:rPr>
                <w:rStyle w:val="Hyperlink"/>
                <w:rFonts w:ascii="Times New Roman" w:hAnsi="Times New Roman" w:cs="Times New Roman"/>
                <w:b/>
                <w:i/>
                <w:noProof/>
              </w:rPr>
              <w:t>1.1.1 Motorische Symptome von Morbus Parkinson</w:t>
            </w:r>
            <w:r w:rsidR="000C03D8">
              <w:rPr>
                <w:noProof/>
                <w:webHidden/>
              </w:rPr>
              <w:tab/>
            </w:r>
            <w:r w:rsidR="000C03D8">
              <w:rPr>
                <w:noProof/>
                <w:webHidden/>
              </w:rPr>
              <w:fldChar w:fldCharType="begin"/>
            </w:r>
            <w:r w:rsidR="000C03D8">
              <w:rPr>
                <w:noProof/>
                <w:webHidden/>
              </w:rPr>
              <w:instrText xml:space="preserve"> PAGEREF _Toc102231151 \h </w:instrText>
            </w:r>
            <w:r w:rsidR="000C03D8">
              <w:rPr>
                <w:noProof/>
                <w:webHidden/>
              </w:rPr>
            </w:r>
            <w:r w:rsidR="000C03D8">
              <w:rPr>
                <w:noProof/>
                <w:webHidden/>
              </w:rPr>
              <w:fldChar w:fldCharType="separate"/>
            </w:r>
            <w:r w:rsidR="000C03D8">
              <w:rPr>
                <w:noProof/>
                <w:webHidden/>
              </w:rPr>
              <w:t>5</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52" w:history="1">
            <w:r w:rsidR="000C03D8" w:rsidRPr="00D95802">
              <w:rPr>
                <w:rStyle w:val="Hyperlink"/>
                <w:rFonts w:ascii="Times New Roman" w:hAnsi="Times New Roman" w:cs="Times New Roman"/>
                <w:b/>
                <w:i/>
                <w:noProof/>
              </w:rPr>
              <w:t>1.1.2 Nicht-motorische Symptome von Morbus Parkinson</w:t>
            </w:r>
            <w:r w:rsidR="000C03D8">
              <w:rPr>
                <w:noProof/>
                <w:webHidden/>
              </w:rPr>
              <w:tab/>
            </w:r>
            <w:r w:rsidR="000C03D8">
              <w:rPr>
                <w:noProof/>
                <w:webHidden/>
              </w:rPr>
              <w:fldChar w:fldCharType="begin"/>
            </w:r>
            <w:r w:rsidR="000C03D8">
              <w:rPr>
                <w:noProof/>
                <w:webHidden/>
              </w:rPr>
              <w:instrText xml:space="preserve"> PAGEREF _Toc102231152 \h </w:instrText>
            </w:r>
            <w:r w:rsidR="000C03D8">
              <w:rPr>
                <w:noProof/>
                <w:webHidden/>
              </w:rPr>
            </w:r>
            <w:r w:rsidR="000C03D8">
              <w:rPr>
                <w:noProof/>
                <w:webHidden/>
              </w:rPr>
              <w:fldChar w:fldCharType="separate"/>
            </w:r>
            <w:r w:rsidR="000C03D8">
              <w:rPr>
                <w:noProof/>
                <w:webHidden/>
              </w:rPr>
              <w:t>7</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53" w:history="1">
            <w:r w:rsidR="000C03D8" w:rsidRPr="00D95802">
              <w:rPr>
                <w:rStyle w:val="Hyperlink"/>
                <w:rFonts w:ascii="Times New Roman" w:hAnsi="Times New Roman" w:cs="Times New Roman"/>
                <w:b/>
                <w:noProof/>
              </w:rPr>
              <w:t>1.2 Pathophysiologie von Morbus Parkinson</w:t>
            </w:r>
            <w:r w:rsidR="000C03D8">
              <w:rPr>
                <w:noProof/>
                <w:webHidden/>
              </w:rPr>
              <w:tab/>
            </w:r>
            <w:r w:rsidR="000C03D8">
              <w:rPr>
                <w:noProof/>
                <w:webHidden/>
              </w:rPr>
              <w:fldChar w:fldCharType="begin"/>
            </w:r>
            <w:r w:rsidR="000C03D8">
              <w:rPr>
                <w:noProof/>
                <w:webHidden/>
              </w:rPr>
              <w:instrText xml:space="preserve"> PAGEREF _Toc102231153 \h </w:instrText>
            </w:r>
            <w:r w:rsidR="000C03D8">
              <w:rPr>
                <w:noProof/>
                <w:webHidden/>
              </w:rPr>
            </w:r>
            <w:r w:rsidR="000C03D8">
              <w:rPr>
                <w:noProof/>
                <w:webHidden/>
              </w:rPr>
              <w:fldChar w:fldCharType="separate"/>
            </w:r>
            <w:r w:rsidR="000C03D8">
              <w:rPr>
                <w:noProof/>
                <w:webHidden/>
              </w:rPr>
              <w:t>8</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54" w:history="1">
            <w:r w:rsidR="000C03D8" w:rsidRPr="00D95802">
              <w:rPr>
                <w:rStyle w:val="Hyperlink"/>
                <w:rFonts w:ascii="Times New Roman" w:hAnsi="Times New Roman" w:cs="Times New Roman"/>
                <w:b/>
                <w:noProof/>
              </w:rPr>
              <w:t>1.3 Behandlung von Morbus Parkinson</w:t>
            </w:r>
            <w:r w:rsidR="000C03D8">
              <w:rPr>
                <w:noProof/>
                <w:webHidden/>
              </w:rPr>
              <w:tab/>
            </w:r>
            <w:r w:rsidR="000C03D8">
              <w:rPr>
                <w:noProof/>
                <w:webHidden/>
              </w:rPr>
              <w:fldChar w:fldCharType="begin"/>
            </w:r>
            <w:r w:rsidR="000C03D8">
              <w:rPr>
                <w:noProof/>
                <w:webHidden/>
              </w:rPr>
              <w:instrText xml:space="preserve"> PAGEREF _Toc102231154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55" w:history="1">
            <w:r w:rsidR="000C03D8" w:rsidRPr="00D95802">
              <w:rPr>
                <w:rStyle w:val="Hyperlink"/>
                <w:rFonts w:ascii="Times New Roman" w:hAnsi="Times New Roman" w:cs="Times New Roman"/>
                <w:b/>
                <w:i/>
                <w:noProof/>
              </w:rPr>
              <w:t>1.3.1 Medikamentöse Behandlung</w:t>
            </w:r>
            <w:r w:rsidR="000C03D8">
              <w:rPr>
                <w:noProof/>
                <w:webHidden/>
              </w:rPr>
              <w:tab/>
            </w:r>
            <w:r w:rsidR="000C03D8">
              <w:rPr>
                <w:noProof/>
                <w:webHidden/>
              </w:rPr>
              <w:fldChar w:fldCharType="begin"/>
            </w:r>
            <w:r w:rsidR="000C03D8">
              <w:rPr>
                <w:noProof/>
                <w:webHidden/>
              </w:rPr>
              <w:instrText xml:space="preserve"> PAGEREF _Toc102231155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56" w:history="1">
            <w:r w:rsidR="000C03D8" w:rsidRPr="00D95802">
              <w:rPr>
                <w:rStyle w:val="Hyperlink"/>
                <w:rFonts w:ascii="Times New Roman" w:hAnsi="Times New Roman" w:cs="Times New Roman"/>
                <w:b/>
                <w:i/>
                <w:noProof/>
              </w:rPr>
              <w:t>1.3.2 Tiefe Hirnstimulation</w:t>
            </w:r>
            <w:r w:rsidR="000C03D8">
              <w:rPr>
                <w:noProof/>
                <w:webHidden/>
              </w:rPr>
              <w:tab/>
            </w:r>
            <w:r w:rsidR="000C03D8">
              <w:rPr>
                <w:noProof/>
                <w:webHidden/>
              </w:rPr>
              <w:fldChar w:fldCharType="begin"/>
            </w:r>
            <w:r w:rsidR="000C03D8">
              <w:rPr>
                <w:noProof/>
                <w:webHidden/>
              </w:rPr>
              <w:instrText xml:space="preserve"> PAGEREF _Toc102231156 \h </w:instrText>
            </w:r>
            <w:r w:rsidR="000C03D8">
              <w:rPr>
                <w:noProof/>
                <w:webHidden/>
              </w:rPr>
            </w:r>
            <w:r w:rsidR="000C03D8">
              <w:rPr>
                <w:noProof/>
                <w:webHidden/>
              </w:rPr>
              <w:fldChar w:fldCharType="separate"/>
            </w:r>
            <w:r w:rsidR="000C03D8">
              <w:rPr>
                <w:noProof/>
                <w:webHidden/>
              </w:rPr>
              <w:t>12</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57" w:history="1">
            <w:r w:rsidR="000C03D8" w:rsidRPr="00D95802">
              <w:rPr>
                <w:rStyle w:val="Hyperlink"/>
                <w:rFonts w:ascii="Times New Roman" w:hAnsi="Times New Roman" w:cs="Times New Roman"/>
                <w:b/>
                <w:i/>
                <w:noProof/>
              </w:rPr>
              <w:t>1.3.3 Elektrophysiologische Maße bei THS</w:t>
            </w:r>
            <w:r w:rsidR="000C03D8">
              <w:rPr>
                <w:noProof/>
                <w:webHidden/>
              </w:rPr>
              <w:tab/>
            </w:r>
            <w:r w:rsidR="000C03D8">
              <w:rPr>
                <w:noProof/>
                <w:webHidden/>
              </w:rPr>
              <w:fldChar w:fldCharType="begin"/>
            </w:r>
            <w:r w:rsidR="000C03D8">
              <w:rPr>
                <w:noProof/>
                <w:webHidden/>
              </w:rPr>
              <w:instrText xml:space="preserve"> PAGEREF _Toc102231157 \h </w:instrText>
            </w:r>
            <w:r w:rsidR="000C03D8">
              <w:rPr>
                <w:noProof/>
                <w:webHidden/>
              </w:rPr>
            </w:r>
            <w:r w:rsidR="000C03D8">
              <w:rPr>
                <w:noProof/>
                <w:webHidden/>
              </w:rPr>
              <w:fldChar w:fldCharType="separate"/>
            </w:r>
            <w:r w:rsidR="000C03D8">
              <w:rPr>
                <w:noProof/>
                <w:webHidden/>
              </w:rPr>
              <w:t>14</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58" w:history="1">
            <w:r w:rsidR="000C03D8" w:rsidRPr="00D95802">
              <w:rPr>
                <w:rStyle w:val="Hyperlink"/>
                <w:rFonts w:ascii="Times New Roman" w:hAnsi="Times New Roman" w:cs="Times New Roman"/>
                <w:b/>
                <w:noProof/>
              </w:rPr>
              <w:t>1.4 Versuchsidee</w:t>
            </w:r>
            <w:r w:rsidR="000C03D8">
              <w:rPr>
                <w:noProof/>
                <w:webHidden/>
              </w:rPr>
              <w:tab/>
            </w:r>
            <w:r w:rsidR="000C03D8">
              <w:rPr>
                <w:noProof/>
                <w:webHidden/>
              </w:rPr>
              <w:fldChar w:fldCharType="begin"/>
            </w:r>
            <w:r w:rsidR="000C03D8">
              <w:rPr>
                <w:noProof/>
                <w:webHidden/>
              </w:rPr>
              <w:instrText xml:space="preserve"> PAGEREF _Toc102231158 \h </w:instrText>
            </w:r>
            <w:r w:rsidR="000C03D8">
              <w:rPr>
                <w:noProof/>
                <w:webHidden/>
              </w:rPr>
            </w:r>
            <w:r w:rsidR="000C03D8">
              <w:rPr>
                <w:noProof/>
                <w:webHidden/>
              </w:rPr>
              <w:fldChar w:fldCharType="separate"/>
            </w:r>
            <w:r w:rsidR="000C03D8">
              <w:rPr>
                <w:noProof/>
                <w:webHidden/>
              </w:rPr>
              <w:t>15</w:t>
            </w:r>
            <w:r w:rsidR="000C03D8">
              <w:rPr>
                <w:noProof/>
                <w:webHidden/>
              </w:rPr>
              <w:fldChar w:fldCharType="end"/>
            </w:r>
          </w:hyperlink>
        </w:p>
        <w:p w:rsidR="000C03D8" w:rsidRDefault="004F72C3">
          <w:pPr>
            <w:pStyle w:val="Verzeichnis1"/>
            <w:tabs>
              <w:tab w:val="right" w:leader="dot" w:pos="9060"/>
            </w:tabs>
            <w:rPr>
              <w:rFonts w:eastAsiaTheme="minorEastAsia"/>
              <w:noProof/>
              <w:lang w:eastAsia="de-DE"/>
            </w:rPr>
          </w:pPr>
          <w:hyperlink w:anchor="_Toc102231159" w:history="1">
            <w:r w:rsidR="000C03D8" w:rsidRPr="00D95802">
              <w:rPr>
                <w:rStyle w:val="Hyperlink"/>
                <w:rFonts w:ascii="Times New Roman" w:hAnsi="Times New Roman" w:cs="Times New Roman"/>
                <w:b/>
                <w:noProof/>
              </w:rPr>
              <w:t>2. Methoden</w:t>
            </w:r>
            <w:r w:rsidR="000C03D8">
              <w:rPr>
                <w:noProof/>
                <w:webHidden/>
              </w:rPr>
              <w:tab/>
            </w:r>
            <w:r w:rsidR="000C03D8">
              <w:rPr>
                <w:noProof/>
                <w:webHidden/>
              </w:rPr>
              <w:fldChar w:fldCharType="begin"/>
            </w:r>
            <w:r w:rsidR="000C03D8">
              <w:rPr>
                <w:noProof/>
                <w:webHidden/>
              </w:rPr>
              <w:instrText xml:space="preserve"> PAGEREF _Toc102231159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60" w:history="1">
            <w:r w:rsidR="000C03D8" w:rsidRPr="00D95802">
              <w:rPr>
                <w:rStyle w:val="Hyperlink"/>
                <w:rFonts w:ascii="Times New Roman" w:hAnsi="Times New Roman" w:cs="Times New Roman"/>
                <w:b/>
                <w:noProof/>
              </w:rPr>
              <w:t>2.1 Stichprobe</w:t>
            </w:r>
            <w:r w:rsidR="000C03D8">
              <w:rPr>
                <w:noProof/>
                <w:webHidden/>
              </w:rPr>
              <w:tab/>
            </w:r>
            <w:r w:rsidR="000C03D8">
              <w:rPr>
                <w:noProof/>
                <w:webHidden/>
              </w:rPr>
              <w:fldChar w:fldCharType="begin"/>
            </w:r>
            <w:r w:rsidR="000C03D8">
              <w:rPr>
                <w:noProof/>
                <w:webHidden/>
              </w:rPr>
              <w:instrText xml:space="preserve"> PAGEREF _Toc102231160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61" w:history="1">
            <w:r w:rsidR="000C03D8" w:rsidRPr="00D95802">
              <w:rPr>
                <w:rStyle w:val="Hyperlink"/>
                <w:rFonts w:ascii="Times New Roman" w:hAnsi="Times New Roman" w:cs="Times New Roman"/>
                <w:b/>
                <w:noProof/>
              </w:rPr>
              <w:t>2.2 Intraoperative Ableitung</w:t>
            </w:r>
            <w:r w:rsidR="000C03D8">
              <w:rPr>
                <w:noProof/>
                <w:webHidden/>
              </w:rPr>
              <w:tab/>
            </w:r>
            <w:r w:rsidR="000C03D8">
              <w:rPr>
                <w:noProof/>
                <w:webHidden/>
              </w:rPr>
              <w:fldChar w:fldCharType="begin"/>
            </w:r>
            <w:r w:rsidR="000C03D8">
              <w:rPr>
                <w:noProof/>
                <w:webHidden/>
              </w:rPr>
              <w:instrText xml:space="preserve"> PAGEREF _Toc102231161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62" w:history="1">
            <w:r w:rsidR="000C03D8" w:rsidRPr="00D95802">
              <w:rPr>
                <w:rStyle w:val="Hyperlink"/>
                <w:rFonts w:ascii="Times New Roman" w:hAnsi="Times New Roman" w:cs="Times New Roman"/>
                <w:b/>
                <w:noProof/>
              </w:rPr>
              <w:t>2.3 Durchführung</w:t>
            </w:r>
            <w:r w:rsidR="000C03D8">
              <w:rPr>
                <w:noProof/>
                <w:webHidden/>
              </w:rPr>
              <w:tab/>
            </w:r>
            <w:r w:rsidR="000C03D8">
              <w:rPr>
                <w:noProof/>
                <w:webHidden/>
              </w:rPr>
              <w:fldChar w:fldCharType="begin"/>
            </w:r>
            <w:r w:rsidR="000C03D8">
              <w:rPr>
                <w:noProof/>
                <w:webHidden/>
              </w:rPr>
              <w:instrText xml:space="preserve"> PAGEREF _Toc102231162 \h </w:instrText>
            </w:r>
            <w:r w:rsidR="000C03D8">
              <w:rPr>
                <w:noProof/>
                <w:webHidden/>
              </w:rPr>
            </w:r>
            <w:r w:rsidR="000C03D8">
              <w:rPr>
                <w:noProof/>
                <w:webHidden/>
              </w:rPr>
              <w:fldChar w:fldCharType="separate"/>
            </w:r>
            <w:r w:rsidR="000C03D8">
              <w:rPr>
                <w:noProof/>
                <w:webHidden/>
              </w:rPr>
              <w:t>20</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63" w:history="1">
            <w:r w:rsidR="000C03D8" w:rsidRPr="00D95802">
              <w:rPr>
                <w:rStyle w:val="Hyperlink"/>
                <w:rFonts w:ascii="Times New Roman" w:hAnsi="Times New Roman" w:cs="Times New Roman"/>
                <w:b/>
                <w:noProof/>
              </w:rPr>
              <w:t>2.4 Vorverarbeitung der Spike- und LFP-Daten</w:t>
            </w:r>
            <w:r w:rsidR="000C03D8">
              <w:rPr>
                <w:noProof/>
                <w:webHidden/>
              </w:rPr>
              <w:tab/>
            </w:r>
            <w:r w:rsidR="000C03D8">
              <w:rPr>
                <w:noProof/>
                <w:webHidden/>
              </w:rPr>
              <w:fldChar w:fldCharType="begin"/>
            </w:r>
            <w:r w:rsidR="000C03D8">
              <w:rPr>
                <w:noProof/>
                <w:webHidden/>
              </w:rPr>
              <w:instrText xml:space="preserve"> PAGEREF _Toc102231163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64" w:history="1">
            <w:r w:rsidR="000C03D8" w:rsidRPr="00D95802">
              <w:rPr>
                <w:rStyle w:val="Hyperlink"/>
                <w:rFonts w:ascii="Times New Roman" w:hAnsi="Times New Roman" w:cs="Times New Roman"/>
                <w:b/>
                <w:i/>
                <w:noProof/>
              </w:rPr>
              <w:t>2.4.1 Einlesen der Daten</w:t>
            </w:r>
            <w:r w:rsidR="000C03D8">
              <w:rPr>
                <w:noProof/>
                <w:webHidden/>
              </w:rPr>
              <w:tab/>
            </w:r>
            <w:r w:rsidR="000C03D8">
              <w:rPr>
                <w:noProof/>
                <w:webHidden/>
              </w:rPr>
              <w:fldChar w:fldCharType="begin"/>
            </w:r>
            <w:r w:rsidR="000C03D8">
              <w:rPr>
                <w:noProof/>
                <w:webHidden/>
              </w:rPr>
              <w:instrText xml:space="preserve"> PAGEREF _Toc102231164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65" w:history="1">
            <w:r w:rsidR="000C03D8" w:rsidRPr="00D95802">
              <w:rPr>
                <w:rStyle w:val="Hyperlink"/>
                <w:rFonts w:ascii="Times New Roman" w:hAnsi="Times New Roman" w:cs="Times New Roman"/>
                <w:b/>
                <w:i/>
                <w:noProof/>
              </w:rPr>
              <w:t>2.4.2 Bereinigung der Daten</w:t>
            </w:r>
            <w:r w:rsidR="000C03D8">
              <w:rPr>
                <w:noProof/>
                <w:webHidden/>
              </w:rPr>
              <w:tab/>
            </w:r>
            <w:r w:rsidR="000C03D8">
              <w:rPr>
                <w:noProof/>
                <w:webHidden/>
              </w:rPr>
              <w:fldChar w:fldCharType="begin"/>
            </w:r>
            <w:r w:rsidR="000C03D8">
              <w:rPr>
                <w:noProof/>
                <w:webHidden/>
              </w:rPr>
              <w:instrText xml:space="preserve"> PAGEREF _Toc102231165 \h </w:instrText>
            </w:r>
            <w:r w:rsidR="000C03D8">
              <w:rPr>
                <w:noProof/>
                <w:webHidden/>
              </w:rPr>
            </w:r>
            <w:r w:rsidR="000C03D8">
              <w:rPr>
                <w:noProof/>
                <w:webHidden/>
              </w:rPr>
              <w:fldChar w:fldCharType="separate"/>
            </w:r>
            <w:r w:rsidR="000C03D8">
              <w:rPr>
                <w:noProof/>
                <w:webHidden/>
              </w:rPr>
              <w:t>22</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66" w:history="1">
            <w:r w:rsidR="000C03D8" w:rsidRPr="00D95802">
              <w:rPr>
                <w:rStyle w:val="Hyperlink"/>
                <w:rFonts w:ascii="Times New Roman" w:hAnsi="Times New Roman" w:cs="Times New Roman"/>
                <w:b/>
                <w:i/>
                <w:noProof/>
              </w:rPr>
              <w:t>2.4.3 Zeit-Frequenz-Analyse</w:t>
            </w:r>
            <w:r w:rsidR="000C03D8">
              <w:rPr>
                <w:noProof/>
                <w:webHidden/>
              </w:rPr>
              <w:tab/>
            </w:r>
            <w:r w:rsidR="000C03D8">
              <w:rPr>
                <w:noProof/>
                <w:webHidden/>
              </w:rPr>
              <w:fldChar w:fldCharType="begin"/>
            </w:r>
            <w:r w:rsidR="000C03D8">
              <w:rPr>
                <w:noProof/>
                <w:webHidden/>
              </w:rPr>
              <w:instrText xml:space="preserve"> PAGEREF _Toc102231166 \h </w:instrText>
            </w:r>
            <w:r w:rsidR="000C03D8">
              <w:rPr>
                <w:noProof/>
                <w:webHidden/>
              </w:rPr>
            </w:r>
            <w:r w:rsidR="000C03D8">
              <w:rPr>
                <w:noProof/>
                <w:webHidden/>
              </w:rPr>
              <w:fldChar w:fldCharType="separate"/>
            </w:r>
            <w:r w:rsidR="000C03D8">
              <w:rPr>
                <w:noProof/>
                <w:webHidden/>
              </w:rPr>
              <w:t>23</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67" w:history="1">
            <w:r w:rsidR="000C03D8" w:rsidRPr="00D95802">
              <w:rPr>
                <w:rStyle w:val="Hyperlink"/>
                <w:rFonts w:ascii="Times New Roman" w:hAnsi="Times New Roman" w:cs="Times New Roman"/>
                <w:b/>
                <w:i/>
                <w:noProof/>
              </w:rPr>
              <w:t>2.4.4 FOOOF-Algorithmus</w:t>
            </w:r>
            <w:r w:rsidR="000C03D8">
              <w:rPr>
                <w:noProof/>
                <w:webHidden/>
              </w:rPr>
              <w:tab/>
            </w:r>
            <w:r w:rsidR="000C03D8">
              <w:rPr>
                <w:noProof/>
                <w:webHidden/>
              </w:rPr>
              <w:fldChar w:fldCharType="begin"/>
            </w:r>
            <w:r w:rsidR="000C03D8">
              <w:rPr>
                <w:noProof/>
                <w:webHidden/>
              </w:rPr>
              <w:instrText xml:space="preserve"> PAGEREF _Toc102231167 \h </w:instrText>
            </w:r>
            <w:r w:rsidR="000C03D8">
              <w:rPr>
                <w:noProof/>
                <w:webHidden/>
              </w:rPr>
            </w:r>
            <w:r w:rsidR="000C03D8">
              <w:rPr>
                <w:noProof/>
                <w:webHidden/>
              </w:rPr>
              <w:fldChar w:fldCharType="separate"/>
            </w:r>
            <w:r w:rsidR="000C03D8">
              <w:rPr>
                <w:noProof/>
                <w:webHidden/>
              </w:rPr>
              <w:t>26</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68" w:history="1">
            <w:r w:rsidR="000C03D8" w:rsidRPr="00D95802">
              <w:rPr>
                <w:rStyle w:val="Hyperlink"/>
                <w:rFonts w:ascii="Times New Roman" w:hAnsi="Times New Roman" w:cs="Times New Roman"/>
                <w:b/>
                <w:i/>
                <w:noProof/>
              </w:rPr>
              <w:t>2.4.5 Extraktion der elektrophysiologischen Maße</w:t>
            </w:r>
            <w:r w:rsidR="000C03D8">
              <w:rPr>
                <w:noProof/>
                <w:webHidden/>
              </w:rPr>
              <w:tab/>
            </w:r>
            <w:r w:rsidR="000C03D8">
              <w:rPr>
                <w:noProof/>
                <w:webHidden/>
              </w:rPr>
              <w:fldChar w:fldCharType="begin"/>
            </w:r>
            <w:r w:rsidR="000C03D8">
              <w:rPr>
                <w:noProof/>
                <w:webHidden/>
              </w:rPr>
              <w:instrText xml:space="preserve"> PAGEREF _Toc102231168 \h </w:instrText>
            </w:r>
            <w:r w:rsidR="000C03D8">
              <w:rPr>
                <w:noProof/>
                <w:webHidden/>
              </w:rPr>
            </w:r>
            <w:r w:rsidR="000C03D8">
              <w:rPr>
                <w:noProof/>
                <w:webHidden/>
              </w:rPr>
              <w:fldChar w:fldCharType="separate"/>
            </w:r>
            <w:r w:rsidR="000C03D8">
              <w:rPr>
                <w:noProof/>
                <w:webHidden/>
              </w:rPr>
              <w:t>27</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69" w:history="1">
            <w:r w:rsidR="000C03D8" w:rsidRPr="00D95802">
              <w:rPr>
                <w:rStyle w:val="Hyperlink"/>
                <w:rFonts w:ascii="Times New Roman" w:hAnsi="Times New Roman" w:cs="Times New Roman"/>
                <w:b/>
                <w:noProof/>
              </w:rPr>
              <w:t>2.6 Statistische Auswertung</w:t>
            </w:r>
            <w:r w:rsidR="000C03D8">
              <w:rPr>
                <w:noProof/>
                <w:webHidden/>
              </w:rPr>
              <w:tab/>
            </w:r>
            <w:r w:rsidR="000C03D8">
              <w:rPr>
                <w:noProof/>
                <w:webHidden/>
              </w:rPr>
              <w:fldChar w:fldCharType="begin"/>
            </w:r>
            <w:r w:rsidR="000C03D8">
              <w:rPr>
                <w:noProof/>
                <w:webHidden/>
              </w:rPr>
              <w:instrText xml:space="preserve"> PAGEREF _Toc102231169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70" w:history="1">
            <w:r w:rsidR="000C03D8" w:rsidRPr="00D95802">
              <w:rPr>
                <w:rStyle w:val="Hyperlink"/>
                <w:rFonts w:ascii="Times New Roman" w:hAnsi="Times New Roman" w:cs="Times New Roman"/>
                <w:b/>
                <w:i/>
                <w:noProof/>
              </w:rPr>
              <w:t>2.6.1 Erste Hypothese</w:t>
            </w:r>
            <w:r w:rsidR="000C03D8">
              <w:rPr>
                <w:noProof/>
                <w:webHidden/>
              </w:rPr>
              <w:tab/>
            </w:r>
            <w:r w:rsidR="000C03D8">
              <w:rPr>
                <w:noProof/>
                <w:webHidden/>
              </w:rPr>
              <w:fldChar w:fldCharType="begin"/>
            </w:r>
            <w:r w:rsidR="000C03D8">
              <w:rPr>
                <w:noProof/>
                <w:webHidden/>
              </w:rPr>
              <w:instrText xml:space="preserve"> PAGEREF _Toc102231170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71" w:history="1">
            <w:r w:rsidR="000C03D8" w:rsidRPr="00D95802">
              <w:rPr>
                <w:rStyle w:val="Hyperlink"/>
                <w:rFonts w:ascii="Times New Roman" w:hAnsi="Times New Roman" w:cs="Times New Roman"/>
                <w:b/>
                <w:i/>
                <w:noProof/>
              </w:rPr>
              <w:t>2.6.2 Zweite Hypothese</w:t>
            </w:r>
            <w:r w:rsidR="000C03D8">
              <w:rPr>
                <w:noProof/>
                <w:webHidden/>
              </w:rPr>
              <w:tab/>
            </w:r>
            <w:r w:rsidR="000C03D8">
              <w:rPr>
                <w:noProof/>
                <w:webHidden/>
              </w:rPr>
              <w:fldChar w:fldCharType="begin"/>
            </w:r>
            <w:r w:rsidR="000C03D8">
              <w:rPr>
                <w:noProof/>
                <w:webHidden/>
              </w:rPr>
              <w:instrText xml:space="preserve"> PAGEREF _Toc102231171 \h </w:instrText>
            </w:r>
            <w:r w:rsidR="000C03D8">
              <w:rPr>
                <w:noProof/>
                <w:webHidden/>
              </w:rPr>
            </w:r>
            <w:r w:rsidR="000C03D8">
              <w:rPr>
                <w:noProof/>
                <w:webHidden/>
              </w:rPr>
              <w:fldChar w:fldCharType="separate"/>
            </w:r>
            <w:r w:rsidR="000C03D8">
              <w:rPr>
                <w:noProof/>
                <w:webHidden/>
              </w:rPr>
              <w:t>29</w:t>
            </w:r>
            <w:r w:rsidR="000C03D8">
              <w:rPr>
                <w:noProof/>
                <w:webHidden/>
              </w:rPr>
              <w:fldChar w:fldCharType="end"/>
            </w:r>
          </w:hyperlink>
        </w:p>
        <w:p w:rsidR="000C03D8" w:rsidRDefault="004F72C3">
          <w:pPr>
            <w:pStyle w:val="Verzeichnis3"/>
            <w:tabs>
              <w:tab w:val="right" w:leader="dot" w:pos="9060"/>
            </w:tabs>
            <w:rPr>
              <w:rFonts w:eastAsiaTheme="minorEastAsia"/>
              <w:noProof/>
              <w:lang w:eastAsia="de-DE"/>
            </w:rPr>
          </w:pPr>
          <w:hyperlink w:anchor="_Toc102231172" w:history="1">
            <w:r w:rsidR="000C03D8" w:rsidRPr="00D95802">
              <w:rPr>
                <w:rStyle w:val="Hyperlink"/>
                <w:rFonts w:ascii="Times New Roman" w:hAnsi="Times New Roman" w:cs="Times New Roman"/>
                <w:b/>
                <w:i/>
                <w:noProof/>
              </w:rPr>
              <w:t>2.6.3 Explorative Analysen</w:t>
            </w:r>
            <w:r w:rsidR="000C03D8">
              <w:rPr>
                <w:noProof/>
                <w:webHidden/>
              </w:rPr>
              <w:tab/>
            </w:r>
            <w:r w:rsidR="000C03D8">
              <w:rPr>
                <w:noProof/>
                <w:webHidden/>
              </w:rPr>
              <w:fldChar w:fldCharType="begin"/>
            </w:r>
            <w:r w:rsidR="000C03D8">
              <w:rPr>
                <w:noProof/>
                <w:webHidden/>
              </w:rPr>
              <w:instrText xml:space="preserve"> PAGEREF _Toc102231172 \h </w:instrText>
            </w:r>
            <w:r w:rsidR="000C03D8">
              <w:rPr>
                <w:noProof/>
                <w:webHidden/>
              </w:rPr>
            </w:r>
            <w:r w:rsidR="000C03D8">
              <w:rPr>
                <w:noProof/>
                <w:webHidden/>
              </w:rPr>
              <w:fldChar w:fldCharType="separate"/>
            </w:r>
            <w:r w:rsidR="000C03D8">
              <w:rPr>
                <w:noProof/>
                <w:webHidden/>
              </w:rPr>
              <w:t>31</w:t>
            </w:r>
            <w:r w:rsidR="000C03D8">
              <w:rPr>
                <w:noProof/>
                <w:webHidden/>
              </w:rPr>
              <w:fldChar w:fldCharType="end"/>
            </w:r>
          </w:hyperlink>
        </w:p>
        <w:p w:rsidR="000C03D8" w:rsidRDefault="004F72C3">
          <w:pPr>
            <w:pStyle w:val="Verzeichnis1"/>
            <w:tabs>
              <w:tab w:val="right" w:leader="dot" w:pos="9060"/>
            </w:tabs>
            <w:rPr>
              <w:rFonts w:eastAsiaTheme="minorEastAsia"/>
              <w:noProof/>
              <w:lang w:eastAsia="de-DE"/>
            </w:rPr>
          </w:pPr>
          <w:hyperlink w:anchor="_Toc102231173" w:history="1">
            <w:r w:rsidR="000C03D8" w:rsidRPr="00D95802">
              <w:rPr>
                <w:rStyle w:val="Hyperlink"/>
                <w:rFonts w:ascii="Times New Roman" w:hAnsi="Times New Roman" w:cs="Times New Roman"/>
                <w:b/>
                <w:noProof/>
              </w:rPr>
              <w:t>3. Ergebnisse</w:t>
            </w:r>
            <w:r w:rsidR="000C03D8">
              <w:rPr>
                <w:noProof/>
                <w:webHidden/>
              </w:rPr>
              <w:tab/>
            </w:r>
            <w:r w:rsidR="000C03D8">
              <w:rPr>
                <w:noProof/>
                <w:webHidden/>
              </w:rPr>
              <w:fldChar w:fldCharType="begin"/>
            </w:r>
            <w:r w:rsidR="000C03D8">
              <w:rPr>
                <w:noProof/>
                <w:webHidden/>
              </w:rPr>
              <w:instrText xml:space="preserve"> PAGEREF _Toc102231173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74" w:history="1">
            <w:r w:rsidR="000C03D8" w:rsidRPr="00D95802">
              <w:rPr>
                <w:rStyle w:val="Hyperlink"/>
                <w:rFonts w:ascii="Times New Roman" w:hAnsi="Times New Roman" w:cs="Times New Roman"/>
                <w:b/>
                <w:noProof/>
              </w:rPr>
              <w:t>3.1 Erste Hypothese</w:t>
            </w:r>
            <w:r w:rsidR="000C03D8">
              <w:rPr>
                <w:noProof/>
                <w:webHidden/>
              </w:rPr>
              <w:tab/>
            </w:r>
            <w:r w:rsidR="000C03D8">
              <w:rPr>
                <w:noProof/>
                <w:webHidden/>
              </w:rPr>
              <w:fldChar w:fldCharType="begin"/>
            </w:r>
            <w:r w:rsidR="000C03D8">
              <w:rPr>
                <w:noProof/>
                <w:webHidden/>
              </w:rPr>
              <w:instrText xml:space="preserve"> PAGEREF _Toc102231174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75" w:history="1">
            <w:r w:rsidR="000C03D8" w:rsidRPr="00D95802">
              <w:rPr>
                <w:rStyle w:val="Hyperlink"/>
                <w:rFonts w:ascii="Times New Roman" w:hAnsi="Times New Roman" w:cs="Times New Roman"/>
                <w:b/>
                <w:noProof/>
              </w:rPr>
              <w:t>3.2 Zweite Hypothese</w:t>
            </w:r>
            <w:r w:rsidR="000C03D8">
              <w:rPr>
                <w:noProof/>
                <w:webHidden/>
              </w:rPr>
              <w:tab/>
            </w:r>
            <w:r w:rsidR="000C03D8">
              <w:rPr>
                <w:noProof/>
                <w:webHidden/>
              </w:rPr>
              <w:fldChar w:fldCharType="begin"/>
            </w:r>
            <w:r w:rsidR="000C03D8">
              <w:rPr>
                <w:noProof/>
                <w:webHidden/>
              </w:rPr>
              <w:instrText xml:space="preserve"> PAGEREF _Toc102231175 \h </w:instrText>
            </w:r>
            <w:r w:rsidR="000C03D8">
              <w:rPr>
                <w:noProof/>
                <w:webHidden/>
              </w:rPr>
            </w:r>
            <w:r w:rsidR="000C03D8">
              <w:rPr>
                <w:noProof/>
                <w:webHidden/>
              </w:rPr>
              <w:fldChar w:fldCharType="separate"/>
            </w:r>
            <w:r w:rsidR="000C03D8">
              <w:rPr>
                <w:noProof/>
                <w:webHidden/>
              </w:rPr>
              <w:t>37</w:t>
            </w:r>
            <w:r w:rsidR="000C03D8">
              <w:rPr>
                <w:noProof/>
                <w:webHidden/>
              </w:rPr>
              <w:fldChar w:fldCharType="end"/>
            </w:r>
          </w:hyperlink>
        </w:p>
        <w:p w:rsidR="000C03D8" w:rsidRDefault="004F72C3">
          <w:pPr>
            <w:pStyle w:val="Verzeichnis2"/>
            <w:tabs>
              <w:tab w:val="right" w:leader="dot" w:pos="9060"/>
            </w:tabs>
            <w:rPr>
              <w:rFonts w:eastAsiaTheme="minorEastAsia"/>
              <w:noProof/>
              <w:lang w:eastAsia="de-DE"/>
            </w:rPr>
          </w:pPr>
          <w:hyperlink w:anchor="_Toc102231176" w:history="1">
            <w:r w:rsidR="000C03D8" w:rsidRPr="00D95802">
              <w:rPr>
                <w:rStyle w:val="Hyperlink"/>
                <w:rFonts w:ascii="Times New Roman" w:hAnsi="Times New Roman" w:cs="Times New Roman"/>
                <w:b/>
                <w:noProof/>
              </w:rPr>
              <w:t>3.3 Explorative Analysen</w:t>
            </w:r>
            <w:r w:rsidR="000C03D8">
              <w:rPr>
                <w:noProof/>
                <w:webHidden/>
              </w:rPr>
              <w:tab/>
            </w:r>
            <w:r w:rsidR="000C03D8">
              <w:rPr>
                <w:noProof/>
                <w:webHidden/>
              </w:rPr>
              <w:fldChar w:fldCharType="begin"/>
            </w:r>
            <w:r w:rsidR="000C03D8">
              <w:rPr>
                <w:noProof/>
                <w:webHidden/>
              </w:rPr>
              <w:instrText xml:space="preserve"> PAGEREF _Toc102231176 \h </w:instrText>
            </w:r>
            <w:r w:rsidR="000C03D8">
              <w:rPr>
                <w:noProof/>
                <w:webHidden/>
              </w:rPr>
            </w:r>
            <w:r w:rsidR="000C03D8">
              <w:rPr>
                <w:noProof/>
                <w:webHidden/>
              </w:rPr>
              <w:fldChar w:fldCharType="separate"/>
            </w:r>
            <w:r w:rsidR="000C03D8">
              <w:rPr>
                <w:noProof/>
                <w:webHidden/>
              </w:rPr>
              <w:t>40</w:t>
            </w:r>
            <w:r w:rsidR="000C03D8">
              <w:rPr>
                <w:noProof/>
                <w:webHidden/>
              </w:rPr>
              <w:fldChar w:fldCharType="end"/>
            </w:r>
          </w:hyperlink>
        </w:p>
        <w:p w:rsidR="000C03D8" w:rsidRDefault="004F72C3">
          <w:pPr>
            <w:pStyle w:val="Verzeichnis1"/>
            <w:tabs>
              <w:tab w:val="right" w:leader="dot" w:pos="9060"/>
            </w:tabs>
            <w:rPr>
              <w:rFonts w:eastAsiaTheme="minorEastAsia"/>
              <w:noProof/>
              <w:lang w:eastAsia="de-DE"/>
            </w:rPr>
          </w:pPr>
          <w:hyperlink w:anchor="_Toc102231177" w:history="1">
            <w:r w:rsidR="000C03D8" w:rsidRPr="00D95802">
              <w:rPr>
                <w:rStyle w:val="Hyperlink"/>
                <w:rFonts w:ascii="Times New Roman" w:hAnsi="Times New Roman" w:cs="Times New Roman"/>
                <w:b/>
                <w:noProof/>
              </w:rPr>
              <w:t>4. Diskussion</w:t>
            </w:r>
            <w:r w:rsidR="000C03D8">
              <w:rPr>
                <w:noProof/>
                <w:webHidden/>
              </w:rPr>
              <w:tab/>
            </w:r>
            <w:r w:rsidR="000C03D8">
              <w:rPr>
                <w:noProof/>
                <w:webHidden/>
              </w:rPr>
              <w:fldChar w:fldCharType="begin"/>
            </w:r>
            <w:r w:rsidR="000C03D8">
              <w:rPr>
                <w:noProof/>
                <w:webHidden/>
              </w:rPr>
              <w:instrText xml:space="preserve"> PAGEREF _Toc102231177 \h </w:instrText>
            </w:r>
            <w:r w:rsidR="000C03D8">
              <w:rPr>
                <w:noProof/>
                <w:webHidden/>
              </w:rPr>
            </w:r>
            <w:r w:rsidR="000C03D8">
              <w:rPr>
                <w:noProof/>
                <w:webHidden/>
              </w:rPr>
              <w:fldChar w:fldCharType="separate"/>
            </w:r>
            <w:r w:rsidR="000C03D8">
              <w:rPr>
                <w:noProof/>
                <w:webHidden/>
              </w:rPr>
              <w:t>44</w:t>
            </w:r>
            <w:r w:rsidR="000C03D8">
              <w:rPr>
                <w:noProof/>
                <w:webHidden/>
              </w:rPr>
              <w:fldChar w:fldCharType="end"/>
            </w:r>
          </w:hyperlink>
        </w:p>
        <w:p w:rsidR="000C03D8" w:rsidRDefault="004F72C3">
          <w:pPr>
            <w:pStyle w:val="Verzeichnis1"/>
            <w:tabs>
              <w:tab w:val="right" w:leader="dot" w:pos="9060"/>
            </w:tabs>
            <w:rPr>
              <w:rFonts w:eastAsiaTheme="minorEastAsia"/>
              <w:noProof/>
              <w:lang w:eastAsia="de-DE"/>
            </w:rPr>
          </w:pPr>
          <w:hyperlink w:anchor="_Toc102231178" w:history="1">
            <w:r w:rsidR="000C03D8" w:rsidRPr="00D95802">
              <w:rPr>
                <w:rStyle w:val="Hyperlink"/>
                <w:rFonts w:ascii="Times New Roman" w:hAnsi="Times New Roman" w:cs="Times New Roman"/>
                <w:b/>
                <w:noProof/>
              </w:rPr>
              <w:t>Fazit</w:t>
            </w:r>
            <w:r w:rsidR="000C03D8">
              <w:rPr>
                <w:noProof/>
                <w:webHidden/>
              </w:rPr>
              <w:tab/>
            </w:r>
            <w:r w:rsidR="000C03D8">
              <w:rPr>
                <w:noProof/>
                <w:webHidden/>
              </w:rPr>
              <w:fldChar w:fldCharType="begin"/>
            </w:r>
            <w:r w:rsidR="000C03D8">
              <w:rPr>
                <w:noProof/>
                <w:webHidden/>
              </w:rPr>
              <w:instrText xml:space="preserve"> PAGEREF _Toc102231178 \h </w:instrText>
            </w:r>
            <w:r w:rsidR="000C03D8">
              <w:rPr>
                <w:noProof/>
                <w:webHidden/>
              </w:rPr>
            </w:r>
            <w:r w:rsidR="000C03D8">
              <w:rPr>
                <w:noProof/>
                <w:webHidden/>
              </w:rPr>
              <w:fldChar w:fldCharType="separate"/>
            </w:r>
            <w:r w:rsidR="000C03D8">
              <w:rPr>
                <w:noProof/>
                <w:webHidden/>
              </w:rPr>
              <w:t>53</w:t>
            </w:r>
            <w:r w:rsidR="000C03D8">
              <w:rPr>
                <w:noProof/>
                <w:webHidden/>
              </w:rPr>
              <w:fldChar w:fldCharType="end"/>
            </w:r>
          </w:hyperlink>
        </w:p>
        <w:p w:rsidR="000C03D8" w:rsidRDefault="004F72C3">
          <w:pPr>
            <w:pStyle w:val="Verzeichnis1"/>
            <w:tabs>
              <w:tab w:val="right" w:leader="dot" w:pos="9060"/>
            </w:tabs>
            <w:rPr>
              <w:rFonts w:eastAsiaTheme="minorEastAsia"/>
              <w:noProof/>
              <w:lang w:eastAsia="de-DE"/>
            </w:rPr>
          </w:pPr>
          <w:hyperlink w:anchor="_Toc102231179" w:history="1">
            <w:r w:rsidR="000C03D8" w:rsidRPr="00D95802">
              <w:rPr>
                <w:rStyle w:val="Hyperlink"/>
                <w:rFonts w:ascii="Times New Roman" w:hAnsi="Times New Roman" w:cs="Times New Roman"/>
                <w:b/>
                <w:noProof/>
              </w:rPr>
              <w:t>Literaturverzeichnis</w:t>
            </w:r>
            <w:r w:rsidR="000C03D8">
              <w:rPr>
                <w:noProof/>
                <w:webHidden/>
              </w:rPr>
              <w:tab/>
            </w:r>
            <w:r w:rsidR="000C03D8">
              <w:rPr>
                <w:noProof/>
                <w:webHidden/>
              </w:rPr>
              <w:fldChar w:fldCharType="begin"/>
            </w:r>
            <w:r w:rsidR="000C03D8">
              <w:rPr>
                <w:noProof/>
                <w:webHidden/>
              </w:rPr>
              <w:instrText xml:space="preserve"> PAGEREF _Toc102231179 \h </w:instrText>
            </w:r>
            <w:r w:rsidR="000C03D8">
              <w:rPr>
                <w:noProof/>
                <w:webHidden/>
              </w:rPr>
            </w:r>
            <w:r w:rsidR="000C03D8">
              <w:rPr>
                <w:noProof/>
                <w:webHidden/>
              </w:rPr>
              <w:fldChar w:fldCharType="separate"/>
            </w:r>
            <w:r w:rsidR="000C03D8">
              <w:rPr>
                <w:noProof/>
                <w:webHidden/>
              </w:rPr>
              <w:t>54</w:t>
            </w:r>
            <w:r w:rsidR="000C03D8">
              <w:rPr>
                <w:noProof/>
                <w:webHidden/>
              </w:rPr>
              <w:fldChar w:fldCharType="end"/>
            </w:r>
          </w:hyperlink>
        </w:p>
        <w:p w:rsidR="000C03D8" w:rsidRDefault="004F72C3">
          <w:pPr>
            <w:pStyle w:val="Verzeichnis1"/>
            <w:tabs>
              <w:tab w:val="right" w:leader="dot" w:pos="9060"/>
            </w:tabs>
            <w:rPr>
              <w:rFonts w:eastAsiaTheme="minorEastAsia"/>
              <w:noProof/>
              <w:lang w:eastAsia="de-DE"/>
            </w:rPr>
          </w:pPr>
          <w:hyperlink w:anchor="_Toc102231180" w:history="1">
            <w:r w:rsidR="000C03D8" w:rsidRPr="00D95802">
              <w:rPr>
                <w:rStyle w:val="Hyperlink"/>
                <w:rFonts w:ascii="Times New Roman" w:hAnsi="Times New Roman" w:cs="Times New Roman"/>
                <w:b/>
                <w:noProof/>
              </w:rPr>
              <w:t>Anhang</w:t>
            </w:r>
            <w:r w:rsidR="000C03D8">
              <w:rPr>
                <w:noProof/>
                <w:webHidden/>
              </w:rPr>
              <w:tab/>
            </w:r>
            <w:r w:rsidR="000C03D8">
              <w:rPr>
                <w:noProof/>
                <w:webHidden/>
              </w:rPr>
              <w:fldChar w:fldCharType="begin"/>
            </w:r>
            <w:r w:rsidR="000C03D8">
              <w:rPr>
                <w:noProof/>
                <w:webHidden/>
              </w:rPr>
              <w:instrText xml:space="preserve"> PAGEREF _Toc102231180 \h </w:instrText>
            </w:r>
            <w:r w:rsidR="000C03D8">
              <w:rPr>
                <w:noProof/>
                <w:webHidden/>
              </w:rPr>
            </w:r>
            <w:r w:rsidR="000C03D8">
              <w:rPr>
                <w:noProof/>
                <w:webHidden/>
              </w:rPr>
              <w:fldChar w:fldCharType="separate"/>
            </w:r>
            <w:r w:rsidR="000C03D8">
              <w:rPr>
                <w:noProof/>
                <w:webHidden/>
              </w:rPr>
              <w:t>62</w:t>
            </w:r>
            <w:r w:rsidR="000C03D8">
              <w:rPr>
                <w:noProof/>
                <w:webHidden/>
              </w:rPr>
              <w:fldChar w:fldCharType="end"/>
            </w:r>
          </w:hyperlink>
        </w:p>
        <w:p w:rsidR="000C03D8" w:rsidRPr="000C03D8" w:rsidRDefault="000C03D8" w:rsidP="000C03D8">
          <w:pPr>
            <w:rPr>
              <w:b/>
              <w:bCs/>
            </w:rPr>
          </w:pPr>
          <w:r w:rsidRPr="000C03D8">
            <w:rPr>
              <w:b/>
              <w:bCs/>
            </w:rPr>
            <w:fldChar w:fldCharType="end"/>
          </w:r>
        </w:p>
      </w:sdtContent>
    </w:sdt>
    <w:p w:rsidR="001C6A92" w:rsidRPr="000C03D8" w:rsidRDefault="008E395C" w:rsidP="000C03D8">
      <w:pPr>
        <w:pStyle w:val="berschrift1"/>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0" w:name="_Toc102231148"/>
      <w:r w:rsidR="001C6A92" w:rsidRPr="000C03D8">
        <w:rPr>
          <w:rFonts w:ascii="Times New Roman" w:hAnsi="Times New Roman" w:cs="Times New Roman"/>
          <w:b/>
          <w:color w:val="auto"/>
        </w:rPr>
        <w:lastRenderedPageBreak/>
        <w:t>Zusammenfassung</w:t>
      </w:r>
      <w:bookmarkEnd w:id="0"/>
    </w:p>
    <w:p w:rsidR="001C6A92" w:rsidRPr="000C03D8" w:rsidRDefault="001C6A92" w:rsidP="001A669B">
      <w:pPr>
        <w:spacing w:line="480" w:lineRule="auto"/>
        <w:jc w:val="both"/>
      </w:pPr>
    </w:p>
    <w:p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w:t>
      </w:r>
      <w:r w:rsidR="00327F8E">
        <w:rPr>
          <w:rFonts w:ascii="Times New Roman" w:hAnsi="Times New Roman" w:cs="Times New Roman"/>
          <w:sz w:val="24"/>
          <w:szCs w:val="24"/>
        </w:rPr>
        <w:t>zu erweitern. Dafür wurden intraoperative</w:t>
      </w:r>
      <w:r w:rsidR="000B53A3">
        <w:rPr>
          <w:rFonts w:ascii="Times New Roman" w:hAnsi="Times New Roman" w:cs="Times New Roman"/>
          <w:sz w:val="24"/>
          <w:szCs w:val="24"/>
        </w:rPr>
        <w:t xml:space="preserve"> l</w:t>
      </w:r>
      <w:r w:rsidRPr="000C03D8">
        <w:rPr>
          <w:rFonts w:ascii="Times New Roman" w:hAnsi="Times New Roman" w:cs="Times New Roman"/>
          <w:sz w:val="24"/>
          <w:szCs w:val="24"/>
        </w:rPr>
        <w:t>okalen Feldpotentiale von 25 Patient*innen untersucht, die an M</w:t>
      </w:r>
      <w:r w:rsidR="00327F8E">
        <w:rPr>
          <w:rFonts w:ascii="Times New Roman" w:hAnsi="Times New Roman" w:cs="Times New Roman"/>
          <w:sz w:val="24"/>
          <w:szCs w:val="24"/>
        </w:rPr>
        <w:t>orbus Parkinson leiden und</w:t>
      </w:r>
      <w:r w:rsidRPr="000C03D8">
        <w:rPr>
          <w:rFonts w:ascii="Times New Roman" w:hAnsi="Times New Roman" w:cs="Times New Roman"/>
          <w:sz w:val="24"/>
          <w:szCs w:val="24"/>
        </w:rPr>
        <w:t xml:space="preserve"> Tiefe Hirnstimulation in den subthalamischen Kernen</w:t>
      </w:r>
      <w:r w:rsidR="00327F8E">
        <w:rPr>
          <w:rFonts w:ascii="Times New Roman" w:hAnsi="Times New Roman" w:cs="Times New Roman"/>
          <w:sz w:val="24"/>
          <w:szCs w:val="24"/>
        </w:rPr>
        <w:t xml:space="preserve"> bekommen</w:t>
      </w:r>
      <w:r w:rsidRPr="000C03D8">
        <w:rPr>
          <w:rFonts w:ascii="Times New Roman" w:hAnsi="Times New Roman" w:cs="Times New Roman"/>
          <w:sz w:val="24"/>
          <w:szCs w:val="24"/>
        </w:rPr>
        <w:t xml:space="preserve">. </w:t>
      </w:r>
      <w:r w:rsidR="00F57C8A" w:rsidRPr="000C03D8">
        <w:rPr>
          <w:rFonts w:ascii="Times New Roman" w:hAnsi="Times New Roman" w:cs="Times New Roman"/>
          <w:sz w:val="24"/>
          <w:szCs w:val="24"/>
        </w:rPr>
        <w:t>Durch einen Algorithmus, der die aperiodische von der periodischen Komponente trennt, konnten die neuronalen Oszillationen erstmals in</w:t>
      </w:r>
      <w:r w:rsidR="00327F8E">
        <w:rPr>
          <w:rFonts w:ascii="Times New Roman" w:hAnsi="Times New Roman" w:cs="Times New Roman"/>
          <w:sz w:val="24"/>
          <w:szCs w:val="24"/>
        </w:rPr>
        <w:t xml:space="preserve"> diesem Forschungsbereich mittels</w:t>
      </w:r>
      <w:r w:rsidR="00F57C8A" w:rsidRPr="000C03D8">
        <w:rPr>
          <w:rFonts w:ascii="Times New Roman" w:hAnsi="Times New Roman" w:cs="Times New Roman"/>
          <w:sz w:val="24"/>
          <w:szCs w:val="24"/>
        </w:rPr>
        <w:t xml:space="preserve"> dieser Differenzierung bewertet werden.</w:t>
      </w:r>
      <w:r w:rsidR="001A669B" w:rsidRPr="000C03D8">
        <w:rPr>
          <w:rFonts w:ascii="Times New Roman" w:hAnsi="Times New Roman" w:cs="Times New Roman"/>
          <w:sz w:val="24"/>
          <w:szCs w:val="24"/>
        </w:rPr>
        <w:t xml:space="preserve"> Es wurde angenommen, dass die Spike-Aktivität und die Power im Betaband</w:t>
      </w:r>
      <w:r w:rsidR="00327F8E">
        <w:rPr>
          <w:rFonts w:ascii="Times New Roman" w:hAnsi="Times New Roman" w:cs="Times New Roman"/>
          <w:sz w:val="24"/>
          <w:szCs w:val="24"/>
        </w:rPr>
        <w:t xml:space="preserve"> während der OP</w:t>
      </w:r>
      <w:r w:rsidR="001A669B" w:rsidRPr="000C03D8">
        <w:rPr>
          <w:rFonts w:ascii="Times New Roman" w:hAnsi="Times New Roman" w:cs="Times New Roman"/>
          <w:sz w:val="24"/>
          <w:szCs w:val="24"/>
        </w:rPr>
        <w:t xml:space="preserve"> innerhalb der subthalamischen Kerne größer ist als außerhalb und umgekehrt für die aperiodische Komponente. </w:t>
      </w:r>
      <w:r w:rsidR="00F57C8A" w:rsidRPr="000C03D8">
        <w:rPr>
          <w:rFonts w:ascii="Times New Roman" w:hAnsi="Times New Roman" w:cs="Times New Roman"/>
          <w:sz w:val="24"/>
          <w:szCs w:val="24"/>
        </w:rPr>
        <w:t>Die Ergebnisse konnten bestätigen, dass die Spike-Aktivität die beste Aussagekraft dafür hat, ob die Elektrode sich im subthalamischen Kern befindet.</w:t>
      </w:r>
      <w:r w:rsidR="001A669B" w:rsidRPr="000C03D8">
        <w:rPr>
          <w:rFonts w:ascii="Times New Roman" w:hAnsi="Times New Roman" w:cs="Times New Roman"/>
          <w:sz w:val="24"/>
          <w:szCs w:val="24"/>
        </w:rPr>
        <w:t xml:space="preserve"> Für die Power im Betaband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rsidR="001C6A92" w:rsidRPr="000C03D8" w:rsidRDefault="001C6A92" w:rsidP="001C6A92">
      <w:pPr>
        <w:pStyle w:val="berschrift1"/>
        <w:jc w:val="center"/>
        <w:rPr>
          <w:color w:val="auto"/>
        </w:rPr>
      </w:pPr>
      <w:r w:rsidRPr="000C03D8">
        <w:rPr>
          <w:color w:val="auto"/>
        </w:rPr>
        <w:br w:type="page"/>
      </w:r>
    </w:p>
    <w:p w:rsidR="0089781C" w:rsidRPr="000C03D8" w:rsidRDefault="00F9011C" w:rsidP="00337758">
      <w:pPr>
        <w:pStyle w:val="berschrift1"/>
        <w:spacing w:line="480" w:lineRule="auto"/>
        <w:jc w:val="center"/>
        <w:rPr>
          <w:rFonts w:ascii="Times New Roman" w:hAnsi="Times New Roman" w:cs="Times New Roman"/>
          <w:b/>
          <w:color w:val="auto"/>
        </w:rPr>
      </w:pPr>
      <w:bookmarkStart w:id="1" w:name="_Toc102231149"/>
      <w:r w:rsidRPr="000C03D8">
        <w:rPr>
          <w:rFonts w:ascii="Times New Roman" w:hAnsi="Times New Roman" w:cs="Times New Roman"/>
          <w:b/>
          <w:color w:val="auto"/>
        </w:rPr>
        <w:lastRenderedPageBreak/>
        <w:t>1. Einleitung</w:t>
      </w:r>
      <w:bookmarkEnd w:id="1"/>
    </w:p>
    <w:p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(disability-adjusted-life-years),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eine groß</w:t>
      </w:r>
      <w:r w:rsidR="00160570">
        <w:rPr>
          <w:rFonts w:ascii="Times New Roman" w:hAnsi="Times New Roman" w:cs="Times New Roman"/>
          <w:sz w:val="24"/>
          <w:szCs w:val="24"/>
        </w:rPr>
        <w:t>e Rolle, können</w:t>
      </w:r>
      <w:r w:rsidR="002810FD" w:rsidRPr="000C03D8">
        <w:rPr>
          <w:rFonts w:ascii="Times New Roman" w:hAnsi="Times New Roman" w:cs="Times New Roman"/>
          <w:sz w:val="24"/>
          <w:szCs w:val="24"/>
        </w:rPr>
        <w:t xml:space="preserve">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rsidR="00A11FF6" w:rsidRPr="000C03D8" w:rsidRDefault="000D188D" w:rsidP="00337758">
      <w:pPr>
        <w:pStyle w:val="berschrift2"/>
        <w:spacing w:line="480" w:lineRule="auto"/>
        <w:jc w:val="both"/>
        <w:rPr>
          <w:rFonts w:ascii="Times New Roman" w:hAnsi="Times New Roman" w:cs="Times New Roman"/>
          <w:b/>
          <w:color w:val="auto"/>
          <w:sz w:val="28"/>
          <w:szCs w:val="28"/>
        </w:rPr>
      </w:pPr>
      <w:bookmarkStart w:id="2" w:name="_Toc102231150"/>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2"/>
    </w:p>
    <w:p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verschiedene motorische sowie auch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Die Movement Disorder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r w:rsidR="007B3B38" w:rsidRPr="000C03D8">
        <w:rPr>
          <w:rFonts w:ascii="Times New Roman" w:hAnsi="Times New Roman" w:cs="Times New Roman"/>
          <w:sz w:val="24"/>
          <w:szCs w:val="24"/>
        </w:rPr>
        <w:t xml:space="preserve">Bradykinesie, die gemeinsam mit Ruhetremor, Rigor oder beidem auftritt. Diese Symptome sind daher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auf der Dokumentation der motorischen Symptome, die zum Beispiel durch die United Parkinson’s Disease Rating Scale (UPDRS) eingeschätzt werden können</w:t>
      </w:r>
      <w:r w:rsidR="00343E86">
        <w:rPr>
          <w:rFonts w:ascii="Times New Roman" w:hAnsi="Times New Roman" w:cs="Times New Roman"/>
          <w:sz w:val="24"/>
          <w:szCs w:val="24"/>
        </w:rPr>
        <w:t xml:space="preserve"> </w:t>
      </w:r>
      <w:r w:rsidR="00343E86">
        <w:rPr>
          <w:rFonts w:ascii="Times New Roman" w:hAnsi="Times New Roman" w:cs="Times New Roman"/>
          <w:sz w:val="24"/>
          <w:szCs w:val="24"/>
        </w:rPr>
        <w:fldChar w:fldCharType="begin"/>
      </w:r>
      <w:r w:rsidR="00343E86">
        <w:rPr>
          <w:rFonts w:ascii="Times New Roman" w:hAnsi="Times New Roman" w:cs="Times New Roman"/>
          <w:sz w:val="24"/>
          <w:szCs w:val="24"/>
        </w:rPr>
        <w:instrText xml:space="preserve"> ADDIN ZOTERO_ITEM CSL_CITATION {"citationID":"qyPTkGqs","properties":{"formattedCitation":"(Fahn et al., 1987)","plainCitation":"(Fahn et al., 1987)","noteIndex":0},"citationItems":[{"id":153,"uris":["http://zotero.org/users/local/AhaM3qLx/items/2CPW5C2Y"],"itemData":{"id":153,"type":"chapter","container-title":"Recent Developments in Parkinson's Disease","event-place":"Florham Park, NJ","page":"153-163","publisher":"Macmillan Healthcare Information","publisher-place":"Florham Park, NJ","title":"UNIFIED PARKINSON'S DISEASE RATING SCALE","volume":"2","author":[{"family":"Fahn","given":"Stanley"},{"family":"Elton","given":"R."},{"literal":"Members of the UPDRS Development Committee"}],"editor":[{"family":"Fahn","given":"Stanley"},{"literal":"Marsden C."},{"literal":"Goldstein M."},{"literal":"Calne D."}],"issued":{"date-parts":[["1987"]]}}}],"schema":"https://github.com/citation-style-language/schema/raw/master/csl-citation.json"} </w:instrText>
      </w:r>
      <w:r w:rsidR="00343E86">
        <w:rPr>
          <w:rFonts w:ascii="Times New Roman" w:hAnsi="Times New Roman" w:cs="Times New Roman"/>
          <w:sz w:val="24"/>
          <w:szCs w:val="24"/>
        </w:rPr>
        <w:fldChar w:fldCharType="separate"/>
      </w:r>
      <w:r w:rsidR="00343E86" w:rsidRPr="00343E86">
        <w:rPr>
          <w:rFonts w:ascii="Times New Roman" w:hAnsi="Times New Roman" w:cs="Times New Roman"/>
          <w:sz w:val="24"/>
        </w:rPr>
        <w:t>(Fahn et al., 1987)</w:t>
      </w:r>
      <w:r w:rsidR="00343E86">
        <w:rPr>
          <w:rFonts w:ascii="Times New Roman" w:hAnsi="Times New Roman" w:cs="Times New Roman"/>
          <w:sz w:val="24"/>
          <w:szCs w:val="24"/>
        </w:rPr>
        <w:fldChar w:fldCharType="end"/>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rsidR="00E17EC6" w:rsidRPr="000C03D8" w:rsidRDefault="00403FCE" w:rsidP="00337758">
      <w:pPr>
        <w:pStyle w:val="berschrift3"/>
        <w:spacing w:line="480" w:lineRule="auto"/>
        <w:jc w:val="both"/>
        <w:rPr>
          <w:rFonts w:ascii="Times New Roman" w:hAnsi="Times New Roman" w:cs="Times New Roman"/>
          <w:b/>
          <w:i/>
          <w:color w:val="auto"/>
        </w:rPr>
      </w:pPr>
      <w:bookmarkStart w:id="3" w:name="_Toc102231151"/>
      <w:r w:rsidRPr="000C03D8">
        <w:rPr>
          <w:rFonts w:ascii="Times New Roman" w:hAnsi="Times New Roman" w:cs="Times New Roman"/>
          <w:b/>
          <w:i/>
          <w:color w:val="auto"/>
        </w:rPr>
        <w:t>1.1.1 Motorische Symptome von Morbus Parkinson</w:t>
      </w:r>
      <w:bookmarkEnd w:id="3"/>
    </w:p>
    <w:p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r w:rsidR="00392EE0" w:rsidRPr="000C03D8">
        <w:rPr>
          <w:rFonts w:ascii="Times New Roman" w:hAnsi="Times New Roman" w:cs="Times New Roman"/>
          <w:sz w:val="24"/>
          <w:szCs w:val="24"/>
        </w:rPr>
        <w:t>Bradykinesie ist</w:t>
      </w:r>
      <w:r w:rsidR="006407F7" w:rsidRPr="000C03D8">
        <w:rPr>
          <w:rFonts w:ascii="Times New Roman" w:hAnsi="Times New Roman" w:cs="Times New Roman"/>
          <w:sz w:val="24"/>
          <w:szCs w:val="24"/>
        </w:rPr>
        <w:t xml:space="preserve"> in der Definition der MDS ein Übergriff für die eigentliche Bradykinesie,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Hess &amp; Hallett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Bradykinesie als die Verlängerung der Zeit beschrieben, die zwischen dem Beginn und der Vollendung einer willkürlichen Bewegung vergeht. </w:t>
      </w:r>
      <w:r w:rsidR="00E006EC" w:rsidRPr="000C03D8">
        <w:rPr>
          <w:rFonts w:ascii="Times New Roman" w:hAnsi="Times New Roman" w:cs="Times New Roman"/>
          <w:sz w:val="24"/>
          <w:szCs w:val="24"/>
        </w:rPr>
        <w:t>Als weitere Merkmale der Bradykinesie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w:t>
      </w:r>
      <w:r w:rsidR="00BC6192" w:rsidRPr="000C03D8">
        <w:rPr>
          <w:rFonts w:ascii="Times New Roman" w:hAnsi="Times New Roman" w:cs="Times New Roman"/>
          <w:sz w:val="24"/>
          <w:szCs w:val="24"/>
        </w:rPr>
        <w:lastRenderedPageBreak/>
        <w:t xml:space="preserve">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r w:rsidR="00023F1B" w:rsidRPr="000C03D8">
        <w:rPr>
          <w:rFonts w:ascii="Times New Roman" w:hAnsi="Times New Roman" w:cs="Times New Roman"/>
          <w:sz w:val="24"/>
          <w:szCs w:val="24"/>
        </w:rPr>
        <w:t xml:space="preserve"> </w:t>
      </w:r>
      <w:r w:rsidR="00206C2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rsidR="00403FCE" w:rsidRPr="000C03D8" w:rsidRDefault="006132A0" w:rsidP="00337758">
      <w:pPr>
        <w:pStyle w:val="berschrift3"/>
        <w:spacing w:line="480" w:lineRule="auto"/>
        <w:jc w:val="both"/>
        <w:rPr>
          <w:rFonts w:ascii="Times New Roman" w:hAnsi="Times New Roman" w:cs="Times New Roman"/>
          <w:b/>
          <w:i/>
          <w:color w:val="auto"/>
        </w:rPr>
      </w:pPr>
      <w:bookmarkStart w:id="4" w:name="_Toc102231152"/>
      <w:r w:rsidRPr="000C03D8">
        <w:rPr>
          <w:rFonts w:ascii="Times New Roman" w:hAnsi="Times New Roman" w:cs="Times New Roman"/>
          <w:b/>
          <w:i/>
          <w:color w:val="auto"/>
        </w:rPr>
        <w:t>1.1.2 Nicht-motorische Symptome von Morbus Parkinson</w:t>
      </w:r>
      <w:bookmarkEnd w:id="4"/>
    </w:p>
    <w:p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Hyposmie, Angststörung, Müdigkeit, Fatigue, </w:t>
      </w:r>
      <w:r w:rsidR="003A42A8" w:rsidRPr="000C03D8">
        <w:rPr>
          <w:rFonts w:ascii="Times New Roman" w:hAnsi="Times New Roman" w:cs="Times New Roman"/>
          <w:sz w:val="24"/>
          <w:szCs w:val="24"/>
        </w:rPr>
        <w:t xml:space="preserve">milde kognitive Einschränkungen, Schmerz, Apathie, urologische Symptome, orthostatische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der Zusammenhang zu Morbus Parkinson oft nic</w:t>
      </w:r>
      <w:r w:rsidR="00160570">
        <w:rPr>
          <w:rFonts w:ascii="Times New Roman" w:hAnsi="Times New Roman" w:cs="Times New Roman"/>
          <w:sz w:val="24"/>
          <w:szCs w:val="24"/>
        </w:rPr>
        <w:t>ht erkannt wird oder möglicherw</w:t>
      </w:r>
      <w:r w:rsidR="00F234B7" w:rsidRPr="000C03D8">
        <w:rPr>
          <w:rFonts w:ascii="Times New Roman" w:hAnsi="Times New Roman" w:cs="Times New Roman"/>
          <w:sz w:val="24"/>
          <w:szCs w:val="24"/>
        </w:rPr>
        <w:t xml:space="preserve">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w:t>
      </w:r>
      <w:r w:rsidR="00160570">
        <w:rPr>
          <w:rFonts w:ascii="Times New Roman" w:hAnsi="Times New Roman" w:cs="Times New Roman"/>
          <w:sz w:val="24"/>
          <w:szCs w:val="24"/>
        </w:rPr>
        <w:t xml:space="preserve"> bereits vorhandenen Behandlungsm</w:t>
      </w:r>
      <w:r w:rsidR="00C704AE" w:rsidRPr="000C03D8">
        <w:rPr>
          <w:rFonts w:ascii="Times New Roman" w:hAnsi="Times New Roman" w:cs="Times New Roman"/>
          <w:sz w:val="24"/>
          <w:szCs w:val="24"/>
        </w:rPr>
        <w:t xml:space="preserve">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rsidR="000D188D" w:rsidRPr="000C03D8" w:rsidRDefault="000D188D" w:rsidP="00337758">
      <w:pPr>
        <w:pStyle w:val="berschrift2"/>
        <w:spacing w:line="480" w:lineRule="auto"/>
        <w:jc w:val="both"/>
        <w:rPr>
          <w:rFonts w:ascii="Times New Roman" w:hAnsi="Times New Roman" w:cs="Times New Roman"/>
          <w:b/>
          <w:color w:val="auto"/>
          <w:sz w:val="28"/>
          <w:szCs w:val="28"/>
        </w:rPr>
      </w:pPr>
      <w:bookmarkStart w:id="5" w:name="_Toc102231153"/>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5"/>
    </w:p>
    <w:p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Bereits seit 1919 ist es bekannt, dass ein Abbau von Zellen in der Substantia Nigra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Heutzutage gilt der Verlust von pigmentierten dopaminergen Neuronen in bestimmten Bereichen der Substantia Nigra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-Synuklein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-Synuklein, eine Dysfunktion der Mitochondrien, oxidativer Stress, Neuroinflammation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dopaminergen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(Bloem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Dopaminausschüttung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Substantia nigra pars compacta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chen Bereich des Striatum</w:t>
      </w:r>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pallidus internus und der Substantia nigra pars reticulata </w:t>
      </w:r>
      <w:r w:rsidR="0032010C" w:rsidRPr="000C03D8">
        <w:rPr>
          <w:rFonts w:ascii="Times New Roman" w:hAnsi="Times New Roman" w:cs="Times New Roman"/>
          <w:sz w:val="24"/>
          <w:szCs w:val="24"/>
        </w:rPr>
        <w:t>wird dadurch der hemmende Einfluss des Striatum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Die verstärkte Hemmung von motorischen Bereichen durch den Globus pallidus internus und die Substantia nigra pars reticula wird des Weiteren auch durch einen indirekten Weg erreicht. Der Verlust von Zellen in der Substantia nigra pars com</w:t>
      </w:r>
      <w:r w:rsidR="00EF5196" w:rsidRPr="000C03D8">
        <w:rPr>
          <w:rFonts w:ascii="Times New Roman" w:hAnsi="Times New Roman" w:cs="Times New Roman"/>
          <w:sz w:val="24"/>
          <w:szCs w:val="24"/>
        </w:rPr>
        <w:t>pacta sorgt auch dafür, dass das</w:t>
      </w:r>
      <w:r w:rsidR="00AB6FCF" w:rsidRPr="000C03D8">
        <w:rPr>
          <w:rFonts w:ascii="Times New Roman" w:hAnsi="Times New Roman" w:cs="Times New Roman"/>
          <w:sz w:val="24"/>
          <w:szCs w:val="24"/>
        </w:rPr>
        <w:t xml:space="preserve"> Striatum eine verstärkte Hemmung des Globus pallidus externus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uf den Subthalamischen Kern (STK</w:t>
      </w:r>
      <w:r w:rsidR="00AB6FCF" w:rsidRPr="000C03D8">
        <w:rPr>
          <w:rFonts w:ascii="Times New Roman" w:hAnsi="Times New Roman" w:cs="Times New Roman"/>
          <w:sz w:val="24"/>
          <w:szCs w:val="24"/>
        </w:rPr>
        <w:t>), der dann wiederum eine verstärkende Wirkung auf den Globus pallidus internus und die Substantia nigra pars reticulata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thalamocortikalen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Bradykinesie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dopaminergen Neuronen in der Substantia Nigra pars compacta und die daraus resultierenden Verminderung von Dopamin im Striatum führen durch die beschriebenen Mechanismen zu einem Ungleichgewicht zwischen der direkten und der indirekten Verbindung in den Basalganglien und dadurch zu Bradykinesie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Bradykinesie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Betaband assoziiert mit der Bewegungseinschränkung bei Bradykinesie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Rigors der Fokus auf veränderte Reflexmechanismen in der Wirbelsäule und im Hirnstamm lag, sind auch hier mit hoher Wahrscheinlichkeit Veränderungen in den Basalganglien beteiligt, da die Schwere des Rigors mit dem Dopaminverlust im Striatum </w:t>
      </w:r>
      <w:r w:rsidR="0021190D" w:rsidRPr="000C03D8">
        <w:rPr>
          <w:rFonts w:ascii="Times New Roman" w:hAnsi="Times New Roman" w:cs="Times New Roman"/>
          <w:sz w:val="24"/>
          <w:szCs w:val="24"/>
        </w:rPr>
        <w:t xml:space="preserve">und der Aktivität im Betaband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Bradykinesie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Bradykinesie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thalamischen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0C03D8" w:rsidRDefault="006045B8" w:rsidP="00337758">
      <w:pPr>
        <w:pStyle w:val="berschrift2"/>
        <w:spacing w:line="480" w:lineRule="auto"/>
        <w:jc w:val="both"/>
        <w:rPr>
          <w:rFonts w:ascii="Times New Roman" w:hAnsi="Times New Roman" w:cs="Times New Roman"/>
          <w:b/>
          <w:color w:val="auto"/>
          <w:sz w:val="28"/>
          <w:szCs w:val="28"/>
        </w:rPr>
      </w:pPr>
      <w:bookmarkStart w:id="6" w:name="_Toc102231154"/>
      <w:r w:rsidRPr="000C03D8">
        <w:rPr>
          <w:rFonts w:ascii="Times New Roman" w:hAnsi="Times New Roman" w:cs="Times New Roman"/>
          <w:b/>
          <w:color w:val="auto"/>
          <w:sz w:val="28"/>
          <w:szCs w:val="28"/>
        </w:rPr>
        <w:t>1.3 Behandlung von Morbus Parkinson</w:t>
      </w:r>
      <w:bookmarkEnd w:id="6"/>
    </w:p>
    <w:p w:rsidR="0092475B" w:rsidRPr="000C03D8" w:rsidRDefault="0092475B" w:rsidP="00337758">
      <w:pPr>
        <w:pStyle w:val="berschrift3"/>
        <w:spacing w:line="480" w:lineRule="auto"/>
        <w:jc w:val="both"/>
        <w:rPr>
          <w:rFonts w:ascii="Times New Roman" w:hAnsi="Times New Roman" w:cs="Times New Roman"/>
          <w:b/>
          <w:i/>
          <w:color w:val="auto"/>
        </w:rPr>
      </w:pPr>
      <w:bookmarkStart w:id="7" w:name="_Toc102231155"/>
      <w:r w:rsidRPr="000C03D8">
        <w:rPr>
          <w:rFonts w:ascii="Times New Roman" w:hAnsi="Times New Roman" w:cs="Times New Roman"/>
          <w:b/>
          <w:i/>
          <w:color w:val="auto"/>
        </w:rPr>
        <w:t>1.3.1 Medikamentöse Behandlung</w:t>
      </w:r>
      <w:bookmarkEnd w:id="7"/>
    </w:p>
    <w:p w:rsidR="0092475B" w:rsidRPr="000C03D8" w:rsidRDefault="006E72EA"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Auch wenn er</w:t>
      </w:r>
      <w:r w:rsidR="0000655A" w:rsidRPr="000C03D8">
        <w:rPr>
          <w:rFonts w:ascii="Times New Roman" w:hAnsi="Times New Roman" w:cs="Times New Roman"/>
          <w:sz w:val="24"/>
          <w:szCs w:val="24"/>
        </w:rPr>
        <w:t xml:space="preserve">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00655A"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Striatum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Zugabe von Levodopa, der Vorstufe von Dopamin, ausgeglichen und kontrolliert.</w:t>
      </w:r>
      <w:r w:rsidR="00267210" w:rsidRPr="000C03D8">
        <w:rPr>
          <w:rFonts w:ascii="Times New Roman" w:hAnsi="Times New Roman" w:cs="Times New Roman"/>
          <w:sz w:val="24"/>
          <w:szCs w:val="24"/>
        </w:rPr>
        <w:t xml:space="preserve"> Die medikamentöse Behandlung mit Levodopa führt zu einer Verringerung der Power im Betaband,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Levodopa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dopaminergen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Allerdings löst die Behandlung mit Levodopa langfristig neue Bewegungsstörungen und Dys</w:t>
      </w:r>
      <w:r w:rsidR="00D556BB" w:rsidRPr="000C03D8">
        <w:rPr>
          <w:rFonts w:ascii="Times New Roman" w:hAnsi="Times New Roman" w:cs="Times New Roman"/>
          <w:sz w:val="24"/>
          <w:szCs w:val="24"/>
        </w:rPr>
        <w:t xml:space="preserve">kinesien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dopaminergen Medikamenten von allen Faktoren den drittgrößten Einfluss auf die Verringerung der Lebensqualität haben (Gomez-Esteban et al., 2007). Auch die Anzahl der Jahre, in denen Levodopa genommen wurde, hatte einen negativen Zusammenhang mit der Lebensqualität, allerdings einen geringeren. </w:t>
      </w:r>
    </w:p>
    <w:p w:rsidR="0092475B" w:rsidRPr="000C03D8" w:rsidRDefault="0092475B" w:rsidP="00337758">
      <w:pPr>
        <w:pStyle w:val="berschrift3"/>
        <w:spacing w:line="480" w:lineRule="auto"/>
        <w:jc w:val="both"/>
        <w:rPr>
          <w:rFonts w:ascii="Times New Roman" w:hAnsi="Times New Roman" w:cs="Times New Roman"/>
          <w:b/>
          <w:i/>
          <w:color w:val="auto"/>
        </w:rPr>
      </w:pPr>
      <w:bookmarkStart w:id="8" w:name="_Toc102231156"/>
      <w:r w:rsidRPr="000C03D8">
        <w:rPr>
          <w:rFonts w:ascii="Times New Roman" w:hAnsi="Times New Roman" w:cs="Times New Roman"/>
          <w:b/>
          <w:i/>
          <w:color w:val="auto"/>
        </w:rPr>
        <w:t>1.3.2 Tiefe Hirnstimulation</w:t>
      </w:r>
      <w:bookmarkEnd w:id="8"/>
    </w:p>
    <w:p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e eine Läsion</w:t>
      </w:r>
      <w:r w:rsidR="00F14BE5">
        <w:rPr>
          <w:rFonts w:ascii="Times New Roman" w:hAnsi="Times New Roman" w:cs="Times New Roman"/>
          <w:sz w:val="24"/>
          <w:szCs w:val="24"/>
        </w:rPr>
        <w:t xml:space="preserve"> </w:t>
      </w:r>
      <w:r w:rsidR="00FC4F00">
        <w:rPr>
          <w:rFonts w:ascii="Times New Roman" w:hAnsi="Times New Roman" w:cs="Times New Roman"/>
          <w:sz w:val="24"/>
          <w:szCs w:val="24"/>
        </w:rPr>
        <w:fldChar w:fldCharType="begin"/>
      </w:r>
      <w:r w:rsidR="00FC4F00">
        <w:rPr>
          <w:rFonts w:ascii="Times New Roman" w:hAnsi="Times New Roman" w:cs="Times New Roman"/>
          <w:sz w:val="24"/>
          <w:szCs w:val="24"/>
        </w:rPr>
        <w:instrText xml:space="preserve"> ADDIN ZOTERO_ITEM CSL_CITATION {"citationID":"sbqSSFw5","properties":{"formattedCitation":"(Benabid A. et al., 1987)","plainCitation":"(Benabid A. et al., 1987)","noteIndex":0},"citationItems":[{"id":157,"uris":["http://zotero.org/users/local/AhaM3qLx/items/MSFW2ASS"],"itemData":{"id":157,"type":"article-journal","container-title":"Stereotactic and Functional Neurosurgery","DOI":"https://doi.org/10.1159/000100803","issue":"1-6","page":"344-346","title":"Combined (thalamotomy and stimulation) stereotactic surgery of the VIM thalamic nucleus for bilateral Parkinson disease","volume":"50","author":[{"literal":"Benabid A."},{"literal":"Pollak P."},{"literal":"Louveau A."},{"literal":"Henry S."},{"literal":"de Rougmont J."}],"issued":{"date-parts":[["1987"]]}}}],"schema":"https://github.com/citation-style-language/schema/raw/master/csl-citation.json"} </w:instrText>
      </w:r>
      <w:r w:rsidR="00FC4F00">
        <w:rPr>
          <w:rFonts w:ascii="Times New Roman" w:hAnsi="Times New Roman" w:cs="Times New Roman"/>
          <w:sz w:val="24"/>
          <w:szCs w:val="24"/>
        </w:rPr>
        <w:fldChar w:fldCharType="separate"/>
      </w:r>
      <w:r w:rsidR="00FC4F00">
        <w:rPr>
          <w:rFonts w:ascii="Times New Roman" w:hAnsi="Times New Roman" w:cs="Times New Roman"/>
          <w:sz w:val="24"/>
        </w:rPr>
        <w:t>(Benabid</w:t>
      </w:r>
      <w:r w:rsidR="00FC4F00" w:rsidRPr="00FC4F00">
        <w:rPr>
          <w:rFonts w:ascii="Times New Roman" w:hAnsi="Times New Roman" w:cs="Times New Roman"/>
          <w:sz w:val="24"/>
        </w:rPr>
        <w:t xml:space="preserve"> et al., 1987)</w:t>
      </w:r>
      <w:r w:rsidR="00FC4F00">
        <w:rPr>
          <w:rFonts w:ascii="Times New Roman" w:hAnsi="Times New Roman" w:cs="Times New Roman"/>
          <w:sz w:val="24"/>
          <w:szCs w:val="24"/>
        </w:rPr>
        <w:fldChar w:fldCharType="end"/>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hinweisen, dass die bilatertale DBS der STK wirksam ist für die Behandlung von Dyskinesien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THS des STK weist die gleiche Verringerung der Power im Betaband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Da die Verringerung der Symptomatik bei der Behandlung mit THS und der Behandlung mit Levodopa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dopaminerger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Patient*innen mit Morbus Parkinson sehr gut auf Levodopa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Pallidus Internus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oszillatorische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r w:rsidR="00B43C14" w:rsidRPr="000C03D8">
        <w:rPr>
          <w:rFonts w:ascii="Times New Roman" w:hAnsi="Times New Roman" w:cs="Times New Roman"/>
          <w:sz w:val="24"/>
          <w:szCs w:val="24"/>
        </w:rPr>
        <w:t xml:space="preserve"> </w:t>
      </w:r>
      <w:r w:rsidR="00EA3C7A"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 xml:space="preserve"> </w:t>
      </w:r>
    </w:p>
    <w:p w:rsidR="0092475B" w:rsidRPr="000C03D8" w:rsidRDefault="00094EA7" w:rsidP="00337758">
      <w:pPr>
        <w:pStyle w:val="berschrift3"/>
        <w:spacing w:line="480" w:lineRule="auto"/>
        <w:jc w:val="both"/>
        <w:rPr>
          <w:rFonts w:ascii="Times New Roman" w:hAnsi="Times New Roman" w:cs="Times New Roman"/>
          <w:b/>
          <w:i/>
          <w:color w:val="auto"/>
        </w:rPr>
      </w:pPr>
      <w:bookmarkStart w:id="9" w:name="_Toc102231157"/>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9"/>
    </w:p>
    <w:p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oszillatorische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0B53A3">
        <w:rPr>
          <w:rFonts w:ascii="Times New Roman" w:hAnsi="Times New Roman" w:cs="Times New Roman"/>
          <w:sz w:val="24"/>
          <w:szCs w:val="24"/>
        </w:rPr>
        <w:t>der l</w:t>
      </w:r>
      <w:r w:rsidR="00D659D2" w:rsidRPr="000C03D8">
        <w:rPr>
          <w:rFonts w:ascii="Times New Roman" w:hAnsi="Times New Roman" w:cs="Times New Roman"/>
          <w:sz w:val="24"/>
          <w:szCs w:val="24"/>
        </w:rPr>
        <w:t>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Software HaG</w:t>
      </w:r>
      <w:r w:rsidR="00997D2F" w:rsidRPr="000C03D8">
        <w:rPr>
          <w:rFonts w:ascii="Times New Roman" w:hAnsi="Times New Roman" w:cs="Times New Roman"/>
          <w:sz w:val="24"/>
          <w:szCs w:val="24"/>
        </w:rPr>
        <w:t>uide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w:t>
      </w:r>
      <w:r w:rsidR="009F71B9">
        <w:rPr>
          <w:rFonts w:ascii="Times New Roman" w:hAnsi="Times New Roman" w:cs="Times New Roman"/>
          <w:sz w:val="24"/>
          <w:szCs w:val="24"/>
        </w:rPr>
        <w:t xml:space="preserve">dabei </w:t>
      </w:r>
      <w:r w:rsidR="00255E11" w:rsidRPr="000C03D8">
        <w:rPr>
          <w:rFonts w:ascii="Times New Roman" w:hAnsi="Times New Roman" w:cs="Times New Roman"/>
          <w:sz w:val="24"/>
          <w:szCs w:val="24"/>
        </w:rPr>
        <w:t>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er root-mean-square</w:t>
      </w:r>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Es ist bekannt, dass sich der sensomotorische Bereich des STK im dorsolateralen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(Dembek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Betaband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rsidR="00087CA9" w:rsidRPr="000C03D8" w:rsidRDefault="00545DE5" w:rsidP="00337758">
      <w:pPr>
        <w:pStyle w:val="berschrift2"/>
        <w:spacing w:line="480" w:lineRule="auto"/>
        <w:jc w:val="both"/>
        <w:rPr>
          <w:rFonts w:ascii="Times New Roman" w:hAnsi="Times New Roman" w:cs="Times New Roman"/>
          <w:b/>
          <w:color w:val="auto"/>
          <w:sz w:val="28"/>
          <w:szCs w:val="28"/>
        </w:rPr>
      </w:pPr>
      <w:bookmarkStart w:id="10" w:name="_Toc102231158"/>
      <w:r w:rsidRPr="000C03D8">
        <w:rPr>
          <w:rFonts w:ascii="Times New Roman" w:hAnsi="Times New Roman" w:cs="Times New Roman"/>
          <w:b/>
          <w:color w:val="auto"/>
          <w:sz w:val="28"/>
          <w:szCs w:val="28"/>
        </w:rPr>
        <w:t>1.4 Versuchsidee</w:t>
      </w:r>
      <w:bookmarkEnd w:id="10"/>
    </w:p>
    <w:p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xml:space="preserve">. Es ist unklar, durch welche unterschiedlichen </w:t>
      </w:r>
      <w:r w:rsidR="005F0D0D" w:rsidRPr="000C03D8">
        <w:rPr>
          <w:rFonts w:ascii="Times New Roman" w:hAnsi="Times New Roman" w:cs="Times New Roman"/>
          <w:sz w:val="24"/>
          <w:szCs w:val="24"/>
        </w:rPr>
        <w:lastRenderedPageBreak/>
        <w:t>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Pr="000C03D8">
        <w:rPr>
          <w:rFonts w:ascii="Times New Roman" w:hAnsi="Times New Roman" w:cs="Times New Roman"/>
          <w:sz w:val="24"/>
          <w:szCs w:val="24"/>
        </w:rPr>
        <w:t xml:space="preserve"> in direktionaler THS ist </w:t>
      </w:r>
      <w:r w:rsidR="00F07B62" w:rsidRPr="000C03D8">
        <w:rPr>
          <w:rFonts w:ascii="Times New Roman" w:hAnsi="Times New Roman" w:cs="Times New Roman"/>
          <w:sz w:val="24"/>
          <w:szCs w:val="24"/>
        </w:rPr>
        <w:t>jedoch noch nicht gut erfor</w:t>
      </w:r>
      <w:r w:rsidR="00160B62">
        <w:rPr>
          <w:rFonts w:ascii="Times New Roman" w:hAnsi="Times New Roman" w:cs="Times New Roman"/>
          <w:sz w:val="24"/>
          <w:szCs w:val="24"/>
        </w:rPr>
        <w:t>scht. D</w:t>
      </w:r>
      <w:r w:rsidR="00F209E7" w:rsidRPr="000C03D8">
        <w:rPr>
          <w:rFonts w:ascii="Times New Roman" w:hAnsi="Times New Roman" w:cs="Times New Roman"/>
          <w:sz w:val="24"/>
          <w:szCs w:val="24"/>
        </w:rPr>
        <w:t>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 xml:space="preserve">Betabandes innerhalb des dorsolateralen Bereichs des STK </w:t>
      </w:r>
      <w:r w:rsidR="00160B62">
        <w:rPr>
          <w:rFonts w:ascii="Times New Roman" w:hAnsi="Times New Roman" w:cs="Times New Roman"/>
          <w:sz w:val="24"/>
          <w:szCs w:val="24"/>
        </w:rPr>
        <w:t xml:space="preserve">ist jedoch </w:t>
      </w:r>
      <w:r w:rsidR="00C648A4" w:rsidRPr="000C03D8">
        <w:rPr>
          <w:rFonts w:ascii="Times New Roman" w:hAnsi="Times New Roman" w:cs="Times New Roman"/>
          <w:sz w:val="24"/>
          <w:szCs w:val="24"/>
        </w:rPr>
        <w:t>bere</w:t>
      </w:r>
      <w:r w:rsidR="004F0C78" w:rsidRPr="000C03D8">
        <w:rPr>
          <w:rFonts w:ascii="Times New Roman" w:hAnsi="Times New Roman" w:cs="Times New Roman"/>
          <w:sz w:val="24"/>
          <w:szCs w:val="24"/>
        </w:rPr>
        <w:t xml:space="preserve">its </w:t>
      </w:r>
      <w:r w:rsidR="00160B62">
        <w:rPr>
          <w:rFonts w:ascii="Times New Roman" w:hAnsi="Times New Roman" w:cs="Times New Roman"/>
          <w:sz w:val="24"/>
          <w:szCs w:val="24"/>
        </w:rPr>
        <w:t xml:space="preserve">gut </w:t>
      </w:r>
      <w:r w:rsidR="004F0C78" w:rsidRPr="000C03D8">
        <w:rPr>
          <w:rFonts w:ascii="Times New Roman" w:hAnsi="Times New Roman" w:cs="Times New Roman"/>
          <w:sz w:val="24"/>
          <w:szCs w:val="24"/>
        </w:rPr>
        <w:t>na</w:t>
      </w:r>
      <w:r w:rsidR="00160B62">
        <w:rPr>
          <w:rFonts w:ascii="Times New Roman" w:hAnsi="Times New Roman" w:cs="Times New Roman"/>
          <w:sz w:val="24"/>
          <w:szCs w:val="24"/>
        </w:rPr>
        <w:t>chgewiesen.</w:t>
      </w:r>
      <w:r w:rsidR="00C648A4" w:rsidRPr="000C03D8">
        <w:rPr>
          <w:rFonts w:ascii="Times New Roman" w:hAnsi="Times New Roman" w:cs="Times New Roman"/>
          <w:sz w:val="24"/>
          <w:szCs w:val="24"/>
        </w:rPr>
        <w:t xml:space="preserve"> </w:t>
      </w:r>
      <w:r w:rsidR="00160B62">
        <w:rPr>
          <w:rFonts w:ascii="Times New Roman" w:hAnsi="Times New Roman" w:cs="Times New Roman"/>
          <w:sz w:val="24"/>
          <w:szCs w:val="24"/>
        </w:rPr>
        <w:t xml:space="preserve">Es </w:t>
      </w:r>
      <w:r w:rsidR="001E53ED">
        <w:rPr>
          <w:rFonts w:ascii="Times New Roman" w:hAnsi="Times New Roman" w:cs="Times New Roman"/>
          <w:sz w:val="24"/>
          <w:szCs w:val="24"/>
        </w:rPr>
        <w:t xml:space="preserve">konnte </w:t>
      </w:r>
      <w:r w:rsidR="00C648A4" w:rsidRPr="000C03D8">
        <w:rPr>
          <w:rFonts w:ascii="Times New Roman" w:hAnsi="Times New Roman" w:cs="Times New Roman"/>
          <w:sz w:val="24"/>
          <w:szCs w:val="24"/>
        </w:rPr>
        <w:t>ü</w:t>
      </w:r>
      <w:r w:rsidR="001E53ED">
        <w:rPr>
          <w:rFonts w:ascii="Times New Roman" w:hAnsi="Times New Roman" w:cs="Times New Roman"/>
          <w:sz w:val="24"/>
          <w:szCs w:val="24"/>
        </w:rPr>
        <w:t>bergreifend gezeigt werden</w:t>
      </w:r>
      <w:r w:rsidR="00C648A4" w:rsidRPr="000C03D8">
        <w:rPr>
          <w:rFonts w:ascii="Times New Roman" w:hAnsi="Times New Roman" w:cs="Times New Roman"/>
          <w:sz w:val="24"/>
          <w:szCs w:val="24"/>
        </w:rPr>
        <w:t>,</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closed-loop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7F8E">
        <w:rPr>
          <w:rFonts w:ascii="Times New Roman" w:hAnsi="Times New Roman" w:cs="Times New Roman"/>
          <w:sz w:val="24"/>
          <w:szCs w:val="24"/>
        </w:rPr>
        <w:t xml:space="preserve"> haben die Effekte von</w:t>
      </w:r>
      <w:r w:rsidR="00325C5E" w:rsidRPr="000C03D8">
        <w:rPr>
          <w:rFonts w:ascii="Times New Roman" w:hAnsi="Times New Roman" w:cs="Times New Roman"/>
          <w:sz w:val="24"/>
          <w:szCs w:val="24"/>
        </w:rPr>
        <w:t xml:space="preserve"> closed-loop THS bei Patient*innen mit es</w:t>
      </w:r>
      <w:r w:rsidR="00327F8E">
        <w:rPr>
          <w:rFonts w:ascii="Times New Roman" w:hAnsi="Times New Roman" w:cs="Times New Roman"/>
          <w:sz w:val="24"/>
          <w:szCs w:val="24"/>
        </w:rPr>
        <w:t>sentiellem Tremor untersucht</w:t>
      </w:r>
      <w:r w:rsidR="00325C5E" w:rsidRPr="000C03D8">
        <w:rPr>
          <w:rFonts w:ascii="Times New Roman" w:hAnsi="Times New Roman" w:cs="Times New Roman"/>
          <w:sz w:val="24"/>
          <w:szCs w:val="24"/>
        </w:rPr>
        <w:t>. Dafür konnte eine kortikale Elektrode</w:t>
      </w:r>
      <w:r w:rsidR="00327F8E">
        <w:rPr>
          <w:rFonts w:ascii="Times New Roman" w:hAnsi="Times New Roman" w:cs="Times New Roman"/>
          <w:sz w:val="24"/>
          <w:szCs w:val="24"/>
        </w:rPr>
        <w:t xml:space="preserve"> im pre- und post-zentralen Gyrus</w:t>
      </w:r>
      <w:r w:rsidR="00325C5E" w:rsidRPr="000C03D8">
        <w:rPr>
          <w:rFonts w:ascii="Times New Roman" w:hAnsi="Times New Roman" w:cs="Times New Roman"/>
          <w:sz w:val="24"/>
          <w:szCs w:val="24"/>
        </w:rPr>
        <w:t xml:space="preserve"> 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in dem jeweiligen Bereich des Gehirns. Da der essentielle Tremor genau dann auftritt, wenn eine motorische Handlung durchgeführt wird, konnte die closed-loop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closed-loop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gemacht, dass die Stimulation bei der THS nur stattfindet, </w:t>
      </w:r>
      <w:r w:rsidR="005B2AEA" w:rsidRPr="000C03D8">
        <w:rPr>
          <w:rFonts w:ascii="Times New Roman" w:hAnsi="Times New Roman" w:cs="Times New Roman"/>
          <w:sz w:val="24"/>
          <w:szCs w:val="24"/>
        </w:rPr>
        <w:lastRenderedPageBreak/>
        <w:t xml:space="preserve">wenn sie notwendig ist, und auf eine </w:t>
      </w:r>
      <w:r w:rsidR="006E72EA">
        <w:rPr>
          <w:rFonts w:ascii="Times New Roman" w:hAnsi="Times New Roman" w:cs="Times New Roman"/>
          <w:sz w:val="24"/>
          <w:szCs w:val="24"/>
        </w:rPr>
        <w:t>Art und Weise, bei der Stimmulationse</w:t>
      </w:r>
      <w:r w:rsidR="005B2AEA" w:rsidRPr="000C03D8">
        <w:rPr>
          <w:rFonts w:ascii="Times New Roman" w:hAnsi="Times New Roman" w:cs="Times New Roman"/>
          <w:sz w:val="24"/>
          <w:szCs w:val="24"/>
        </w:rPr>
        <w:t>nergie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r w:rsidR="00325C5E" w:rsidRPr="000C03D8">
        <w:rPr>
          <w:rFonts w:ascii="Times New Roman" w:hAnsi="Times New Roman" w:cs="Times New Roman"/>
          <w:sz w:val="24"/>
          <w:szCs w:val="24"/>
        </w:rPr>
        <w:t xml:space="preserve"> </w:t>
      </w:r>
      <w:r w:rsidR="000A59C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des Gehirns und der jeweiligen Zielposition</w:t>
      </w:r>
      <w:r w:rsidR="00327F8E">
        <w:rPr>
          <w:rFonts w:ascii="Times New Roman" w:hAnsi="Times New Roman" w:cs="Times New Roman"/>
          <w:sz w:val="24"/>
          <w:szCs w:val="24"/>
        </w:rPr>
        <w:t>, die vor der OP mittels MRT abgeleitet wurden.</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5A5DA1">
        <w:rPr>
          <w:rFonts w:ascii="Times New Roman" w:hAnsi="Times New Roman" w:cs="Times New Roman"/>
          <w:sz w:val="24"/>
          <w:szCs w:val="24"/>
        </w:rPr>
        <w:t xml:space="preserve"> i</w:t>
      </w:r>
      <w:r w:rsidR="0001456B" w:rsidRPr="000C03D8">
        <w:rPr>
          <w:rFonts w:ascii="Times New Roman" w:hAnsi="Times New Roman" w:cs="Times New Roman"/>
          <w:sz w:val="24"/>
          <w:szCs w:val="24"/>
        </w:rPr>
        <w:t>m Betaband</w:t>
      </w:r>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den, dass der Peak der Power im Betaband</w:t>
      </w:r>
      <w:r w:rsidR="00341361" w:rsidRPr="000C03D8">
        <w:rPr>
          <w:rFonts w:ascii="Times New Roman" w:hAnsi="Times New Roman" w:cs="Times New Roman"/>
          <w:sz w:val="24"/>
          <w:szCs w:val="24"/>
        </w:rPr>
        <w:t xml:space="preserve"> im sensomotorischen Bereich des STK zu finden ist (Horn, Neumann, Degen, Schneider &amp; Kühn</w:t>
      </w:r>
      <w:r w:rsidR="0053542A" w:rsidRPr="000C03D8">
        <w:rPr>
          <w:rFonts w:ascii="Times New Roman" w:hAnsi="Times New Roman" w:cs="Times New Roman"/>
          <w:sz w:val="24"/>
          <w:szCs w:val="24"/>
        </w:rPr>
        <w:t>, 2017).</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Betaband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r w:rsidR="00527BD2" w:rsidRPr="000C03D8">
        <w:rPr>
          <w:rFonts w:ascii="Times New Roman" w:hAnsi="Times New Roman" w:cs="Times New Roman"/>
          <w:sz w:val="24"/>
          <w:szCs w:val="24"/>
        </w:rPr>
        <w:t>HaGuide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da auch das im HaGuide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 xml:space="preserve">Damit wir diese Zusammenhänge überprüfen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Aktivitätsmuster in der Zielposition an, in der</w:t>
      </w:r>
      <w:r w:rsidR="0020690E" w:rsidRPr="000C03D8">
        <w:rPr>
          <w:rFonts w:ascii="Times New Roman" w:hAnsi="Times New Roman" w:cs="Times New Roman"/>
          <w:sz w:val="24"/>
          <w:szCs w:val="24"/>
        </w:rPr>
        <w:t xml:space="preserve"> die Elektroden implantiert wurden.</w:t>
      </w:r>
      <w:r w:rsidR="009563DC" w:rsidRPr="000C03D8">
        <w:rPr>
          <w:rFonts w:ascii="Times New Roman" w:hAnsi="Times New Roman" w:cs="Times New Roman"/>
          <w:sz w:val="24"/>
          <w:szCs w:val="24"/>
        </w:rPr>
        <w:t xml:space="preserve"> 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Die Power im Betaband</w:t>
      </w:r>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behavioralen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w:t>
      </w:r>
      <w:r w:rsidR="00C04EE8" w:rsidRPr="000C03D8">
        <w:rPr>
          <w:rFonts w:ascii="Times New Roman" w:hAnsi="Times New Roman" w:cs="Times New Roman"/>
          <w:sz w:val="24"/>
          <w:szCs w:val="24"/>
        </w:rPr>
        <w:t xml:space="preserve"> </w:t>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(Koirala et al., 2020).</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3625C9" w:rsidRDefault="003625C9">
      <w:pPr>
        <w:rPr>
          <w:rFonts w:ascii="Times New Roman" w:eastAsiaTheme="majorEastAsia" w:hAnsi="Times New Roman" w:cs="Times New Roman"/>
          <w:b/>
          <w:sz w:val="32"/>
          <w:szCs w:val="32"/>
        </w:rPr>
      </w:pPr>
      <w:bookmarkStart w:id="11" w:name="_Toc102231159"/>
      <w:r>
        <w:rPr>
          <w:rFonts w:ascii="Times New Roman" w:hAnsi="Times New Roman" w:cs="Times New Roman"/>
          <w:b/>
        </w:rPr>
        <w:br w:type="page"/>
      </w:r>
    </w:p>
    <w:p w:rsidR="00857609" w:rsidRPr="003625C9" w:rsidRDefault="00966214" w:rsidP="003625C9">
      <w:pPr>
        <w:pStyle w:val="berschrift1"/>
        <w:spacing w:line="480" w:lineRule="auto"/>
        <w:rPr>
          <w:rFonts w:ascii="Times New Roman" w:hAnsi="Times New Roman" w:cs="Times New Roman"/>
          <w:b/>
          <w:color w:val="auto"/>
        </w:rPr>
      </w:pPr>
      <w:r w:rsidRPr="003625C9">
        <w:rPr>
          <w:rFonts w:ascii="Times New Roman" w:hAnsi="Times New Roman" w:cs="Times New Roman"/>
          <w:b/>
          <w:color w:val="auto"/>
        </w:rPr>
        <w:lastRenderedPageBreak/>
        <w:t>2. Methoden</w:t>
      </w:r>
      <w:bookmarkEnd w:id="11"/>
    </w:p>
    <w:p w:rsidR="00465D1F" w:rsidRPr="000C03D8" w:rsidRDefault="00857609" w:rsidP="003625C9">
      <w:pPr>
        <w:pStyle w:val="berschrift2"/>
        <w:spacing w:line="480" w:lineRule="auto"/>
        <w:jc w:val="both"/>
        <w:rPr>
          <w:rFonts w:ascii="Times New Roman" w:hAnsi="Times New Roman" w:cs="Times New Roman"/>
          <w:b/>
          <w:color w:val="auto"/>
          <w:sz w:val="28"/>
          <w:szCs w:val="28"/>
        </w:rPr>
      </w:pPr>
      <w:bookmarkStart w:id="12" w:name="_Toc102231160"/>
      <w:r w:rsidRPr="000C03D8">
        <w:rPr>
          <w:rFonts w:ascii="Times New Roman" w:hAnsi="Times New Roman" w:cs="Times New Roman"/>
          <w:b/>
          <w:color w:val="auto"/>
          <w:sz w:val="28"/>
          <w:szCs w:val="28"/>
        </w:rPr>
        <w:t>2.1 Stichprobe</w:t>
      </w:r>
      <w:bookmarkEnd w:id="12"/>
      <w:r w:rsidR="00966214" w:rsidRPr="000C03D8">
        <w:rPr>
          <w:rFonts w:ascii="Times New Roman" w:hAnsi="Times New Roman" w:cs="Times New Roman"/>
          <w:b/>
          <w:color w:val="auto"/>
          <w:sz w:val="28"/>
          <w:szCs w:val="28"/>
        </w:rPr>
        <w:t xml:space="preserve"> </w:t>
      </w:r>
    </w:p>
    <w:p w:rsidR="00857609" w:rsidRPr="000C03D8" w:rsidRDefault="006B7C36" w:rsidP="003625C9">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rsidR="00966214" w:rsidRPr="000C03D8" w:rsidRDefault="00857609" w:rsidP="00337758">
      <w:pPr>
        <w:pStyle w:val="berschrift2"/>
        <w:spacing w:line="480" w:lineRule="auto"/>
        <w:jc w:val="both"/>
        <w:rPr>
          <w:rFonts w:ascii="Times New Roman" w:hAnsi="Times New Roman" w:cs="Times New Roman"/>
          <w:b/>
          <w:color w:val="auto"/>
          <w:sz w:val="28"/>
          <w:szCs w:val="28"/>
        </w:rPr>
      </w:pPr>
      <w:bookmarkStart w:id="13" w:name="_Toc102231161"/>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13"/>
    </w:p>
    <w:p w:rsidR="00D21565" w:rsidRPr="000C03D8" w:rsidRDefault="00D94D81"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Während der OP wird bei jeder Elektrodenposition eine 5 sekündige Momentaufnahme des elektrischen Signals an der jeweiligen Elektrodenposition aufgezeichnet. </w:t>
      </w:r>
      <w:r w:rsidR="006B7C36" w:rsidRPr="000C03D8">
        <w:rPr>
          <w:rFonts w:ascii="Times New Roman" w:hAnsi="Times New Roman" w:cs="Times New Roman"/>
          <w:sz w:val="24"/>
          <w:szCs w:val="24"/>
        </w:rPr>
        <w:t>Pro Patient*in sind 38 bis 153 Momentaufnahmen vorhanden, die während der Operation von Teste</w:t>
      </w:r>
      <w:r>
        <w:rPr>
          <w:rFonts w:ascii="Times New Roman" w:hAnsi="Times New Roman" w:cs="Times New Roman"/>
          <w:sz w:val="24"/>
          <w:szCs w:val="24"/>
        </w:rPr>
        <w:t xml:space="preserve">lektroden aufgezeichnet wurden. </w:t>
      </w:r>
      <w:r w:rsidR="001F6781" w:rsidRPr="000C03D8">
        <w:rPr>
          <w:rFonts w:ascii="Times New Roman" w:hAnsi="Times New Roman" w:cs="Times New Roman"/>
          <w:sz w:val="24"/>
          <w:szCs w:val="24"/>
        </w:rPr>
        <w:t xml:space="preserve">Neben den Rohdaten befinden sich in den Datensätzen noch einige weitere Versionen, bei denen das Signal auf unterschiedliche Weise bereits 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anterior (T2), medial (T3 auf der linken Seite; T5 auf der rechten Seite), posterior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1F6781" w:rsidRPr="000C03D8">
        <w:rPr>
          <w:rFonts w:ascii="Times New Roman" w:hAnsi="Times New Roman" w:cs="Times New Roman"/>
          <w:sz w:val="24"/>
          <w:szCs w:val="24"/>
        </w:rPr>
        <w:t xml:space="preserve"> bestimmt und wird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4" w:name="_Toc102231162"/>
      <w:r w:rsidRPr="000C03D8">
        <w:rPr>
          <w:rFonts w:ascii="Times New Roman" w:hAnsi="Times New Roman" w:cs="Times New Roman"/>
          <w:b/>
          <w:color w:val="auto"/>
          <w:sz w:val="28"/>
          <w:szCs w:val="28"/>
        </w:rPr>
        <w:lastRenderedPageBreak/>
        <w:t>2.3</w:t>
      </w:r>
      <w:r w:rsidR="0023392E" w:rsidRPr="000C03D8">
        <w:rPr>
          <w:rFonts w:ascii="Times New Roman" w:hAnsi="Times New Roman" w:cs="Times New Roman"/>
          <w:b/>
          <w:color w:val="auto"/>
          <w:sz w:val="28"/>
          <w:szCs w:val="28"/>
        </w:rPr>
        <w:t xml:space="preserve"> Durchführung</w:t>
      </w:r>
      <w:bookmarkEnd w:id="14"/>
    </w:p>
    <w:p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w:t>
      </w:r>
      <w:r w:rsidR="00B70F69">
        <w:rPr>
          <w:rFonts w:ascii="Times New Roman" w:hAnsi="Times New Roman" w:cs="Times New Roman"/>
          <w:sz w:val="24"/>
          <w:szCs w:val="24"/>
        </w:rPr>
        <w:t xml:space="preserve">oft </w:t>
      </w:r>
      <w:r w:rsidR="00FA0E4A" w:rsidRPr="000C03D8">
        <w:rPr>
          <w:rFonts w:ascii="Times New Roman" w:hAnsi="Times New Roman" w:cs="Times New Roman"/>
          <w:sz w:val="24"/>
          <w:szCs w:val="24"/>
        </w:rPr>
        <w:t>durch die umliegenden Strukturen geschätzt werden</w:t>
      </w:r>
      <w:r w:rsidR="00787280">
        <w:rPr>
          <w:rFonts w:ascii="Times New Roman" w:hAnsi="Times New Roman" w:cs="Times New Roman"/>
          <w:sz w:val="24"/>
          <w:szCs w:val="24"/>
        </w:rPr>
        <w:t xml:space="preserve"> </w:t>
      </w:r>
      <w:r w:rsidR="00B70F69">
        <w:rPr>
          <w:rFonts w:ascii="Times New Roman" w:hAnsi="Times New Roman" w:cs="Times New Roman"/>
          <w:sz w:val="24"/>
          <w:szCs w:val="24"/>
        </w:rPr>
        <w:fldChar w:fldCharType="begin"/>
      </w:r>
      <w:r w:rsidR="00B70F69">
        <w:rPr>
          <w:rFonts w:ascii="Times New Roman" w:hAnsi="Times New Roman" w:cs="Times New Roman"/>
          <w:sz w:val="24"/>
          <w:szCs w:val="24"/>
        </w:rPr>
        <w:instrText xml:space="preserve"> ADDIN ZOTERO_ITEM CSL_CITATION {"citationID":"1YXyzc0s","properties":{"formattedCitation":"(Verhagen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14), 3.0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10) and 7.0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B70F69">
        <w:rPr>
          <w:rFonts w:ascii="Times New Roman" w:hAnsi="Times New Roman" w:cs="Times New Roman"/>
          <w:sz w:val="24"/>
          <w:szCs w:val="24"/>
        </w:rPr>
        <w:fldChar w:fldCharType="separate"/>
      </w:r>
      <w:r w:rsidR="00B70F69" w:rsidRPr="00B70F69">
        <w:rPr>
          <w:rFonts w:ascii="Times New Roman" w:hAnsi="Times New Roman" w:cs="Times New Roman"/>
          <w:sz w:val="24"/>
        </w:rPr>
        <w:t>(Verhagen et al., 2016)</w:t>
      </w:r>
      <w:r w:rsidR="00B70F69">
        <w:rPr>
          <w:rFonts w:ascii="Times New Roman" w:hAnsi="Times New Roman" w:cs="Times New Roman"/>
          <w:sz w:val="24"/>
          <w:szCs w:val="24"/>
        </w:rPr>
        <w:fldChar w:fldCharType="end"/>
      </w:r>
      <w:r w:rsidR="00FA0E4A"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tem zur Neurochirurgie das Neuro Omega System</w:t>
      </w:r>
      <w:r w:rsidR="00842EDA" w:rsidRPr="000C03D8">
        <w:rPr>
          <w:rFonts w:ascii="Times New Roman" w:hAnsi="Times New Roman" w:cs="Times New Roman"/>
          <w:sz w:val="24"/>
          <w:szCs w:val="24"/>
        </w:rPr>
        <w:t xml:space="preserve"> von A</w:t>
      </w:r>
      <w:r w:rsidR="005A5DA1">
        <w:rPr>
          <w:rFonts w:ascii="Times New Roman" w:hAnsi="Times New Roman" w:cs="Times New Roman"/>
          <w:sz w:val="24"/>
          <w:szCs w:val="24"/>
        </w:rPr>
        <w:t>lpha Omega Engine</w:t>
      </w:r>
      <w:r w:rsidR="00842EDA" w:rsidRPr="000C03D8">
        <w:rPr>
          <w:rFonts w:ascii="Times New Roman" w:hAnsi="Times New Roman" w:cs="Times New Roman"/>
          <w:sz w:val="24"/>
          <w:szCs w:val="24"/>
        </w:rPr>
        <w:t>ering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erstmal eine Testelektrode eingeführt, um die Nebenwirkungen der THS durch das Anpassen der Position und der Stromstärke zu minimieren. </w:t>
      </w:r>
      <w:r w:rsidR="0092094A" w:rsidRPr="000C03D8">
        <w:rPr>
          <w:rFonts w:ascii="Times New Roman" w:hAnsi="Times New Roman" w:cs="Times New Roman"/>
          <w:sz w:val="24"/>
          <w:szCs w:val="24"/>
        </w:rPr>
        <w:t xml:space="preserve"> </w:t>
      </w:r>
      <w:r w:rsidR="003F70B6" w:rsidRPr="000C03D8">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5A5DA1">
        <w:rPr>
          <w:rFonts w:ascii="Times New Roman" w:hAnsi="Times New Roman" w:cs="Times New Roman"/>
          <w:sz w:val="24"/>
          <w:szCs w:val="24"/>
        </w:rPr>
        <w:t xml:space="preserve"> Sollte</w:t>
      </w:r>
      <w:r w:rsidR="00C62577" w:rsidRPr="000C03D8">
        <w:rPr>
          <w:rFonts w:ascii="Times New Roman" w:hAnsi="Times New Roman" w:cs="Times New Roman"/>
          <w:sz w:val="24"/>
          <w:szCs w:val="24"/>
        </w:rPr>
        <w:t xml:space="preserve"> die im Voraus berechnete Stelle für die Platzierung der Elektrode </w:t>
      </w:r>
      <w:r w:rsidR="00D60E01" w:rsidRPr="000C03D8">
        <w:rPr>
          <w:rFonts w:ascii="Times New Roman" w:hAnsi="Times New Roman" w:cs="Times New Roman"/>
          <w:sz w:val="24"/>
          <w:szCs w:val="24"/>
        </w:rPr>
        <w:t>meistens</w:t>
      </w:r>
      <w:r w:rsidR="005A5DA1">
        <w:rPr>
          <w:rFonts w:ascii="Times New Roman" w:hAnsi="Times New Roman" w:cs="Times New Roman"/>
          <w:sz w:val="24"/>
          <w:szCs w:val="24"/>
        </w:rPr>
        <w:t xml:space="preserve"> bereits ausreichend genau sein</w:t>
      </w:r>
      <w:r w:rsidR="00D60E01" w:rsidRPr="000C03D8">
        <w:rPr>
          <w:rFonts w:ascii="Times New Roman" w:hAnsi="Times New Roman" w:cs="Times New Roman"/>
          <w:sz w:val="24"/>
          <w:szCs w:val="24"/>
        </w:rPr>
        <w: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daher die Aufzeichnungen von eins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5" w:name="_Toc102231163"/>
      <w:r w:rsidRPr="000C03D8">
        <w:rPr>
          <w:rFonts w:ascii="Times New Roman" w:hAnsi="Times New Roman" w:cs="Times New Roman"/>
          <w:b/>
          <w:color w:val="auto"/>
          <w:sz w:val="28"/>
          <w:szCs w:val="28"/>
        </w:rPr>
        <w:lastRenderedPageBreak/>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15"/>
    </w:p>
    <w:p w:rsidR="002128B3" w:rsidRPr="000C03D8" w:rsidRDefault="00857609" w:rsidP="00337758">
      <w:pPr>
        <w:pStyle w:val="berschrift3"/>
        <w:spacing w:line="480" w:lineRule="auto"/>
        <w:jc w:val="both"/>
        <w:rPr>
          <w:rFonts w:ascii="Times New Roman" w:hAnsi="Times New Roman" w:cs="Times New Roman"/>
          <w:b/>
          <w:i/>
          <w:color w:val="auto"/>
        </w:rPr>
      </w:pPr>
      <w:bookmarkStart w:id="16" w:name="_Toc102231164"/>
      <w:r w:rsidRPr="000C03D8">
        <w:rPr>
          <w:rFonts w:ascii="Times New Roman" w:hAnsi="Times New Roman" w:cs="Times New Roman"/>
          <w:b/>
          <w:i/>
          <w:color w:val="auto"/>
        </w:rPr>
        <w:t>2.4</w:t>
      </w:r>
      <w:r w:rsidR="002128B3" w:rsidRPr="000C03D8">
        <w:rPr>
          <w:rFonts w:ascii="Times New Roman" w:hAnsi="Times New Roman" w:cs="Times New Roman"/>
          <w:b/>
          <w:i/>
          <w:color w:val="auto"/>
        </w:rPr>
        <w:t>.1 Einlesen der Daten</w:t>
      </w:r>
      <w:bookmarkEnd w:id="16"/>
    </w:p>
    <w:p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selbsterstellten Skripten in</w:t>
      </w:r>
      <w:r w:rsidR="0023392E" w:rsidRPr="000C03D8">
        <w:rPr>
          <w:rFonts w:ascii="Times New Roman" w:hAnsi="Times New Roman" w:cs="Times New Roman"/>
          <w:sz w:val="24"/>
          <w:szCs w:val="24"/>
        </w:rPr>
        <w:t xml:space="preserve"> Matlab (R2020b, MathWorks Inc.)</w:t>
      </w:r>
      <w:r w:rsidRPr="000C03D8">
        <w:rPr>
          <w:rFonts w:ascii="Times New Roman" w:hAnsi="Times New Roman" w:cs="Times New Roman"/>
          <w:sz w:val="24"/>
          <w:szCs w:val="24"/>
        </w:rPr>
        <w:t xml:space="preserve"> eingelesen, verarbeitet und visualisiert. </w:t>
      </w:r>
      <w:r w:rsidR="00B43223" w:rsidRPr="000C03D8">
        <w:rPr>
          <w:rFonts w:ascii="Times New Roman" w:hAnsi="Times New Roman" w:cs="Times New Roman"/>
          <w:sz w:val="24"/>
          <w:szCs w:val="24"/>
        </w:rPr>
        <w:t>Um die Daten einzulesen und zu verarbeiten wurde die Matlab-Toolbox F</w:t>
      </w:r>
      <w:r w:rsidR="00516698" w:rsidRPr="000C03D8">
        <w:rPr>
          <w:rFonts w:ascii="Times New Roman" w:hAnsi="Times New Roman" w:cs="Times New Roman"/>
          <w:sz w:val="24"/>
          <w:szCs w:val="24"/>
        </w:rPr>
        <w:t>ieldtrip</w:t>
      </w:r>
      <w:r w:rsidR="00370356">
        <w:rPr>
          <w:rFonts w:ascii="Times New Roman" w:hAnsi="Times New Roman" w:cs="Times New Roman"/>
          <w:sz w:val="24"/>
          <w:szCs w:val="24"/>
        </w:rPr>
        <w:t xml:space="preserve"> (Version </w:t>
      </w:r>
      <w:r w:rsidR="00370356" w:rsidRPr="00370356">
        <w:rPr>
          <w:rFonts w:ascii="Times New Roman" w:hAnsi="Times New Roman" w:cs="Times New Roman"/>
          <w:sz w:val="24"/>
          <w:szCs w:val="24"/>
        </w:rPr>
        <w:t>20210411</w:t>
      </w:r>
      <w:r w:rsidR="00370356">
        <w:rPr>
          <w:rFonts w:ascii="Times New Roman" w:hAnsi="Times New Roman" w:cs="Times New Roman"/>
          <w:sz w:val="24"/>
          <w:szCs w:val="24"/>
        </w:rPr>
        <w:t>)</w:t>
      </w:r>
      <w:r w:rsidR="00516698" w:rsidRPr="000C03D8">
        <w:rPr>
          <w:rFonts w:ascii="Times New Roman" w:hAnsi="Times New Roman" w:cs="Times New Roman"/>
          <w:sz w:val="24"/>
          <w:szCs w:val="24"/>
        </w:rPr>
        <w:t xml:space="preserve"> 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(Oostenveld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w:t>
      </w:r>
      <w:r w:rsidR="00A72D6D">
        <w:rPr>
          <w:rFonts w:ascii="Times New Roman" w:hAnsi="Times New Roman" w:cs="Times New Roman"/>
          <w:sz w:val="24"/>
          <w:szCs w:val="24"/>
        </w:rPr>
        <w:t>insgesamt 2665 Momentaufnahmen</w:t>
      </w:r>
      <w:r w:rsidR="00563E03" w:rsidRPr="000C03D8">
        <w:rPr>
          <w:rFonts w:ascii="Times New Roman" w:hAnsi="Times New Roman" w:cs="Times New Roman"/>
          <w:sz w:val="24"/>
          <w:szCs w:val="24"/>
        </w:rPr>
        <w:t xml:space="preserve"> über die 25 Patient*innen, gab es 3457 Kanäle, wobei bei 7 Patient*innen mehr als ein Kanal vorhanden war. Die höchste Anzahl an Kanälen 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gefiltert wurde. Dabei wurde die Standardeinstellung des Neuro Omega Systems für das Filtern von Spike-Aktivität verwend</w:t>
      </w:r>
      <w:r w:rsidR="00BE4CEF" w:rsidRPr="000C03D8">
        <w:rPr>
          <w:rFonts w:ascii="Times New Roman" w:hAnsi="Times New Roman" w:cs="Times New Roman"/>
          <w:sz w:val="24"/>
          <w:szCs w:val="24"/>
        </w:rPr>
        <w:t>et. Dieser Filter hat eine highpass Range</w:t>
      </w:r>
      <w:r w:rsidR="000A7B2C" w:rsidRPr="000C03D8">
        <w:rPr>
          <w:rFonts w:ascii="Times New Roman" w:hAnsi="Times New Roman" w:cs="Times New Roman"/>
          <w:sz w:val="24"/>
          <w:szCs w:val="24"/>
        </w:rPr>
        <w:t xml:space="preserve"> 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0 – 600 Hz und eine lowpass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berechnet und abgespeichert. 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sen und die S</w:t>
      </w:r>
      <w:r w:rsidR="00B06FE2">
        <w:rPr>
          <w:rFonts w:ascii="Times New Roman" w:hAnsi="Times New Roman" w:cs="Times New Roman"/>
          <w:sz w:val="24"/>
          <w:szCs w:val="24"/>
        </w:rPr>
        <w:t>amplingrate</w:t>
      </w:r>
      <w:r w:rsidR="0049460C" w:rsidRPr="000C03D8">
        <w:rPr>
          <w:rFonts w:ascii="Times New Roman" w:hAnsi="Times New Roman" w:cs="Times New Roman"/>
          <w:sz w:val="24"/>
          <w:szCs w:val="24"/>
        </w:rPr>
        <w:t xml:space="preserve"> von 44000 </w:t>
      </w:r>
      <w:r w:rsidR="00821B87" w:rsidRPr="000C03D8">
        <w:rPr>
          <w:rFonts w:ascii="Times New Roman" w:hAnsi="Times New Roman" w:cs="Times New Roman"/>
          <w:sz w:val="24"/>
          <w:szCs w:val="24"/>
        </w:rPr>
        <w:t xml:space="preserve">Hz auf 512 Hz </w:t>
      </w:r>
      <w:r w:rsidR="00F65A91" w:rsidRPr="000C03D8">
        <w:rPr>
          <w:rFonts w:ascii="Times New Roman" w:hAnsi="Times New Roman" w:cs="Times New Roman"/>
          <w:sz w:val="24"/>
          <w:szCs w:val="24"/>
        </w:rPr>
        <w:t xml:space="preserve">verringert. </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7" w:name="_Toc102231165"/>
      <w:r w:rsidRPr="000C03D8">
        <w:rPr>
          <w:rFonts w:ascii="Times New Roman" w:hAnsi="Times New Roman" w:cs="Times New Roman"/>
          <w:b/>
          <w:i/>
          <w:color w:val="auto"/>
        </w:rPr>
        <w:t>2.4</w:t>
      </w:r>
      <w:r w:rsidR="002128B3" w:rsidRPr="000C03D8">
        <w:rPr>
          <w:rFonts w:ascii="Times New Roman" w:hAnsi="Times New Roman" w:cs="Times New Roman"/>
          <w:b/>
          <w:i/>
          <w:color w:val="auto"/>
        </w:rPr>
        <w:t>.2 Bereinigung der Daten</w:t>
      </w:r>
      <w:bookmarkEnd w:id="17"/>
    </w:p>
    <w:p w:rsidR="0023392E" w:rsidRPr="000C03D8" w:rsidRDefault="00031E37" w:rsidP="00370356">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w:t>
      </w:r>
      <w:r w:rsidR="00370356">
        <w:rPr>
          <w:rFonts w:ascii="Times New Roman" w:hAnsi="Times New Roman" w:cs="Times New Roman"/>
          <w:sz w:val="24"/>
          <w:szCs w:val="24"/>
        </w:rPr>
        <w:t>nnen grafisch dargestellt. Nach</w:t>
      </w:r>
      <w:r w:rsidR="00943331" w:rsidRPr="000C03D8">
        <w:rPr>
          <w:rFonts w:ascii="Times New Roman" w:hAnsi="Times New Roman" w:cs="Times New Roman"/>
          <w:sz w:val="24"/>
          <w:szCs w:val="24"/>
        </w:rPr>
        <w:t xml:space="preserve"> visu</w:t>
      </w:r>
      <w:r w:rsidRPr="000C03D8">
        <w:rPr>
          <w:rFonts w:ascii="Times New Roman" w:hAnsi="Times New Roman" w:cs="Times New Roman"/>
          <w:sz w:val="24"/>
          <w:szCs w:val="24"/>
        </w:rPr>
        <w:t>elle</w:t>
      </w:r>
      <w:r w:rsidR="00370356">
        <w:rPr>
          <w:rFonts w:ascii="Times New Roman" w:hAnsi="Times New Roman" w:cs="Times New Roman"/>
          <w:sz w:val="24"/>
          <w:szCs w:val="24"/>
        </w:rPr>
        <w:t>r</w:t>
      </w:r>
      <w:r w:rsidRPr="000C03D8">
        <w:rPr>
          <w:rFonts w:ascii="Times New Roman" w:hAnsi="Times New Roman" w:cs="Times New Roman"/>
          <w:sz w:val="24"/>
          <w:szCs w:val="24"/>
        </w:rPr>
        <w:t xml:space="preserv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eine Varianz 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w:t>
      </w:r>
      <w:r w:rsidR="00370356">
        <w:rPr>
          <w:rFonts w:ascii="Times New Roman" w:hAnsi="Times New Roman" w:cs="Times New Roman"/>
          <w:sz w:val="24"/>
          <w:szCs w:val="24"/>
        </w:rPr>
        <w:t xml:space="preserve"> </w:t>
      </w:r>
      <w:r w:rsidR="00370356" w:rsidRPr="000C03D8">
        <w:rPr>
          <w:rFonts w:ascii="Times New Roman" w:hAnsi="Times New Roman" w:cs="Times New Roman"/>
          <w:sz w:val="24"/>
          <w:szCs w:val="24"/>
        </w:rPr>
        <w:t xml:space="preserve">In der Abbildung 1 ist zu sehen, dass ein unverhältnismäßig großer Anteil aller Varianzen sich in dem Bereich unter 0.003 befindet, wobei alle Varianzen von exakt 0, die also nichts gemessen haben, </w:t>
      </w:r>
      <w:r w:rsidR="00370356" w:rsidRPr="000C03D8">
        <w:rPr>
          <w:rFonts w:ascii="Times New Roman" w:hAnsi="Times New Roman" w:cs="Times New Roman"/>
          <w:sz w:val="24"/>
          <w:szCs w:val="24"/>
        </w:rPr>
        <w:lastRenderedPageBreak/>
        <w:t>nicht in diesem Histogramm mit abgebildet sind. Dies zeigt, dass in vielen Kanälen keine aussagekräftigen Daten gemessen wurden, da es sich dabei um eine sehr kleine Varianz handelt.</w:t>
      </w:r>
      <w:r w:rsidR="00E26E9F" w:rsidRPr="000C03D8">
        <w:rPr>
          <w:rFonts w:ascii="Times New Roman" w:hAnsi="Times New Roman" w:cs="Times New Roman"/>
          <w:sz w:val="24"/>
          <w:szCs w:val="24"/>
        </w:rPr>
        <w:t xml:space="preserve"> </w:t>
      </w:r>
      <w:r w:rsidR="0006445C" w:rsidRPr="000C03D8">
        <w:rPr>
          <w:rFonts w:ascii="Times New Roman" w:hAnsi="Times New Roman" w:cs="Times New Roman"/>
          <w:sz w:val="24"/>
          <w:szCs w:val="24"/>
        </w:rPr>
        <w:t xml:space="preserve">Diese Grenzwerte wurden </w:t>
      </w:r>
      <w:r w:rsidR="00370356">
        <w:rPr>
          <w:rFonts w:ascii="Times New Roman" w:hAnsi="Times New Roman" w:cs="Times New Roman"/>
          <w:sz w:val="24"/>
          <w:szCs w:val="24"/>
        </w:rPr>
        <w:t xml:space="preserve">daher </w:t>
      </w:r>
      <w:r w:rsidR="0006445C" w:rsidRPr="000C03D8">
        <w:rPr>
          <w:rFonts w:ascii="Times New Roman" w:hAnsi="Times New Roman" w:cs="Times New Roman"/>
          <w:sz w:val="24"/>
          <w:szCs w:val="24"/>
        </w:rPr>
        <w:t xml:space="preserve">möglichst konservativ gewählt, da ersichtlich war, dass eine Vielzahl der Daten Artefakte enthält.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p>
    <w:p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w:t>
      </w:r>
    </w:p>
    <w:p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rsidR="00BF15C0" w:rsidRPr="000C03D8" w:rsidRDefault="00327F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3pt;height:247.2pt">
            <v:imagedata r:id="rId8" o:title="Abbildung 1"/>
          </v:shape>
        </w:pict>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von 0.00001 bis 0.15 in Schritten von 0.00098, damit die erste Klasse alle Varianzen größer 0 und kleiner 0.001 abbildet.</w:t>
      </w:r>
    </w:p>
    <w:p w:rsidR="003625C9" w:rsidRDefault="003625C9">
      <w:pPr>
        <w:rPr>
          <w:rFonts w:ascii="Times New Roman" w:eastAsiaTheme="majorEastAsia" w:hAnsi="Times New Roman" w:cs="Times New Roman"/>
          <w:b/>
          <w:i/>
          <w:sz w:val="24"/>
          <w:szCs w:val="24"/>
        </w:rPr>
      </w:pPr>
      <w:bookmarkStart w:id="18" w:name="_Toc102231166"/>
      <w:r>
        <w:rPr>
          <w:rFonts w:ascii="Times New Roman" w:hAnsi="Times New Roman" w:cs="Times New Roman"/>
          <w:b/>
          <w:i/>
        </w:rPr>
        <w:br w:type="page"/>
      </w:r>
    </w:p>
    <w:p w:rsidR="002128B3" w:rsidRPr="000C03D8" w:rsidRDefault="00857609" w:rsidP="00337758">
      <w:pPr>
        <w:pStyle w:val="berschrift3"/>
        <w:spacing w:line="480" w:lineRule="auto"/>
        <w:jc w:val="both"/>
        <w:rPr>
          <w:rFonts w:ascii="Times New Roman" w:hAnsi="Times New Roman" w:cs="Times New Roman"/>
          <w:b/>
          <w:i/>
          <w:color w:val="auto"/>
        </w:rPr>
      </w:pPr>
      <w:r w:rsidRPr="000C03D8">
        <w:rPr>
          <w:rFonts w:ascii="Times New Roman" w:hAnsi="Times New Roman" w:cs="Times New Roman"/>
          <w:b/>
          <w:i/>
          <w:color w:val="auto"/>
        </w:rPr>
        <w:lastRenderedPageBreak/>
        <w:t>2.4</w:t>
      </w:r>
      <w:r w:rsidR="002128B3" w:rsidRPr="000C03D8">
        <w:rPr>
          <w:rFonts w:ascii="Times New Roman" w:hAnsi="Times New Roman" w:cs="Times New Roman"/>
          <w:b/>
          <w:i/>
          <w:color w:val="auto"/>
        </w:rPr>
        <w:t>.3 Zeit-Frequenz-Analyse</w:t>
      </w:r>
      <w:bookmarkEnd w:id="18"/>
    </w:p>
    <w:p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r w:rsidR="004F72C3">
        <w:rPr>
          <w:rFonts w:ascii="Times New Roman" w:hAnsi="Times New Roman" w:cs="Times New Roman"/>
          <w:sz w:val="24"/>
          <w:szCs w:val="24"/>
        </w:rPr>
        <w:t xml:space="preserve">vorverarbeiteten </w:t>
      </w:r>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Demean,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Drift</w:t>
      </w:r>
      <w:r w:rsidR="00377AFD" w:rsidRPr="000C03D8">
        <w:rPr>
          <w:rFonts w:ascii="Times New Roman" w:hAnsi="Times New Roman" w:cs="Times New Roman"/>
          <w:sz w:val="24"/>
          <w:szCs w:val="24"/>
        </w:rPr>
        <w:t>s</w:t>
      </w:r>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r w:rsidR="00CB3974" w:rsidRPr="000C03D8">
        <w:rPr>
          <w:rFonts w:ascii="Times New Roman" w:hAnsi="Times New Roman" w:cs="Times New Roman"/>
          <w:sz w:val="24"/>
          <w:szCs w:val="24"/>
        </w:rPr>
        <w:t xml:space="preserve">pass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l</w:t>
      </w:r>
      <w:r w:rsidR="008D15C4" w:rsidRPr="000C03D8">
        <w:rPr>
          <w:rFonts w:ascii="Times New Roman" w:hAnsi="Times New Roman" w:cs="Times New Roman"/>
          <w:sz w:val="24"/>
          <w:szCs w:val="24"/>
        </w:rPr>
        <w:t>ow</w:t>
      </w:r>
      <w:r w:rsidR="00BE4CEF" w:rsidRPr="000C03D8">
        <w:rPr>
          <w:rFonts w:ascii="Times New Roman" w:hAnsi="Times New Roman" w:cs="Times New Roman"/>
          <w:sz w:val="24"/>
          <w:szCs w:val="24"/>
        </w:rPr>
        <w:t>-</w:t>
      </w:r>
      <w:r w:rsidR="00CB3974" w:rsidRPr="000C03D8">
        <w:rPr>
          <w:rFonts w:ascii="Times New Roman" w:hAnsi="Times New Roman" w:cs="Times New Roman"/>
          <w:sz w:val="24"/>
          <w:szCs w:val="24"/>
        </w:rPr>
        <w:t xml:space="preserve">pass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high-pass Filter war ein onepass-zerophase</w:t>
      </w:r>
      <w:r w:rsidR="00BE4CEF" w:rsidRPr="000C03D8">
        <w:rPr>
          <w:rFonts w:ascii="Times New Roman" w:hAnsi="Times New Roman" w:cs="Times New Roman"/>
          <w:sz w:val="24"/>
          <w:szCs w:val="24"/>
        </w:rPr>
        <w:t xml:space="preserve">, order 1690, </w:t>
      </w:r>
      <w:r w:rsidR="007F47B2" w:rsidRPr="000C03D8">
        <w:rPr>
          <w:rFonts w:ascii="Times New Roman" w:hAnsi="Times New Roman" w:cs="Times New Roman"/>
          <w:sz w:val="24"/>
          <w:szCs w:val="24"/>
        </w:rPr>
        <w:t xml:space="preserve"> hamming windowed sinc FIR </w:t>
      </w:r>
      <w:r w:rsidR="00BE4CEF" w:rsidRPr="000C03D8">
        <w:rPr>
          <w:rFonts w:ascii="Times New Roman" w:hAnsi="Times New Roman" w:cs="Times New Roman"/>
          <w:sz w:val="24"/>
          <w:szCs w:val="24"/>
        </w:rPr>
        <w:t>mit einem Cut</w:t>
      </w:r>
      <w:r w:rsidR="007F47B2" w:rsidRPr="000C03D8">
        <w:rPr>
          <w:rFonts w:ascii="Times New Roman" w:hAnsi="Times New Roman" w:cs="Times New Roman"/>
          <w:sz w:val="24"/>
          <w:szCs w:val="24"/>
        </w:rPr>
        <w:t xml:space="preserve">off bei -6 dB, einer </w:t>
      </w:r>
      <w:r w:rsidR="00BE4CEF" w:rsidRPr="000C03D8">
        <w:rPr>
          <w:rFonts w:ascii="Times New Roman" w:hAnsi="Times New Roman" w:cs="Times New Roman"/>
          <w:sz w:val="24"/>
          <w:szCs w:val="24"/>
        </w:rPr>
        <w:t xml:space="preserve">transition width </w:t>
      </w:r>
      <w:r w:rsidR="007F47B2" w:rsidRPr="000C03D8">
        <w:rPr>
          <w:rFonts w:ascii="Times New Roman" w:hAnsi="Times New Roman" w:cs="Times New Roman"/>
          <w:sz w:val="24"/>
          <w:szCs w:val="24"/>
        </w:rPr>
        <w:t>von 1.0 Hz, einem Stopband von 0 – 0.0 Hz, einem Passband von 1.0 – 256 Hz, einer maximalen</w:t>
      </w:r>
      <w:r w:rsidR="00BE4CEF" w:rsidRPr="000C03D8">
        <w:rPr>
          <w:rFonts w:ascii="Times New Roman" w:hAnsi="Times New Roman" w:cs="Times New Roman"/>
          <w:sz w:val="24"/>
          <w:szCs w:val="24"/>
        </w:rPr>
        <w:t xml:space="preserve"> passband deviation von 0.22% und einer Stopband attenuation</w:t>
      </w:r>
      <w:r w:rsidR="007F47B2" w:rsidRPr="000C03D8">
        <w:rPr>
          <w:rFonts w:ascii="Times New Roman" w:hAnsi="Times New Roman" w:cs="Times New Roman"/>
          <w:sz w:val="24"/>
          <w:szCs w:val="24"/>
        </w:rPr>
        <w:t xml:space="preserve"> von -53 dB. Der low-pass Filter war ein onepass-zerophase</w:t>
      </w:r>
      <w:r w:rsidR="00B66FBD" w:rsidRPr="000C03D8">
        <w:rPr>
          <w:rFonts w:ascii="Times New Roman" w:hAnsi="Times New Roman" w:cs="Times New Roman"/>
          <w:sz w:val="24"/>
          <w:szCs w:val="24"/>
        </w:rPr>
        <w:t>, order 152,</w:t>
      </w:r>
      <w:r w:rsidR="007F47B2" w:rsidRPr="000C03D8">
        <w:rPr>
          <w:rFonts w:ascii="Times New Roman" w:hAnsi="Times New Roman" w:cs="Times New Roman"/>
          <w:sz w:val="24"/>
          <w:szCs w:val="24"/>
        </w:rPr>
        <w:t xml:space="preserve"> hamming windowed sinc FIR.</w:t>
      </w:r>
      <w:r w:rsidR="00B66FBD" w:rsidRPr="000C03D8">
        <w:rPr>
          <w:rFonts w:ascii="Times New Roman" w:hAnsi="Times New Roman" w:cs="Times New Roman"/>
          <w:sz w:val="24"/>
          <w:szCs w:val="24"/>
        </w:rPr>
        <w:t xml:space="preserve"> mit einem Cutoff bei -6 dB, einer transition width</w:t>
      </w:r>
      <w:r w:rsidR="007F47B2" w:rsidRPr="000C03D8">
        <w:rPr>
          <w:rFonts w:ascii="Times New Roman" w:hAnsi="Times New Roman" w:cs="Times New Roman"/>
          <w:sz w:val="24"/>
          <w:szCs w:val="24"/>
        </w:rPr>
        <w:t xml:space="preserve"> von 11.3 Hz, einem Stopband von 50.6 – 256 Hz, einem Passband von 0 – 39.4 Hz, ei</w:t>
      </w:r>
      <w:r w:rsidR="00B66FBD" w:rsidRPr="000C03D8">
        <w:rPr>
          <w:rFonts w:ascii="Times New Roman" w:hAnsi="Times New Roman" w:cs="Times New Roman"/>
          <w:sz w:val="24"/>
          <w:szCs w:val="24"/>
        </w:rPr>
        <w:t>ner maximalen Passband deviation</w:t>
      </w:r>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0.22% und einer Stopband attenuation</w:t>
      </w:r>
      <w:r w:rsidR="007F47B2" w:rsidRPr="000C03D8">
        <w:rPr>
          <w:rFonts w:ascii="Times New Roman" w:hAnsi="Times New Roman" w:cs="Times New Roman"/>
          <w:sz w:val="24"/>
          <w:szCs w:val="24"/>
        </w:rPr>
        <w:t xml:space="preserve"> von -53 dB.</w:t>
      </w:r>
    </w:p>
    <w:p w:rsidR="003625C9"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multi-taper-method convol</w:t>
      </w:r>
      <w:r w:rsidR="00B9395C" w:rsidRPr="000C03D8">
        <w:rPr>
          <w:rFonts w:ascii="Times New Roman" w:hAnsi="Times New Roman" w:cs="Times New Roman"/>
          <w:sz w:val="24"/>
          <w:szCs w:val="24"/>
        </w:rPr>
        <w:t>ution</w:t>
      </w:r>
      <w:r w:rsidRPr="000C03D8">
        <w:rPr>
          <w:rFonts w:ascii="Times New Roman" w:hAnsi="Times New Roman" w:cs="Times New Roman"/>
          <w:sz w:val="24"/>
          <w:szCs w:val="24"/>
        </w:rPr>
        <w:t xml:space="preserve"> („mtmconvol“</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4F72C3">
        <w:rPr>
          <w:rFonts w:ascii="Times New Roman" w:hAnsi="Times New Roman" w:cs="Times New Roman"/>
          <w:sz w:val="24"/>
          <w:szCs w:val="24"/>
        </w:rPr>
        <w:t>.</w:t>
      </w:r>
      <w:r w:rsidR="00F7580F" w:rsidRPr="000C03D8">
        <w:rPr>
          <w:rFonts w:ascii="Times New Roman" w:hAnsi="Times New Roman" w:cs="Times New Roman"/>
          <w:sz w:val="24"/>
          <w:szCs w:val="24"/>
        </w:rPr>
        <w:t xml:space="preserve"> Die Frequenzauflösung war von 2 bis 35 Hz in 0.05er Schritten. Die Zeitauflösung war von 0 bis 5 s in 0.01er Schritten. </w:t>
      </w:r>
      <w:r w:rsidR="00CE47C9" w:rsidRPr="000C03D8">
        <w:rPr>
          <w:rFonts w:ascii="Times New Roman" w:hAnsi="Times New Roman" w:cs="Times New Roman"/>
          <w:sz w:val="24"/>
          <w:szCs w:val="24"/>
        </w:rPr>
        <w:t>Als Tapereinstellungen wurden Hanning-Taper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Frequenz ist. Um zu entscheiden, welcher Taper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ngen ausprobiert. In Abbildung 2</w:t>
      </w:r>
      <w:r w:rsidR="000D6596" w:rsidRPr="000C03D8">
        <w:rPr>
          <w:rFonts w:ascii="Times New Roman" w:hAnsi="Times New Roman" w:cs="Times New Roman"/>
          <w:sz w:val="24"/>
          <w:szCs w:val="24"/>
        </w:rPr>
        <w:t xml:space="preserve"> ist zu sehen, dass die TFR mit Hanning-Tapern bei 5 Zyklen weniger Informationsverlust in der Zeitdimension aufweist als die TFR mit Hanning-Tapern bei 6 oder 7 Zyklen, aber einen größeren Informationsgehalt i</w:t>
      </w:r>
      <w:r w:rsidR="00361555" w:rsidRPr="000C03D8">
        <w:rPr>
          <w:rFonts w:ascii="Times New Roman" w:hAnsi="Times New Roman" w:cs="Times New Roman"/>
          <w:sz w:val="24"/>
          <w:szCs w:val="24"/>
        </w:rPr>
        <w:t xml:space="preserve">n der Frequenzdimension </w:t>
      </w:r>
      <w:r w:rsidR="00361555" w:rsidRPr="000C03D8">
        <w:rPr>
          <w:rFonts w:ascii="Times New Roman" w:hAnsi="Times New Roman" w:cs="Times New Roman"/>
          <w:sz w:val="24"/>
          <w:szCs w:val="24"/>
        </w:rPr>
        <w:lastRenderedPageBreak/>
        <w:t>als die TFR mit Hanning-Tapern bei 3 oder 4 Zyklen. Die TFR mit Hanning-Tapern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Hanning-Tapern in Abbildung 2.</w:t>
      </w:r>
    </w:p>
    <w:p w:rsidR="00A92C8D" w:rsidRPr="003625C9" w:rsidRDefault="00A92C8D"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2</w:t>
      </w:r>
    </w:p>
    <w:p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r w:rsidR="004F72C3">
        <w:rPr>
          <w:rFonts w:ascii="Times New Roman" w:hAnsi="Times New Roman" w:cs="Times New Roman"/>
          <w:i/>
          <w:sz w:val="24"/>
          <w:szCs w:val="24"/>
        </w:rPr>
        <w:t>eines Powerspektrums resultierend aus</w:t>
      </w:r>
      <w:r w:rsidRPr="000C03D8">
        <w:rPr>
          <w:rFonts w:ascii="Times New Roman" w:hAnsi="Times New Roman" w:cs="Times New Roman"/>
          <w:i/>
          <w:sz w:val="24"/>
          <w:szCs w:val="24"/>
        </w:rPr>
        <w:t xml:space="preserve"> Zeit-Frequenz-Analysen mit Hanning-Taper</w:t>
      </w:r>
      <w:r w:rsidR="004F72C3">
        <w:rPr>
          <w:rFonts w:ascii="Times New Roman" w:hAnsi="Times New Roman" w:cs="Times New Roman"/>
          <w:i/>
          <w:sz w:val="24"/>
          <w:szCs w:val="24"/>
        </w:rPr>
        <w:t xml:space="preserve"> bei</w:t>
      </w:r>
      <w:r w:rsidR="00DF2418" w:rsidRPr="000C03D8">
        <w:rPr>
          <w:rFonts w:ascii="Times New Roman" w:hAnsi="Times New Roman" w:cs="Times New Roman"/>
          <w:i/>
          <w:sz w:val="24"/>
          <w:szCs w:val="24"/>
        </w:rPr>
        <w:t xml:space="preserve"> 3 bis 7</w:t>
      </w:r>
      <w:r w:rsidRPr="000C03D8">
        <w:rPr>
          <w:rFonts w:ascii="Times New Roman" w:hAnsi="Times New Roman" w:cs="Times New Roman"/>
          <w:i/>
          <w:sz w:val="24"/>
          <w:szCs w:val="24"/>
        </w:rPr>
        <w:t xml:space="preserve"> Zyklen</w:t>
      </w:r>
    </w:p>
    <w:p w:rsidR="00A92C8D" w:rsidRPr="000C03D8" w:rsidRDefault="003625C9"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5" type="#_x0000_t75" style="width:460.8pt;height:244.2pt">
            <v:imagedata r:id="rId9" o:title="Abbildung 2"/>
          </v:shape>
        </w:pict>
      </w:r>
      <w:r w:rsidR="00227DDF" w:rsidRPr="000C03D8">
        <w:rPr>
          <w:rFonts w:ascii="Times New Roman" w:hAnsi="Times New Roman" w:cs="Times New Roman"/>
          <w:i/>
          <w:sz w:val="24"/>
          <w:szCs w:val="24"/>
        </w:rPr>
        <w:br/>
        <w:t>Anmerkung.</w:t>
      </w:r>
      <w:r w:rsidR="00227DDF" w:rsidRPr="000C03D8">
        <w:rPr>
          <w:rFonts w:ascii="Times New Roman" w:hAnsi="Times New Roman" w:cs="Times New Roman"/>
          <w:sz w:val="24"/>
          <w:szCs w:val="24"/>
        </w:rPr>
        <w:t xml:space="preserve"> Es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3</w:t>
      </w:r>
    </w:p>
    <w:p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r w:rsidR="004F72C3">
        <w:rPr>
          <w:rFonts w:ascii="Times New Roman" w:hAnsi="Times New Roman" w:cs="Times New Roman"/>
          <w:i/>
          <w:sz w:val="24"/>
          <w:szCs w:val="24"/>
        </w:rPr>
        <w:t>eines Powerspektrums resultierend aus</w:t>
      </w:r>
      <w:r w:rsidRPr="000C03D8">
        <w:rPr>
          <w:rFonts w:ascii="Times New Roman" w:hAnsi="Times New Roman" w:cs="Times New Roman"/>
          <w:i/>
          <w:sz w:val="24"/>
          <w:szCs w:val="24"/>
        </w:rPr>
        <w:t xml:space="preserve"> Zeit-Fr</w:t>
      </w:r>
      <w:r w:rsidR="004F72C3">
        <w:rPr>
          <w:rFonts w:ascii="Times New Roman" w:hAnsi="Times New Roman" w:cs="Times New Roman"/>
          <w:i/>
          <w:sz w:val="24"/>
          <w:szCs w:val="24"/>
        </w:rPr>
        <w:t>equenz-Analysen mit Wavelets bei 3 bis 7</w:t>
      </w:r>
      <w:r w:rsidRPr="000C03D8">
        <w:rPr>
          <w:rFonts w:ascii="Times New Roman" w:hAnsi="Times New Roman" w:cs="Times New Roman"/>
          <w:i/>
          <w:sz w:val="24"/>
          <w:szCs w:val="24"/>
        </w:rPr>
        <w:t xml:space="preserve"> Zyklen</w:t>
      </w:r>
    </w:p>
    <w:p w:rsidR="004C5996" w:rsidRPr="000C03D8" w:rsidRDefault="003625C9"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58.4pt;height:243pt">
            <v:imagedata r:id="rId10"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9" w:name="_Toc102231167"/>
      <w:r w:rsidRPr="000C03D8">
        <w:rPr>
          <w:rFonts w:ascii="Times New Roman" w:hAnsi="Times New Roman" w:cs="Times New Roman"/>
          <w:b/>
          <w:i/>
          <w:color w:val="auto"/>
        </w:rPr>
        <w:t>2.4</w:t>
      </w:r>
      <w:r w:rsidR="002128B3" w:rsidRPr="000C03D8">
        <w:rPr>
          <w:rFonts w:ascii="Times New Roman" w:hAnsi="Times New Roman" w:cs="Times New Roman"/>
          <w:b/>
          <w:i/>
          <w:color w:val="auto"/>
        </w:rPr>
        <w:t>.4 FOOOF-Algorithmus</w:t>
      </w:r>
      <w:bookmarkEnd w:id="19"/>
    </w:p>
    <w:p w:rsidR="00CB3F02" w:rsidRPr="000C03D8" w:rsidRDefault="009829E8"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Der letzte Schritt</w:t>
      </w:r>
      <w:r w:rsidR="00DB03FE" w:rsidRPr="000C03D8">
        <w:rPr>
          <w:rFonts w:ascii="Times New Roman" w:hAnsi="Times New Roman" w:cs="Times New Roman"/>
          <w:sz w:val="24"/>
          <w:szCs w:val="24"/>
        </w:rPr>
        <w:t xml:space="preserve"> bestand darin, die </w:t>
      </w:r>
      <w:r w:rsidR="00CB49E6" w:rsidRPr="000C03D8">
        <w:rPr>
          <w:rFonts w:ascii="Times New Roman" w:hAnsi="Times New Roman" w:cs="Times New Roman"/>
          <w:sz w:val="24"/>
          <w:szCs w:val="24"/>
        </w:rPr>
        <w:t xml:space="preserve">über die Zeit gemittelten </w:t>
      </w:r>
      <w:r w:rsidR="00DB03FE"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DB03FE"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Matlab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 xml:space="preserve">ten: Limits für die Bandbreite der Peaks: 0.5 Hz und 12 Hz; maximale Anzahl an Peaks: unbegrenzt; Mindesthöhe für einen Peak (Power über der aperiodischen </w:t>
      </w:r>
      <w:r w:rsidR="00A130E3" w:rsidRPr="000C03D8">
        <w:rPr>
          <w:rFonts w:ascii="Times New Roman" w:hAnsi="Times New Roman" w:cs="Times New Roman"/>
          <w:sz w:val="24"/>
          <w:szCs w:val="24"/>
        </w:rPr>
        <w:lastRenderedPageBreak/>
        <w:t>Komponente): 0 µV; Peak Schwelle: 2 Standardabweichungen; aperi</w:t>
      </w:r>
      <w:r w:rsidR="005F4D0E" w:rsidRPr="000C03D8">
        <w:rPr>
          <w:rFonts w:ascii="Times New Roman" w:hAnsi="Times New Roman" w:cs="Times New Roman"/>
          <w:sz w:val="24"/>
          <w:szCs w:val="24"/>
        </w:rPr>
        <w:t>odischer Modus: fix. Der 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rsidR="00B30E54" w:rsidRPr="000C03D8" w:rsidRDefault="00857609" w:rsidP="00337758">
      <w:pPr>
        <w:pStyle w:val="berschrift3"/>
        <w:spacing w:line="480" w:lineRule="auto"/>
        <w:jc w:val="both"/>
        <w:rPr>
          <w:rFonts w:ascii="Times New Roman" w:hAnsi="Times New Roman" w:cs="Times New Roman"/>
          <w:b/>
          <w:i/>
          <w:color w:val="auto"/>
        </w:rPr>
      </w:pPr>
      <w:bookmarkStart w:id="20" w:name="_Toc102231168"/>
      <w:r w:rsidRPr="000C03D8">
        <w:rPr>
          <w:rFonts w:ascii="Times New Roman" w:hAnsi="Times New Roman" w:cs="Times New Roman"/>
          <w:b/>
          <w:i/>
          <w:color w:val="auto"/>
        </w:rPr>
        <w:t>2.4</w:t>
      </w:r>
      <w:r w:rsidR="00B30E54" w:rsidRPr="000C03D8">
        <w:rPr>
          <w:rFonts w:ascii="Times New Roman" w:hAnsi="Times New Roman" w:cs="Times New Roman"/>
          <w:b/>
          <w:i/>
          <w:color w:val="auto"/>
        </w:rPr>
        <w:t>.5 Extraktion der elektrophysiologischen Maße</w:t>
      </w:r>
      <w:bookmarkEnd w:id="20"/>
    </w:p>
    <w:p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Trajekt der Elektrode, die Anzahl der Samples, der aperiodische Exponent, die Power im Theta-, Alpha- und Betaband</w:t>
      </w:r>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 xml:space="preserve">Hz angepasst wird, damit ein fließender </w:t>
      </w:r>
      <w:r w:rsidR="00E704C7" w:rsidRPr="000C03D8">
        <w:rPr>
          <w:rFonts w:ascii="Times New Roman" w:hAnsi="Times New Roman" w:cs="Times New Roman"/>
          <w:sz w:val="24"/>
          <w:szCs w:val="24"/>
        </w:rPr>
        <w:lastRenderedPageBreak/>
        <w:t>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Betaband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stieg. Es sind letztendlich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5A5DA1">
        <w:rPr>
          <w:rFonts w:ascii="Times New Roman" w:hAnsi="Times New Roman" w:cs="Times New Roman"/>
          <w:sz w:val="24"/>
          <w:szCs w:val="24"/>
        </w:rPr>
        <w:t xml:space="preserve"> Kanälen übrig</w:t>
      </w:r>
      <w:r w:rsidR="008423B7" w:rsidRPr="000C03D8">
        <w:rPr>
          <w:rFonts w:ascii="Times New Roman" w:hAnsi="Times New Roman" w:cs="Times New Roman"/>
          <w:sz w:val="24"/>
          <w:szCs w:val="24"/>
        </w:rPr>
        <w:t xml:space="preserve">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g der Daten 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0C03D8" w:rsidRDefault="00857609" w:rsidP="00337758">
      <w:pPr>
        <w:pStyle w:val="berschrift2"/>
        <w:spacing w:line="480" w:lineRule="auto"/>
        <w:jc w:val="both"/>
        <w:rPr>
          <w:rFonts w:ascii="Times New Roman" w:hAnsi="Times New Roman" w:cs="Times New Roman"/>
          <w:b/>
          <w:color w:val="auto"/>
          <w:sz w:val="28"/>
          <w:szCs w:val="28"/>
        </w:rPr>
      </w:pPr>
      <w:bookmarkStart w:id="21" w:name="_Toc102231169"/>
      <w:r w:rsidRPr="000C03D8">
        <w:rPr>
          <w:rFonts w:ascii="Times New Roman" w:hAnsi="Times New Roman" w:cs="Times New Roman"/>
          <w:b/>
          <w:color w:val="auto"/>
          <w:sz w:val="28"/>
          <w:szCs w:val="28"/>
        </w:rPr>
        <w:lastRenderedPageBreak/>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21"/>
      <w:r w:rsidR="004D5C32" w:rsidRPr="000C03D8">
        <w:rPr>
          <w:rFonts w:ascii="Times New Roman" w:hAnsi="Times New Roman" w:cs="Times New Roman"/>
          <w:b/>
          <w:color w:val="auto"/>
          <w:sz w:val="28"/>
          <w:szCs w:val="28"/>
        </w:rPr>
        <w:t xml:space="preserve"> </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2" w:name="_Toc102231170"/>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22"/>
    </w:p>
    <w:p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CA1511">
        <w:rPr>
          <w:rFonts w:ascii="Times New Roman" w:hAnsi="Times New Roman" w:cs="Times New Roman"/>
          <w:sz w:val="24"/>
          <w:szCs w:val="24"/>
        </w:rPr>
        <w:t>ten beiden Skripten</w:t>
      </w:r>
      <w:r w:rsidR="008423B7" w:rsidRPr="000C03D8">
        <w:rPr>
          <w:rFonts w:ascii="Times New Roman" w:hAnsi="Times New Roman" w:cs="Times New Roman"/>
          <w:sz w:val="24"/>
          <w:szCs w:val="24"/>
        </w:rPr>
        <w:t xml:space="preserve">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en Hypothese, dass die Power im Betaband</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t>in 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-Tests für abhängige Stichproben auf 5% Signifikanzniveau gerechnet. Ist der Shapiro-Wilk-Test signifikant, muss von einer Verletzung der Normalverteilung ausgegangen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Wilcoxon-Vorzeichen-Rang-Tests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3" w:name="_Toc102231171"/>
      <w:r w:rsidRPr="000C03D8">
        <w:rPr>
          <w:rFonts w:ascii="Times New Roman" w:hAnsi="Times New Roman" w:cs="Times New Roman"/>
          <w:b/>
          <w:i/>
          <w:color w:val="auto"/>
        </w:rPr>
        <w:lastRenderedPageBreak/>
        <w:t>2.6</w:t>
      </w:r>
      <w:r w:rsidR="00B20730" w:rsidRPr="000C03D8">
        <w:rPr>
          <w:rFonts w:ascii="Times New Roman" w:hAnsi="Times New Roman" w:cs="Times New Roman"/>
          <w:b/>
          <w:i/>
          <w:color w:val="auto"/>
        </w:rPr>
        <w:t>.2 Zweite Hypothese</w:t>
      </w:r>
      <w:bookmarkEnd w:id="23"/>
    </w:p>
    <w:p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r w:rsidR="000F0842" w:rsidRPr="000C03D8">
        <w:rPr>
          <w:rFonts w:ascii="Times New Roman" w:hAnsi="Times New Roman" w:cs="Times New Roman"/>
          <w:sz w:val="24"/>
          <w:szCs w:val="24"/>
        </w:rPr>
        <w:t>Wilcoxon-Vorzeichen-Rang-Tests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mixed model</w:t>
      </w:r>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package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Effect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als unabhängige Variable verwendet. Als Random Effect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lmerTest als zusätzliches package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Satterthwaite’s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 xml:space="preserve">(Giesbrecht &amp; Burns, </w:t>
      </w:r>
      <w:r w:rsidR="00635E49" w:rsidRPr="000C03D8">
        <w:rPr>
          <w:rFonts w:ascii="Times New Roman" w:hAnsi="Times New Roman" w:cs="Times New Roman"/>
          <w:sz w:val="24"/>
          <w:szCs w:val="24"/>
        </w:rPr>
        <w:lastRenderedPageBreak/>
        <w:t>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Zusätzlich wird ein 95% profiled confidence interval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ihm in diesem Fall keine Aussagen über eine Verletzung der Normalverteilung gemacht werden. Stattdessen wird 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(aperiodischer Exponent</w:t>
      </w:r>
      <w:r w:rsidR="0078306A" w:rsidRPr="000C03D8">
        <w:rPr>
          <w:rFonts w:ascii="Times New Roman" w:hAnsi="Times New Roman" w:cs="Times New Roman"/>
          <w:sz w:val="24"/>
          <w:szCs w:val="24"/>
          <w:vertAlign w:val="subscript"/>
        </w:rPr>
        <w:t>nah</w:t>
      </w:r>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(aperiodischer Exponent</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(aperiodischer Exponent</w:t>
      </w:r>
      <w:r w:rsidR="0078306A" w:rsidRPr="000C03D8">
        <w:rPr>
          <w:rFonts w:ascii="Times New Roman" w:hAnsi="Times New Roman" w:cs="Times New Roman"/>
          <w:sz w:val="24"/>
          <w:szCs w:val="24"/>
          <w:vertAlign w:val="subscript"/>
        </w:rPr>
        <w:t>nah</w:t>
      </w:r>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(aperiodischer Exponent</w:t>
      </w:r>
      <w:r w:rsidR="0078306A" w:rsidRPr="000C03D8">
        <w:rPr>
          <w:rFonts w:ascii="Times New Roman" w:hAnsi="Times New Roman" w:cs="Times New Roman"/>
          <w:sz w:val="24"/>
          <w:szCs w:val="24"/>
          <w:vertAlign w:val="subscript"/>
        </w:rPr>
        <w:t>fern</w:t>
      </w:r>
      <w:r w:rsidR="000F0842" w:rsidRPr="000C03D8">
        <w:rPr>
          <w:rFonts w:ascii="Times New Roman" w:hAnsi="Times New Roman" w:cs="Times New Roman"/>
          <w:sz w:val="24"/>
          <w:szCs w:val="24"/>
        </w:rPr>
        <w:t>)</w:t>
      </w:r>
    </w:p>
    <w:p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4" w:name="_Toc102231172"/>
      <w:r w:rsidRPr="000C03D8">
        <w:rPr>
          <w:rFonts w:ascii="Times New Roman" w:hAnsi="Times New Roman" w:cs="Times New Roman"/>
          <w:b/>
          <w:i/>
          <w:color w:val="auto"/>
        </w:rPr>
        <w:t>2.6</w:t>
      </w:r>
      <w:r w:rsidR="00B20730" w:rsidRPr="000C03D8">
        <w:rPr>
          <w:rFonts w:ascii="Times New Roman" w:hAnsi="Times New Roman" w:cs="Times New Roman"/>
          <w:b/>
          <w:i/>
          <w:color w:val="auto"/>
        </w:rPr>
        <w:t>.3 Explorative Analysen</w:t>
      </w:r>
      <w:bookmarkEnd w:id="24"/>
      <w:r w:rsidR="00B20730" w:rsidRPr="000C03D8">
        <w:rPr>
          <w:rFonts w:ascii="Times New Roman" w:hAnsi="Times New Roman" w:cs="Times New Roman"/>
          <w:b/>
          <w:i/>
          <w:color w:val="auto"/>
        </w:rPr>
        <w:t xml:space="preserve"> </w:t>
      </w:r>
    </w:p>
    <w:p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a- und Betaband,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Die step-down Strategie wird verwendet, um das bestmögliche Modell zu erstellen</w:t>
      </w:r>
      <w:r w:rsidR="00541C3B" w:rsidRPr="000C03D8">
        <w:rPr>
          <w:rFonts w:ascii="Times New Roman" w:hAnsi="Times New Roman" w:cs="Times New Roman"/>
          <w:sz w:val="24"/>
          <w:szCs w:val="24"/>
        </w:rPr>
        <w:t>, indem zuerst durch likelihood-ratio-T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random-effects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fixed-effects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(Kuznetsova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low-betaband und im high-betaband gefunden haben, wurde das Betaband nachträglich in 13 – 20 Hz für low-beta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ob die Power im low-betaband oder im high-betaband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Nach Auswertung der vorherigen Ergebnisse wurde in einem weiteren selbsterstellten Matlab-Skript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rsidR="009A4076" w:rsidRPr="000C03D8" w:rsidRDefault="00193E65" w:rsidP="00337758">
      <w:pPr>
        <w:pStyle w:val="berschrift1"/>
        <w:spacing w:line="480" w:lineRule="auto"/>
        <w:jc w:val="center"/>
        <w:rPr>
          <w:rFonts w:ascii="Times New Roman" w:hAnsi="Times New Roman" w:cs="Times New Roman"/>
          <w:b/>
          <w:color w:val="auto"/>
        </w:rPr>
      </w:pPr>
      <w:bookmarkStart w:id="25" w:name="_Toc102231173"/>
      <w:r w:rsidRPr="000C03D8">
        <w:rPr>
          <w:rFonts w:ascii="Times New Roman" w:hAnsi="Times New Roman" w:cs="Times New Roman"/>
          <w:b/>
          <w:color w:val="auto"/>
        </w:rPr>
        <w:lastRenderedPageBreak/>
        <w:t>3. Ergebnisse</w:t>
      </w:r>
      <w:bookmarkEnd w:id="25"/>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6" w:name="_Toc102231174"/>
      <w:r w:rsidRPr="000C03D8">
        <w:rPr>
          <w:rFonts w:ascii="Times New Roman" w:hAnsi="Times New Roman" w:cs="Times New Roman"/>
          <w:b/>
          <w:color w:val="auto"/>
          <w:sz w:val="28"/>
          <w:szCs w:val="28"/>
        </w:rPr>
        <w:t>3.1 Erste Hypothese</w:t>
      </w:r>
      <w:bookmarkEnd w:id="26"/>
    </w:p>
    <w:p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4</w:t>
      </w:r>
    </w:p>
    <w:p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rsidR="008E118C" w:rsidRPr="000C03D8" w:rsidRDefault="00E45DFC"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373.2pt;height:230.4pt">
            <v:imagedata r:id="rId11"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BC255E" w:rsidRPr="000C03D8">
        <w:rPr>
          <w:rFonts w:ascii="Times New Roman" w:hAnsi="Times New Roman" w:cs="Times New Roman"/>
          <w:sz w:val="24"/>
          <w:szCs w:val="24"/>
        </w:rPr>
        <w:t xml:space="preserve">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5</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rsidR="00BC255E" w:rsidRPr="000C03D8" w:rsidRDefault="00E45DFC"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67.2pt;height:225.6pt">
            <v:imagedata r:id="rId12"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CA1511">
        <w:rPr>
          <w:rFonts w:ascii="Times New Roman" w:hAnsi="Times New Roman" w:cs="Times New Roman"/>
          <w:sz w:val="24"/>
          <w:szCs w:val="24"/>
        </w:rPr>
        <w:t>.</w:t>
      </w:r>
      <w:r w:rsidR="00CA1511" w:rsidRPr="000C03D8">
        <w:rPr>
          <w:rFonts w:ascii="Times New Roman" w:hAnsi="Times New Roman" w:cs="Times New Roman"/>
          <w:sz w:val="24"/>
          <w:szCs w:val="24"/>
        </w:rPr>
        <w:t xml:space="preserve"> 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CA1511" w:rsidRPr="000C03D8">
        <w:rPr>
          <w:rFonts w:ascii="Times New Roman" w:hAnsi="Times New Roman" w:cs="Times New Roman"/>
          <w:sz w:val="24"/>
          <w:szCs w:val="24"/>
        </w:rPr>
        <w:t xml:space="preserve">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6</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rsidR="00BC255E" w:rsidRPr="000C03D8" w:rsidRDefault="00E45DFC"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04.8pt;height:188.4pt">
            <v:imagedata r:id="rId13" o:title="Abbildung 6"/>
          </v:shape>
        </w:pict>
      </w:r>
    </w:p>
    <w:p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xml:space="preserve">. </w:t>
      </w:r>
      <w:r w:rsidR="00CA1511" w:rsidRPr="000C03D8">
        <w:rPr>
          <w:rFonts w:ascii="Times New Roman" w:hAnsi="Times New Roman" w:cs="Times New Roman"/>
          <w:sz w:val="24"/>
          <w:szCs w:val="24"/>
        </w:rPr>
        <w:t>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CA1511" w:rsidRPr="000C03D8">
        <w:rPr>
          <w:rFonts w:ascii="Times New Roman" w:hAnsi="Times New Roman" w:cs="Times New Roman"/>
          <w:sz w:val="24"/>
          <w:szCs w:val="24"/>
        </w:rPr>
        <w:t xml:space="preserve"> dar.</w:t>
      </w:r>
    </w:p>
    <w:p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Der Shapiro-Wilk-Test für die Differenzen zwischen der Betapower in der Bedingung „nah“ und der Betapower in der Bedingung „fern“ ist nicht signifikant auf 5% Signifikanzniveau (</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Boxplots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ower im Betaband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Boxplots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7</w:t>
      </w:r>
    </w:p>
    <w:p w:rsidR="00CD3861" w:rsidRPr="000C03D8" w:rsidRDefault="00CD3861"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Boxplots zum Vergleich der Betapower in der Bedingung „nah“ mit der Bedingung „fern“</w:t>
      </w:r>
    </w:p>
    <w:p w:rsidR="005D65F1" w:rsidRPr="000C03D8" w:rsidRDefault="00011E82"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49.2pt;height:215.4pt">
            <v:imagedata r:id="rId14"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8</w:t>
      </w:r>
    </w:p>
    <w:p w:rsidR="005D65F1" w:rsidRPr="000C03D8" w:rsidRDefault="005D65F1"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Boxplots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011E82">
        <w:rPr>
          <w:rFonts w:ascii="Times New Roman" w:hAnsi="Times New Roman" w:cs="Times New Roman"/>
          <w:i/>
          <w:sz w:val="24"/>
          <w:szCs w:val="24"/>
        </w:rPr>
        <w:pict>
          <v:shape id="_x0000_i1031" type="#_x0000_t75" style="width:349.2pt;height:216.6pt">
            <v:imagedata r:id="rId15"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7" w:name="_Toc102231175"/>
      <w:r w:rsidRPr="000C03D8">
        <w:rPr>
          <w:rFonts w:ascii="Times New Roman" w:hAnsi="Times New Roman" w:cs="Times New Roman"/>
          <w:b/>
          <w:color w:val="auto"/>
          <w:sz w:val="28"/>
          <w:szCs w:val="28"/>
        </w:rPr>
        <w:lastRenderedPageBreak/>
        <w:t>3.2 Zweite Hypothese</w:t>
      </w:r>
      <w:bookmarkEnd w:id="27"/>
    </w:p>
    <w:p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Mit Hilfe der Boxplots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9</w:t>
      </w:r>
    </w:p>
    <w:p w:rsidR="005D65F1"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Boxplots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rsidR="005D65F1" w:rsidRPr="000C03D8" w:rsidRDefault="00011E82"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2" type="#_x0000_t75" style="width:326.4pt;height:201pt">
            <v:imagedata r:id="rId16"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rsidR="00D05E93"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rsidR="00F16082" w:rsidRPr="00D05E93" w:rsidRDefault="00F16082"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10</w:t>
      </w:r>
    </w:p>
    <w:p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rsidR="00011E82" w:rsidRPr="000C03D8" w:rsidRDefault="00BF4D10" w:rsidP="00011E82">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41" type="#_x0000_t75" style="width:453pt;height:280.2pt">
            <v:imagedata r:id="rId17"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xml:space="preserve">. </w:t>
      </w:r>
      <w:r w:rsidR="00011E82" w:rsidRPr="000C03D8">
        <w:rPr>
          <w:rFonts w:ascii="Times New Roman" w:hAnsi="Times New Roman" w:cs="Times New Roman"/>
          <w:sz w:val="24"/>
          <w:szCs w:val="24"/>
        </w:rPr>
        <w:t>Rote gestrichelte Linie stellt eine Normalverteilung</w:t>
      </w:r>
      <w:r w:rsidR="00011E82">
        <w:rPr>
          <w:rFonts w:ascii="Times New Roman" w:hAnsi="Times New Roman" w:cs="Times New Roman"/>
          <w:sz w:val="24"/>
          <w:szCs w:val="24"/>
        </w:rPr>
        <w:t xml:space="preserve"> mit demselben Mittelwert und derselben Standardabweichung wie die das jeweilige Dichtediagramm</w:t>
      </w:r>
      <w:r w:rsidR="00011E82" w:rsidRPr="000C03D8">
        <w:rPr>
          <w:rFonts w:ascii="Times New Roman" w:hAnsi="Times New Roman" w:cs="Times New Roman"/>
          <w:sz w:val="24"/>
          <w:szCs w:val="24"/>
        </w:rPr>
        <w:t xml:space="preserve"> dar.</w:t>
      </w:r>
    </w:p>
    <w:p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 xml:space="preserve">Für den zweiten Teil der zweiten Hypothese, dass die aperiodische Komponente des LFP </w:t>
      </w:r>
      <w:r w:rsidR="000B6912" w:rsidRPr="000C03D8">
        <w:rPr>
          <w:rFonts w:ascii="Times New Roman" w:hAnsi="Times New Roman" w:cs="Times New Roman"/>
          <w:sz w:val="24"/>
          <w:szCs w:val="24"/>
        </w:rPr>
        <w:lastRenderedPageBreak/>
        <w:t>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pro</w:t>
      </w:r>
      <w:r w:rsidR="00111C37" w:rsidRPr="000C03D8">
        <w:rPr>
          <w:rFonts w:ascii="Times New Roman" w:hAnsi="Times New Roman" w:cs="Times New Roman"/>
          <w:sz w:val="24"/>
          <w:szCs w:val="24"/>
        </w:rPr>
        <w:t>filed confidence interval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11</w:t>
      </w:r>
    </w:p>
    <w:p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rsidR="00F16082" w:rsidRPr="000C03D8" w:rsidRDefault="00BF4D10"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3" type="#_x0000_t75" style="width:453pt;height:281.4pt">
            <v:imagedata r:id="rId18" o:title="Abbildung 11"/>
          </v:shape>
        </w:pict>
      </w: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12</w:t>
      </w:r>
    </w:p>
    <w:p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rsidR="00075707" w:rsidRPr="000C03D8" w:rsidRDefault="001879D9"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53pt;height:280.2pt">
            <v:imagedata r:id="rId19" o:title="Abbildung 12"/>
          </v:shape>
        </w:pic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8" w:name="_Toc102231176"/>
      <w:r w:rsidRPr="000C03D8">
        <w:rPr>
          <w:rFonts w:ascii="Times New Roman" w:hAnsi="Times New Roman" w:cs="Times New Roman"/>
          <w:b/>
          <w:color w:val="auto"/>
          <w:sz w:val="28"/>
          <w:szCs w:val="28"/>
        </w:rPr>
        <w:t>3.3 Explorative Analysen</w:t>
      </w:r>
      <w:bookmarkEnd w:id="28"/>
      <w:r w:rsidRPr="000C03D8">
        <w:rPr>
          <w:rFonts w:ascii="Times New Roman" w:hAnsi="Times New Roman" w:cs="Times New Roman"/>
          <w:b/>
          <w:color w:val="auto"/>
          <w:sz w:val="28"/>
          <w:szCs w:val="28"/>
        </w:rPr>
        <w:t xml:space="preserve"> </w:t>
      </w:r>
    </w:p>
    <w:p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a- und Betaband, der RMS und der aperiodische 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Tabelle 1</w:t>
      </w:r>
    </w:p>
    <w:p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562A51">
        <w:trPr>
          <w:trHeight w:hRule="exact" w:val="284"/>
        </w:trPr>
        <w:tc>
          <w:tcPr>
            <w:tcW w:w="2608" w:type="dxa"/>
            <w:tcBorders>
              <w:bottom w:val="single" w:sz="4" w:space="0" w:color="auto"/>
            </w:tcBorders>
          </w:tcPr>
          <w:p w:rsidR="00B112C9" w:rsidRPr="000C03D8" w:rsidRDefault="00562A51" w:rsidP="00562A51">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608" w:type="dxa"/>
            <w:tcBorders>
              <w:bottom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Borders>
              <w:bottom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rsidTr="00562A51">
        <w:trPr>
          <w:trHeight w:hRule="exact" w:val="284"/>
        </w:trPr>
        <w:tc>
          <w:tcPr>
            <w:tcW w:w="2608" w:type="dxa"/>
            <w:tcBorders>
              <w:top w:val="single" w:sz="4" w:space="0" w:color="auto"/>
            </w:tcBorders>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Intercept</w:t>
            </w:r>
          </w:p>
        </w:tc>
        <w:tc>
          <w:tcPr>
            <w:tcW w:w="2608" w:type="dxa"/>
            <w:tcBorders>
              <w:top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Borders>
              <w:top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bl>
    <w:p w:rsidR="00F93364" w:rsidRPr="000C03D8" w:rsidRDefault="00F93364" w:rsidP="00337758">
      <w:pPr>
        <w:spacing w:line="480" w:lineRule="auto"/>
        <w:jc w:val="both"/>
        <w:rPr>
          <w:rFonts w:ascii="Times New Roman" w:hAnsi="Times New Roman" w:cs="Times New Roman"/>
          <w:sz w:val="24"/>
          <w:szCs w:val="24"/>
        </w:rPr>
      </w:pPr>
    </w:p>
    <w:p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rsidR="00F93364" w:rsidRPr="000C03D8" w:rsidRDefault="001879D9"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4" type="#_x0000_t75" style="width:435pt;height:270pt">
            <v:imagedata r:id="rId20" o:title="Abbildung 13"/>
          </v:shape>
        </w:pict>
      </w:r>
    </w:p>
    <w:p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w:t>
      </w:r>
      <w:r w:rsidR="00541C3B" w:rsidRPr="000C03D8">
        <w:rPr>
          <w:rFonts w:ascii="Times New Roman" w:hAnsi="Times New Roman" w:cs="Times New Roman"/>
          <w:sz w:val="24"/>
          <w:szCs w:val="24"/>
        </w:rPr>
        <w:t>likelihood-ratio-Test</w:t>
      </w:r>
      <w:r w:rsidRPr="000C03D8">
        <w:rPr>
          <w:rFonts w:ascii="Times New Roman" w:hAnsi="Times New Roman" w:cs="Times New Roman"/>
          <w:sz w:val="24"/>
          <w:szCs w:val="24"/>
        </w:rPr>
        <w:t xml:space="preserve"> aus der step-down Strategie hat ergeben, dass die ID der Versuchspersonen ein signifikanter random-effect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fixed-effect</w:t>
      </w:r>
      <w:r w:rsidR="00380E63" w:rsidRPr="000C03D8">
        <w:rPr>
          <w:rFonts w:ascii="Times New Roman" w:hAnsi="Times New Roman" w:cs="Times New Roman"/>
          <w:sz w:val="24"/>
          <w:szCs w:val="24"/>
        </w:rPr>
        <w:t>s</w:t>
      </w:r>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w:t>
      </w:r>
      <w:r w:rsidR="00380E63" w:rsidRPr="000C03D8">
        <w:rPr>
          <w:rFonts w:ascii="Times New Roman" w:hAnsi="Times New Roman" w:cs="Times New Roman"/>
          <w:sz w:val="24"/>
          <w:szCs w:val="24"/>
        </w:rPr>
        <w:lastRenderedPageBreak/>
        <w:t xml:space="preserve">die Thetapower </w:t>
      </w:r>
      <w:r w:rsidRPr="000C03D8">
        <w:rPr>
          <w:rFonts w:ascii="Times New Roman" w:hAnsi="Times New Roman" w:cs="Times New Roman"/>
          <w:sz w:val="24"/>
          <w:szCs w:val="24"/>
        </w:rPr>
        <w:t xml:space="preserve">als fixed-effect und die ID der Versuchspersonen als random-effect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rsidR="00A235A2" w:rsidRPr="000C03D8" w:rsidRDefault="00C9653B" w:rsidP="00337758">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Ergebnisse der </w:t>
      </w:r>
      <w:r w:rsidR="00830B98" w:rsidRPr="000C03D8">
        <w:rPr>
          <w:rFonts w:ascii="Times New Roman" w:hAnsi="Times New Roman" w:cs="Times New Roman"/>
          <w:i/>
          <w:sz w:val="24"/>
          <w:szCs w:val="24"/>
        </w:rPr>
        <w:t>F-</w:t>
      </w:r>
      <w:r>
        <w:rPr>
          <w:rFonts w:ascii="Times New Roman" w:hAnsi="Times New Roman" w:cs="Times New Roman"/>
          <w:i/>
          <w:sz w:val="24"/>
          <w:szCs w:val="24"/>
        </w:rPr>
        <w:t>Tests für den Vergleich der</w:t>
      </w:r>
      <w:r w:rsidR="00CB2B9C" w:rsidRPr="000C03D8">
        <w:rPr>
          <w:rFonts w:ascii="Times New Roman" w:hAnsi="Times New Roman" w:cs="Times New Roman"/>
          <w:i/>
          <w:sz w:val="24"/>
          <w:szCs w:val="24"/>
        </w:rPr>
        <w:t xml:space="preserve"> Regressionsm</w:t>
      </w:r>
      <w:r w:rsidR="00830B98" w:rsidRPr="000C03D8">
        <w:rPr>
          <w:rFonts w:ascii="Times New Roman" w:hAnsi="Times New Roman" w:cs="Times New Roman"/>
          <w:i/>
          <w:sz w:val="24"/>
          <w:szCs w:val="24"/>
        </w:rPr>
        <w:t xml:space="preserve">odelle </w:t>
      </w:r>
      <w:r>
        <w:rPr>
          <w:rFonts w:ascii="Times New Roman" w:hAnsi="Times New Roman" w:cs="Times New Roman"/>
          <w:i/>
          <w:sz w:val="24"/>
          <w:szCs w:val="24"/>
        </w:rPr>
        <w:t xml:space="preserve">bei </w:t>
      </w:r>
      <w:r w:rsidR="00830B98" w:rsidRPr="000C03D8">
        <w:rPr>
          <w:rFonts w:ascii="Times New Roman" w:hAnsi="Times New Roman" w:cs="Times New Roman"/>
          <w:i/>
          <w:sz w:val="24"/>
          <w:szCs w:val="24"/>
        </w:rPr>
        <w:t>der step-down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562A51">
        <w:trPr>
          <w:trHeight w:hRule="exact" w:val="284"/>
        </w:trPr>
        <w:tc>
          <w:tcPr>
            <w:tcW w:w="2608" w:type="dxa"/>
            <w:tcBorders>
              <w:bottom w:val="single" w:sz="4" w:space="0" w:color="auto"/>
            </w:tcBorders>
          </w:tcPr>
          <w:p w:rsidR="00A235A2" w:rsidRPr="000C03D8" w:rsidRDefault="00562A51" w:rsidP="00562A51">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608" w:type="dxa"/>
            <w:tcBorders>
              <w:bottom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Borders>
              <w:bottom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rsidTr="00562A51">
        <w:trPr>
          <w:trHeight w:hRule="exact" w:val="284"/>
        </w:trPr>
        <w:tc>
          <w:tcPr>
            <w:tcW w:w="2608" w:type="dxa"/>
            <w:tcBorders>
              <w:top w:val="single" w:sz="4" w:space="0" w:color="auto"/>
            </w:tcBorders>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Borders>
              <w:top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Borders>
              <w:top w:val="single" w:sz="4" w:space="0" w:color="auto"/>
            </w:tcBorders>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 xml:space="preserve"> ***: &lt;0.0001; **: &lt;0.001; *: 0.05</w:t>
      </w:r>
    </w:p>
    <w:p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w:t>
      </w:r>
      <w:r w:rsidR="00C56B62" w:rsidRPr="000C03D8">
        <w:rPr>
          <w:rFonts w:ascii="Times New Roman" w:hAnsi="Times New Roman" w:cs="Times New Roman"/>
          <w:sz w:val="24"/>
          <w:szCs w:val="24"/>
        </w:rPr>
        <w:lastRenderedPageBreak/>
        <w:t xml:space="preserve">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w:t>
      </w:r>
      <w:r w:rsidR="009045F7">
        <w:rPr>
          <w:rFonts w:ascii="Times New Roman" w:hAnsi="Times New Roman" w:cs="Times New Roman"/>
          <w:i/>
          <w:sz w:val="24"/>
          <w:szCs w:val="24"/>
        </w:rPr>
        <w:t xml:space="preserve">+ Thetapower </w:t>
      </w:r>
      <w:r w:rsidR="00095EE7" w:rsidRPr="000C03D8">
        <w:rPr>
          <w:rFonts w:ascii="Times New Roman" w:hAnsi="Times New Roman" w:cs="Times New Roman"/>
          <w:i/>
          <w:sz w:val="24"/>
          <w:szCs w:val="24"/>
        </w:rPr>
        <w:t>und Tiefe der Elektrode</w:t>
      </w:r>
    </w:p>
    <w:p w:rsidR="00CB2B9C" w:rsidRPr="000C03D8" w:rsidRDefault="00412FA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43" type="#_x0000_t75" style="width:453pt;height:280.2pt">
            <v:imagedata r:id="rId21" o:title="Abbildung 14"/>
          </v:shape>
        </w:pict>
      </w:r>
    </w:p>
    <w:p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low-betaband oder im high-betaband in der Bedingung „nah“ größer ist als in der Bedingung „fern“. </w:t>
      </w:r>
      <w:r w:rsidR="005F128F" w:rsidRPr="000C03D8">
        <w:rPr>
          <w:rFonts w:ascii="Times New Roman" w:hAnsi="Times New Roman" w:cs="Times New Roman"/>
          <w:sz w:val="24"/>
          <w:szCs w:val="24"/>
        </w:rPr>
        <w:t>Sowohl für die low-B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Der Mittelwert der Differenzen für die low</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 xml:space="preserve">est für </w:t>
      </w:r>
      <w:r w:rsidR="006C5A05" w:rsidRPr="000C03D8">
        <w:rPr>
          <w:rFonts w:ascii="Times New Roman" w:hAnsi="Times New Roman" w:cs="Times New Roman"/>
          <w:sz w:val="24"/>
          <w:szCs w:val="24"/>
        </w:rPr>
        <w:lastRenderedPageBreak/>
        <w:t>abhängige Stichproben auf 5% Signif</w:t>
      </w:r>
      <w:r w:rsidR="005F128F" w:rsidRPr="000C03D8">
        <w:rPr>
          <w:rFonts w:ascii="Times New Roman" w:hAnsi="Times New Roman" w:cs="Times New Roman"/>
          <w:sz w:val="24"/>
          <w:szCs w:val="24"/>
        </w:rPr>
        <w:t>ikanzniveau ist für die low-Beta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Boxplots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Betaband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rsidR="002B2F2C" w:rsidRPr="000C03D8" w:rsidRDefault="002B2F2C"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412FA3" w:rsidRDefault="00412FA3" w:rsidP="00337758">
      <w:pPr>
        <w:spacing w:line="480" w:lineRule="auto"/>
        <w:jc w:val="both"/>
        <w:rPr>
          <w:rFonts w:ascii="Times New Roman" w:hAnsi="Times New Roman" w:cs="Times New Roman"/>
          <w:b/>
          <w:sz w:val="24"/>
          <w:szCs w:val="24"/>
        </w:rPr>
      </w:pPr>
    </w:p>
    <w:p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rsidR="002C2F0B" w:rsidRPr="000C03D8" w:rsidRDefault="002C2F0B"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Boxplots zum Vergleich der Betapower in der Bedingung „nah“ und der Bedingung „fern“ für das originale Powerspektrum ohne Abzug der aperiodischen Komponente</w:t>
      </w:r>
    </w:p>
    <w:p w:rsidR="002C2F0B" w:rsidRPr="000C03D8" w:rsidRDefault="00327F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5" type="#_x0000_t75" style="width:422.4pt;height:261.6pt">
            <v:imagedata r:id="rId22"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rsidR="00C43452" w:rsidRDefault="00C43452">
      <w:pPr>
        <w:rPr>
          <w:rFonts w:ascii="Times New Roman" w:eastAsiaTheme="majorEastAsia" w:hAnsi="Times New Roman" w:cs="Times New Roman"/>
          <w:b/>
          <w:sz w:val="32"/>
          <w:szCs w:val="32"/>
        </w:rPr>
      </w:pPr>
      <w:bookmarkStart w:id="29" w:name="_Toc102231177"/>
      <w:r>
        <w:rPr>
          <w:rFonts w:ascii="Times New Roman" w:hAnsi="Times New Roman" w:cs="Times New Roman"/>
          <w:b/>
        </w:rPr>
        <w:br w:type="page"/>
      </w:r>
    </w:p>
    <w:p w:rsidR="00103A37" w:rsidRPr="000C03D8" w:rsidRDefault="00103A37" w:rsidP="00337758">
      <w:pPr>
        <w:pStyle w:val="berschrift1"/>
        <w:spacing w:line="480" w:lineRule="auto"/>
        <w:jc w:val="center"/>
        <w:rPr>
          <w:rFonts w:ascii="Times New Roman" w:hAnsi="Times New Roman" w:cs="Times New Roman"/>
          <w:b/>
          <w:color w:val="auto"/>
        </w:rPr>
      </w:pPr>
      <w:r w:rsidRPr="000C03D8">
        <w:rPr>
          <w:rFonts w:ascii="Times New Roman" w:hAnsi="Times New Roman" w:cs="Times New Roman"/>
          <w:b/>
          <w:color w:val="auto"/>
        </w:rPr>
        <w:lastRenderedPageBreak/>
        <w:t>4. Diskussion</w:t>
      </w:r>
      <w:bookmarkEnd w:id="29"/>
    </w:p>
    <w:p w:rsidR="00630274" w:rsidRPr="000C03D8" w:rsidRDefault="00CE04C8"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Bei der Behandlung der neurodegenerativen Krankheit Morbus Parkinson sind durch immense Fortschritte in der Forschung der letzten Jahrzehnte gute Therapiemöglichkeiten </w:t>
      </w:r>
      <w:r w:rsidR="00421F7B">
        <w:rPr>
          <w:rFonts w:ascii="Times New Roman" w:hAnsi="Times New Roman" w:cs="Times New Roman"/>
          <w:sz w:val="24"/>
          <w:szCs w:val="24"/>
        </w:rPr>
        <w:t>entwickelt und etabliert worden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FD74C6">
        <w:rPr>
          <w:rFonts w:ascii="Times New Roman" w:hAnsi="Times New Roman" w:cs="Times New Roman"/>
          <w:sz w:val="24"/>
          <w:szCs w:val="24"/>
        </w:rPr>
        <w:t xml:space="preserve"> </w:t>
      </w:r>
      <w:r w:rsidR="00FD74C6">
        <w:rPr>
          <w:rFonts w:ascii="Times New Roman" w:hAnsi="Times New Roman" w:cs="Times New Roman"/>
          <w:sz w:val="24"/>
          <w:szCs w:val="24"/>
        </w:rPr>
        <w:fldChar w:fldCharType="begin"/>
      </w:r>
      <w:r w:rsidR="00FD74C6">
        <w:rPr>
          <w:rFonts w:ascii="Times New Roman" w:hAnsi="Times New Roman" w:cs="Times New Roman"/>
          <w:sz w:val="24"/>
          <w:szCs w:val="24"/>
        </w:rPr>
        <w:instrText xml:space="preserve"> ADDIN ZOTERO_ITEM CSL_CITATION {"citationID":"p0MKFpTi","properties":{"formattedCitation":"(Deuschl et al., 2006)","plainCitation":"(Deuschl et al., 2006)","noteIndex":0},"citationItems":[{"id":159,"uris":["http://zotero.org/users/local/AhaM3qLx/items/HAA5PMHW"],"itemData":{"id":159,"type":"article-journal","abstract":"BACKGROUND Neurostimulation of the subthalamic nucleus reduces levodopa-related motor complications in advanced Parkinson’s disease. We compared this treatment plus medication with medical management.\nMETHODS In this randomized-pairs trial, we enrolled 156 patients with advanced Parkinson’s disease and severe motor symptoms. The primary end points were the changes from baseline to six months in the quality of life, as assessed by the Parkinson’s Disease Questionnaire (PDQ-39), and the severity of symptoms without medication, according to the Unified Parkinson’s Disease Rating Scale, part III (UPDRS-III).\nRESULTS Pairwise comparisons showed that neurostimulation, as compared with medication alone, caused greater improvements from baseline to six months in the PDQ-39 (50 of 78 pairs, P=0.02) and the UPDRS-III (55 of 78, P&lt;0.001), with mean improvements of 9.5 and 19.6 points, respectively. Neurostimulation resulted in improvements of 24 to 38 percent in the PDQ-39 subscales for mobility, activities of daily living, emotional well-being, stigma, and bodily discomfort. Serious adverse events were more common with neurostimulation than with medication alone (13 percent vs. 4 percent, P&lt;0.04) and included a fatal intracerebral hemorrhage. The overall frequency of adverse events was higher in the medication group (64 percent vs. 50 percent, P=0.08).\nCONCLUSIONS In this six-month study of patients under 75 years of age with severe motor complications of Parkinson’s disease, neurostimulation of the subthalamic nucleus was more effective than medical management alone. (ClinicalTrials.gov number, NCT00196911.)","container-title":"n engl j med","language":"en","page":"13","source":"Zotero","title":"A Randomized Trial of Deep-Brain Stimulation for Parkinson's Disease","author":[{"family":"Deuschl","given":"Günther"},{"family":"Krack","given":"Paul"},{"family":"Bötzel","given":"Kai"},{"family":"Dillmann","given":"Ulrich"},{"family":"Gruber","given":"Doreen"},{"family":"Hilker","given":"Rüdiger"},{"family":"Koy","given":"Jan"},{"family":"Lorenz","given":"Delia"},{"family":"Mehdorn","given":"H Maximilian"},{"family":"Oertel","given":"Wolfgang"},{"family":"Reichmann","given":"Heinz"},{"family":"Schneider","given":"Gerd-Helge"},{"family":"Steude","given":"Ulrich"},{"family":"Tronnier","given":"Volker"},{"family":"Wolf","given":"Elisabeth"},{"family":"Voges","given":"Jürgen"}],"issued":{"date-parts":[["2006"]]}}}],"schema":"https://github.com/citation-style-language/schema/raw/master/csl-citation.json"} </w:instrText>
      </w:r>
      <w:r w:rsidR="00FD74C6">
        <w:rPr>
          <w:rFonts w:ascii="Times New Roman" w:hAnsi="Times New Roman" w:cs="Times New Roman"/>
          <w:sz w:val="24"/>
          <w:szCs w:val="24"/>
        </w:rPr>
        <w:fldChar w:fldCharType="separate"/>
      </w:r>
      <w:r w:rsidR="00FD74C6" w:rsidRPr="00FD74C6">
        <w:rPr>
          <w:rFonts w:ascii="Times New Roman" w:hAnsi="Times New Roman" w:cs="Times New Roman"/>
          <w:sz w:val="24"/>
        </w:rPr>
        <w:t>(Deuschl et al., 2006)</w:t>
      </w:r>
      <w:r w:rsidR="00FD74C6">
        <w:rPr>
          <w:rFonts w:ascii="Times New Roman" w:hAnsi="Times New Roman" w:cs="Times New Roman"/>
          <w:sz w:val="24"/>
          <w:szCs w:val="24"/>
        </w:rPr>
        <w:fldChar w:fldCharType="end"/>
      </w:r>
      <w:bookmarkStart w:id="30" w:name="_GoBack"/>
      <w:bookmarkEnd w:id="30"/>
      <w:r w:rsidRPr="000C03D8">
        <w:rPr>
          <w:rFonts w:ascii="Times New Roman" w:hAnsi="Times New Roman" w:cs="Times New Roman"/>
          <w:sz w:val="24"/>
          <w:szCs w:val="24"/>
        </w:rPr>
        <w: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{"citationID":"N0UDNqiR","properties":{"formattedCitation":"(Poewe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(Poewe et al., 2017)</w:t>
      </w:r>
      <w:r w:rsidR="0009709E">
        <w:rPr>
          <w:rFonts w:ascii="Times New Roman" w:hAnsi="Times New Roman" w:cs="Times New Roman"/>
          <w:sz w:val="24"/>
          <w:szCs w:val="24"/>
        </w:rPr>
        <w:fldChar w:fldCharType="end"/>
      </w:r>
      <w:r w:rsidR="00A51B3E" w:rsidRPr="000C03D8">
        <w:rPr>
          <w:rFonts w:ascii="Times New Roman" w:hAnsi="Times New Roman" w:cs="Times New Roman"/>
          <w:sz w:val="24"/>
          <w:szCs w:val="24"/>
        </w:rPr>
        <w:t>.</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dorsolaterale Bereich des STK 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omotorische Zentrum befindet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{"citationID":"OPPjxVqf","properties":{"formattedCitation":"(Verhagen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4D5968"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{"citationID":"RIG5Vd8t","properties":{"formattedCitation":"(Verhagen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1C7A6F"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das oszillatorische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helfen können</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{"citationID":"3OiBn8pC","properties":{"formattedCitation":"(Thompson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Gut nachgewiesene Zusammenhänge, die für solche Programme bereits verwendet werden, sind die erhöhte Spike-Aktivität und Betapower im STK</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{"citationID":"AFNKC0QI","properties":{"formattedCitation":"(Thompson et al., 2018; Zaidel et al., 2010)","plainCitation":"(Thompson et al., 2018; Zaidel et al., 2010)","noteIndex":0},"citationItems":[{"id":53,"uris":["http://zotero.org/users/local/AhaM3qLx/items/88CCW76M"],"itemData":{"id":53,"type":"article-journal","abstract":"OBJECTIVE 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 Zaidel et al., 2010)</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xml:space="preserve">.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9F71B9">
        <w:rPr>
          <w:rFonts w:ascii="Times New Roman" w:hAnsi="Times New Roman" w:cs="Times New Roman"/>
          <w:sz w:val="24"/>
          <w:szCs w:val="24"/>
        </w:rPr>
        <w:t xml:space="preserve"> neuronalen </w:t>
      </w:r>
      <w:r w:rsidR="005A5DA1">
        <w:rPr>
          <w:rFonts w:ascii="Times New Roman" w:hAnsi="Times New Roman" w:cs="Times New Roman"/>
          <w:sz w:val="24"/>
          <w:szCs w:val="24"/>
        </w:rPr>
        <w:t>Oszi</w:t>
      </w:r>
      <w:r w:rsidR="00CD34E5" w:rsidRPr="000C03D8">
        <w:rPr>
          <w:rFonts w:ascii="Times New Roman" w:hAnsi="Times New Roman" w:cs="Times New Roman"/>
          <w:sz w:val="24"/>
          <w:szCs w:val="24"/>
        </w:rPr>
        <w:t>llationen</w:t>
      </w:r>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rsidR="00473C73" w:rsidRPr="00473C73" w:rsidRDefault="00473C73" w:rsidP="00473C73">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4.</w:t>
      </w:r>
      <w:r w:rsidRPr="00473C73">
        <w:rPr>
          <w:rFonts w:ascii="Times New Roman" w:hAnsi="Times New Roman" w:cs="Times New Roman"/>
          <w:b/>
          <w:color w:val="auto"/>
          <w:sz w:val="28"/>
          <w:szCs w:val="28"/>
        </w:rPr>
        <w:t>1 RMS</w:t>
      </w:r>
      <w:r w:rsidR="00A0676A">
        <w:rPr>
          <w:rFonts w:ascii="Times New Roman" w:hAnsi="Times New Roman" w:cs="Times New Roman"/>
          <w:b/>
          <w:color w:val="auto"/>
          <w:sz w:val="28"/>
          <w:szCs w:val="28"/>
        </w:rPr>
        <w:t xml:space="preserve"> und Betapower</w:t>
      </w:r>
      <w:r w:rsidRPr="00473C73">
        <w:rPr>
          <w:rFonts w:ascii="Times New Roman" w:hAnsi="Times New Roman" w:cs="Times New Roman"/>
          <w:b/>
          <w:color w:val="auto"/>
          <w:sz w:val="28"/>
          <w:szCs w:val="28"/>
        </w:rPr>
        <w:t xml:space="preserve"> als Maß für die Nähe zur Zielposition</w:t>
      </w:r>
    </w:p>
    <w:p w:rsidR="00FE568A" w:rsidRPr="000C03D8" w:rsidRDefault="00F4057B"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{"citationID":"UFOvDanR","properties":{"formattedCitation":"(Thompson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8F1774" w:rsidRPr="000C03D8">
        <w:rPr>
          <w:rFonts w:ascii="Times New Roman" w:hAnsi="Times New Roman" w:cs="Times New Roman"/>
          <w:sz w:val="24"/>
          <w:szCs w:val="24"/>
        </w:rPr>
        <w:t xml:space="preserve">. Die Betapower wird genutzt, </w:t>
      </w:r>
      <w:r w:rsidR="001324D7" w:rsidRPr="000C03D8">
        <w:rPr>
          <w:rFonts w:ascii="Times New Roman" w:hAnsi="Times New Roman" w:cs="Times New Roman"/>
          <w:sz w:val="24"/>
          <w:szCs w:val="24"/>
        </w:rPr>
        <w:t>um die Nähe zum dorsolateralen Bereich des STK zu schätzen</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{"citationID":"9BGGIJQj","properties":{"formattedCitation":"(Thompson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1324D7" w:rsidRPr="000C03D8">
        <w:rPr>
          <w:rFonts w:ascii="Times New Roman" w:hAnsi="Times New Roman" w:cs="Times New Roman"/>
          <w:sz w:val="24"/>
          <w:szCs w:val="24"/>
        </w:rPr>
        <w:t xml:space="preserve">.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in der Nähe 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ßer als in weiter 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Betaband </w:t>
      </w:r>
      <w:r w:rsidR="00A82198" w:rsidRPr="000C03D8">
        <w:rPr>
          <w:rFonts w:ascii="Times New Roman" w:hAnsi="Times New Roman" w:cs="Times New Roman"/>
          <w:sz w:val="24"/>
          <w:szCs w:val="24"/>
        </w:rPr>
        <w:t>des LFP 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Die Tatsache, dass der RMS in der Nähe des Zielposition signifikant größer ist als in weiter Entfernung von der Zielposition, war zu erwarten, da diese Information während der Operation genutzt wird, um zu bestimmen, ob sich die Elektrode im STK befindet</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{"citationID":"MqI7U4H7","properties":{"formattedCitation":"(Thompson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 Dass die Betapower in der Nähe der Zielposition nicht signifikant größer ist als in weiter Entfernung von der Zielposition, ist unerwartet, da diese Information bereits gut nachgewiesen werden konnte und ebenfalls während der Operation genutzt wird, um die Nähe zum dorsolateralen Bereich zu schätzen</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{"citationID":"XjiFONzz","properties":{"formattedCitation":"(Thompson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w:t>
      </w:r>
    </w:p>
    <w:p w:rsidR="003F5D4B" w:rsidRPr="003F5D4B" w:rsidRDefault="003F5D4B" w:rsidP="003F5D4B">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4.2</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Aperiodischer Exponent</w:t>
      </w:r>
      <w:r w:rsidRPr="00473C73">
        <w:rPr>
          <w:rFonts w:ascii="Times New Roman" w:hAnsi="Times New Roman" w:cs="Times New Roman"/>
          <w:b/>
          <w:color w:val="auto"/>
          <w:sz w:val="28"/>
          <w:szCs w:val="28"/>
        </w:rPr>
        <w:t xml:space="preserve"> als Maß für die Nähe zur Zielposition</w:t>
      </w:r>
    </w:p>
    <w:p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lastRenderedPageBreak/>
        <w:fldChar w:fldCharType="begin"/>
      </w:r>
      <w:r w:rsidR="00FF519D">
        <w:rPr>
          <w:rFonts w:ascii="Times New Roman" w:hAnsi="Times New Roman" w:cs="Times New Roman"/>
          <w:sz w:val="24"/>
          <w:szCs w:val="24"/>
        </w:rPr>
        <w:instrText xml:space="preserve"> ADDIN ZOTERO_ITEM CSL_CITATION {"citationID":"G5SO7a6u","properties":{"formattedCitation":"(Donoghue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(Donoghue et al., 2020)</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{"citationID":"MBzJ9B99","properties":{"formattedCitation":"(Gerster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FF519D">
        <w:rPr>
          <w:rFonts w:ascii="Cambria Math" w:hAnsi="Cambria Math" w:cs="Cambria Math"/>
          <w:sz w:val="24"/>
          <w:szCs w:val="24"/>
        </w:rPr>
        <w:instrText>∝</w:instrText>
      </w:r>
      <w:r w:rsidR="00FF519D">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(Gerster et al., 2022)</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rsidR="000823D8" w:rsidRPr="000823D8" w:rsidRDefault="000823D8" w:rsidP="000823D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4.3</w:t>
      </w:r>
      <w:r w:rsidRPr="00473C73">
        <w:rPr>
          <w:rFonts w:ascii="Times New Roman" w:hAnsi="Times New Roman" w:cs="Times New Roman"/>
          <w:b/>
          <w:color w:val="auto"/>
          <w:sz w:val="28"/>
          <w:szCs w:val="28"/>
        </w:rPr>
        <w:t xml:space="preserve"> </w:t>
      </w:r>
      <w:r w:rsidR="00EF4228">
        <w:rPr>
          <w:rFonts w:ascii="Times New Roman" w:hAnsi="Times New Roman" w:cs="Times New Roman"/>
          <w:b/>
          <w:color w:val="auto"/>
          <w:sz w:val="28"/>
          <w:szCs w:val="28"/>
        </w:rPr>
        <w:t xml:space="preserve">Explorative </w:t>
      </w:r>
      <w:r>
        <w:rPr>
          <w:rFonts w:ascii="Times New Roman" w:hAnsi="Times New Roman" w:cs="Times New Roman"/>
          <w:b/>
          <w:color w:val="auto"/>
          <w:sz w:val="28"/>
          <w:szCs w:val="28"/>
        </w:rPr>
        <w:t>Zusammenhänge zwischen elektrophysiologischen Maßen und Tiefe der Elektrode</w:t>
      </w:r>
    </w:p>
    <w:p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Bodeneffeckten zustande gekommen </w:t>
      </w:r>
      <w:r w:rsidR="00F31DD7" w:rsidRPr="000C03D8">
        <w:rPr>
          <w:rFonts w:ascii="Times New Roman" w:hAnsi="Times New Roman" w:cs="Times New Roman"/>
          <w:sz w:val="24"/>
          <w:szCs w:val="24"/>
        </w:rPr>
        <w:lastRenderedPageBreak/>
        <w:t>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Bei einer zusätzlichen Differenzierung der Betapower in low-Betapower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Betaband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vom FOOOF-Algorithmus geschätzt wurde. Bei Verwendung des originalen Powerspektrums konnte das erwartete Ergebnis gefunden werden, dass die Power im Betaband des LFP in der Nähe der Zielposition größer ist als in weiter Entfernung von der Zielposition. </w:t>
      </w:r>
    </w:p>
    <w:p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EF4228" w:rsidRPr="00EF4228" w:rsidRDefault="00EF4228" w:rsidP="00EF422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4.4</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Limitationen und Stärken</w:t>
      </w:r>
    </w:p>
    <w:p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 xml:space="preserve">Das bedeutet, dass durch einen </w:t>
      </w:r>
      <w:r w:rsidR="00E00DBC" w:rsidRPr="000C03D8">
        <w:rPr>
          <w:rFonts w:ascii="Times New Roman" w:hAnsi="Times New Roman" w:cs="Times New Roman"/>
          <w:sz w:val="24"/>
          <w:szCs w:val="24"/>
        </w:rPr>
        <w:lastRenderedPageBreak/>
        <w:t>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16</w:t>
      </w:r>
    </w:p>
    <w:p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Pr="000C03D8" w:rsidRDefault="00C43452"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6" type="#_x0000_t75" style="width:331.2pt;height:204.6pt">
            <v:imagedata r:id="rId23" o:title="Abbildung 16"/>
          </v:shape>
        </w:pict>
      </w:r>
    </w:p>
    <w:p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w:t>
      </w:r>
      <w:r w:rsidR="00BF2717">
        <w:rPr>
          <w:rFonts w:ascii="Times New Roman" w:hAnsi="Times New Roman" w:cs="Times New Roman"/>
          <w:sz w:val="24"/>
          <w:szCs w:val="24"/>
        </w:rPr>
        <w:t>,</w:t>
      </w:r>
      <w:r w:rsidR="008072CF" w:rsidRPr="000C03D8">
        <w:rPr>
          <w:rFonts w:ascii="Times New Roman" w:hAnsi="Times New Roman" w:cs="Times New Roman"/>
          <w:sz w:val="24"/>
          <w:szCs w:val="24"/>
        </w:rPr>
        <w:t xml:space="preserve">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17</w: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Boxplots zum Vergleich der Betapower in der Bedingung „nah“ und der Bedingung „fern“ ohne Bereinigung der Datensätze, die eine schlechte Schätzung gezeigt haben</w:t>
      </w:r>
    </w:p>
    <w:p w:rsidR="006A7F34" w:rsidRPr="000C03D8" w:rsidRDefault="00C43452"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7" type="#_x0000_t75" style="width:455.4pt;height:282pt">
            <v:imagedata r:id="rId24" o:title="Abbildung 17"/>
          </v:shape>
        </w:pic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t>gezeigt, die</w:t>
      </w:r>
      <w:r w:rsidRPr="000C03D8">
        <w:rPr>
          <w:rFonts w:ascii="Times New Roman" w:hAnsi="Times New Roman" w:cs="Times New Roman"/>
          <w:sz w:val="24"/>
          <w:szCs w:val="24"/>
        </w:rPr>
        <w:t xml:space="preserve"> ausgewählt werden, wenn vorher nicht die Kanäle entfernt werden, die eine schlechte Passung haben. </w:t>
      </w: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18</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6A7F34" w:rsidRPr="000C03D8" w:rsidRDefault="00F77CBB"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8" type="#_x0000_t75" style="width:451.8pt;height:197.4pt">
            <v:imagedata r:id="rId25" o:title="Abbildung 18"/>
          </v:shape>
        </w:pict>
      </w:r>
    </w:p>
    <w:p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9E6828" w:rsidRPr="000C03D8" w:rsidRDefault="00F77CBB"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9" type="#_x0000_t75" style="width:459pt;height:202.8pt">
            <v:imagedata r:id="rId26" o:title="Abbildung 19"/>
          </v:shape>
        </w:pict>
      </w:r>
    </w:p>
    <w:p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w:t>
      </w:r>
      <w:r w:rsidR="005643EF" w:rsidRPr="000C03D8">
        <w:rPr>
          <w:rFonts w:ascii="Times New Roman" w:hAnsi="Times New Roman" w:cs="Times New Roman"/>
          <w:sz w:val="24"/>
          <w:szCs w:val="24"/>
        </w:rPr>
        <w:lastRenderedPageBreak/>
        <w:t>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Außerdem konnte </w:t>
      </w:r>
      <w:r w:rsidRPr="000C03D8">
        <w:rPr>
          <w:rFonts w:ascii="Times New Roman" w:hAnsi="Times New Roman" w:cs="Times New Roman"/>
          <w:sz w:val="24"/>
          <w:szCs w:val="24"/>
        </w:rPr>
        <w:t>ein großer Teil der Methodik und Auswertung automatisiert und in mehreren Skripten festgehalten werden</w:t>
      </w:r>
      <w:r w:rsidR="00257001" w:rsidRPr="000C03D8">
        <w:rPr>
          <w:rFonts w:ascii="Times New Roman" w:hAnsi="Times New Roman" w:cs="Times New Roman"/>
          <w:sz w:val="24"/>
          <w:szCs w:val="24"/>
        </w:rPr>
        <w:t xml:space="preserve"> konnte</w:t>
      </w:r>
      <w:r w:rsidRPr="000C03D8">
        <w:rPr>
          <w:rFonts w:ascii="Times New Roman" w:hAnsi="Times New Roman" w:cs="Times New Roman"/>
          <w:sz w:val="24"/>
          <w:szCs w:val="24"/>
        </w:rPr>
        <w:t>. Dies bildet eine gute Grundlage mit einem neuen, ähnlich großen 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w:t>
      </w:r>
      <w:r w:rsidR="0000363B" w:rsidRPr="000C03D8">
        <w:rPr>
          <w:rFonts w:ascii="Times New Roman" w:hAnsi="Times New Roman" w:cs="Times New Roman"/>
          <w:sz w:val="24"/>
          <w:szCs w:val="24"/>
        </w:rPr>
        <w:lastRenderedPageBreak/>
        <w:t xml:space="preserve">menhang sichtbar gewesen ist, liegt es nahe, dass mit einem funktionierenden FOOOF-Algorithmus </w:t>
      </w:r>
      <w:r w:rsidR="00CC6B29" w:rsidRPr="000C03D8">
        <w:rPr>
          <w:rFonts w:ascii="Times New Roman" w:hAnsi="Times New Roman" w:cs="Times New Roman"/>
          <w:sz w:val="24"/>
          <w:szCs w:val="24"/>
        </w:rPr>
        <w:t xml:space="preserve">vielleicht </w:t>
      </w:r>
      <w:r w:rsidR="003C64AC" w:rsidRPr="000C03D8">
        <w:rPr>
          <w:rFonts w:ascii="Times New Roman" w:hAnsi="Times New Roman" w:cs="Times New Roman"/>
          <w:sz w:val="24"/>
          <w:szCs w:val="24"/>
        </w:rPr>
        <w:t>mehr signifikante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ein möglicher Einflussfaktor. </w:t>
      </w:r>
    </w:p>
    <w:p w:rsidR="00F77CBB" w:rsidRDefault="00F77CBB">
      <w:pPr>
        <w:rPr>
          <w:rFonts w:ascii="Times New Roman" w:eastAsiaTheme="majorEastAsia" w:hAnsi="Times New Roman" w:cs="Times New Roman"/>
          <w:b/>
          <w:sz w:val="32"/>
          <w:szCs w:val="32"/>
        </w:rPr>
      </w:pPr>
      <w:bookmarkStart w:id="31" w:name="_Toc102231178"/>
      <w:r>
        <w:rPr>
          <w:rFonts w:ascii="Times New Roman" w:hAnsi="Times New Roman" w:cs="Times New Roman"/>
          <w:b/>
        </w:rPr>
        <w:br w:type="page"/>
      </w:r>
    </w:p>
    <w:p w:rsidR="003B4106" w:rsidRPr="000C03D8" w:rsidRDefault="003B4106" w:rsidP="00337758">
      <w:pPr>
        <w:pStyle w:val="berschrift1"/>
        <w:spacing w:line="480" w:lineRule="auto"/>
        <w:jc w:val="center"/>
        <w:rPr>
          <w:rFonts w:ascii="Times New Roman" w:hAnsi="Times New Roman" w:cs="Times New Roman"/>
          <w:b/>
          <w:color w:val="auto"/>
        </w:rPr>
      </w:pPr>
      <w:r w:rsidRPr="000C03D8">
        <w:rPr>
          <w:rFonts w:ascii="Times New Roman" w:hAnsi="Times New Roman" w:cs="Times New Roman"/>
          <w:b/>
          <w:color w:val="auto"/>
        </w:rPr>
        <w:lastRenderedPageBreak/>
        <w:t>Fazit</w:t>
      </w:r>
      <w:bookmarkEnd w:id="31"/>
    </w:p>
    <w:p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rsidR="00F9011C" w:rsidRPr="000C03D8" w:rsidRDefault="00BD0535" w:rsidP="00337758">
      <w:pPr>
        <w:pStyle w:val="berschrift1"/>
        <w:spacing w:line="480" w:lineRule="auto"/>
        <w:jc w:val="center"/>
        <w:rPr>
          <w:rFonts w:ascii="Times New Roman" w:hAnsi="Times New Roman" w:cs="Times New Roman"/>
          <w:b/>
          <w:color w:val="auto"/>
        </w:rPr>
      </w:pPr>
      <w:bookmarkStart w:id="32" w:name="_Toc10223117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verzeichnis</w:t>
      </w:r>
      <w:bookmarkEnd w:id="32"/>
    </w:p>
    <w:p w:rsidR="00FD74C6" w:rsidRPr="00FD74C6" w:rsidRDefault="00D26C2C" w:rsidP="00FD74C6">
      <w:pPr>
        <w:pStyle w:val="Literaturverzeichnis"/>
        <w:rPr>
          <w:lang w:val="en-US"/>
        </w:rPr>
      </w:pPr>
      <w:r w:rsidRPr="0019788E">
        <w:rPr>
          <w:lang w:val="en-US"/>
        </w:rPr>
        <w:fldChar w:fldCharType="begin"/>
      </w:r>
      <w:r w:rsidR="00D556BB" w:rsidRPr="00404122">
        <w:rPr>
          <w:lang w:val="en-US"/>
        </w:rPr>
        <w:instrText xml:space="preserve"> ADDIN ZOTERO_BIBL {"uncited":[],"omitted":[],"custom":[]} CSL_BIBLIOGRAPHY </w:instrText>
      </w:r>
      <w:r w:rsidRPr="0019788E">
        <w:rPr>
          <w:lang w:val="en-US"/>
        </w:rPr>
        <w:fldChar w:fldCharType="separate"/>
      </w:r>
      <w:r w:rsidR="00FD74C6" w:rsidRPr="00FD74C6">
        <w:rPr>
          <w:lang w:val="en-US"/>
        </w:rPr>
        <w:t xml:space="preserve">Abosch, A., Timmermann, L., Bartley, S., Rietkerk, H. G., Whiting, D., Connolly, P. J., Lanctin, D., &amp; Hariz, M. I. (2013). An International Survey of Deep Brain Stimulation Procedural Steps. </w:t>
      </w:r>
      <w:r w:rsidR="00FD74C6" w:rsidRPr="00FD74C6">
        <w:rPr>
          <w:i/>
          <w:iCs/>
          <w:lang w:val="en-US"/>
        </w:rPr>
        <w:t>Stereotactic and Functional Neurosurgery</w:t>
      </w:r>
      <w:r w:rsidR="00FD74C6" w:rsidRPr="00FD74C6">
        <w:rPr>
          <w:lang w:val="en-US"/>
        </w:rPr>
        <w:t xml:space="preserve">, </w:t>
      </w:r>
      <w:r w:rsidR="00FD74C6" w:rsidRPr="00FD74C6">
        <w:rPr>
          <w:i/>
          <w:iCs/>
          <w:lang w:val="en-US"/>
        </w:rPr>
        <w:t>91</w:t>
      </w:r>
      <w:r w:rsidR="00FD74C6" w:rsidRPr="00FD74C6">
        <w:rPr>
          <w:lang w:val="en-US"/>
        </w:rPr>
        <w:t>(1), 1–11. https://doi.org/10.1159/000343207</w:t>
      </w:r>
    </w:p>
    <w:p w:rsidR="00FD74C6" w:rsidRPr="00FD74C6" w:rsidRDefault="00FD74C6" w:rsidP="00FD74C6">
      <w:pPr>
        <w:pStyle w:val="Literaturverzeichnis"/>
        <w:rPr>
          <w:lang w:val="en-US"/>
        </w:rPr>
      </w:pPr>
      <w:r w:rsidRPr="00FD74C6">
        <w:rPr>
          <w:lang w:val="en-US"/>
        </w:rPr>
        <w:t xml:space="preserve">Balestrino, R., &amp; Schapira, A. H. V. (2020). Parkinson disease. </w:t>
      </w:r>
      <w:r w:rsidRPr="00FD74C6">
        <w:rPr>
          <w:i/>
          <w:iCs/>
          <w:lang w:val="en-US"/>
        </w:rPr>
        <w:t>European Journal of Neurology</w:t>
      </w:r>
      <w:r w:rsidRPr="00FD74C6">
        <w:rPr>
          <w:lang w:val="en-US"/>
        </w:rPr>
        <w:t xml:space="preserve">, </w:t>
      </w:r>
      <w:r w:rsidRPr="00FD74C6">
        <w:rPr>
          <w:i/>
          <w:iCs/>
          <w:lang w:val="en-US"/>
        </w:rPr>
        <w:t>27</w:t>
      </w:r>
      <w:r w:rsidRPr="00FD74C6">
        <w:rPr>
          <w:lang w:val="en-US"/>
        </w:rPr>
        <w:t>(1), 27–42. https://doi.org/10.1111/ene.14108</w:t>
      </w:r>
    </w:p>
    <w:p w:rsidR="00FD74C6" w:rsidRPr="00FD74C6" w:rsidRDefault="00FD74C6" w:rsidP="00FD74C6">
      <w:pPr>
        <w:pStyle w:val="Literaturverzeichnis"/>
        <w:rPr>
          <w:lang w:val="en-US"/>
        </w:rPr>
      </w:pPr>
      <w:r>
        <w:t xml:space="preserve">Bates, D., Mächler, M., Bolker, B., &amp; Walker, S. (2015). </w:t>
      </w:r>
      <w:r w:rsidRPr="00FD74C6">
        <w:rPr>
          <w:lang w:val="en-US"/>
        </w:rPr>
        <w:t xml:space="preserve">Fitting Linear Mixed-Effects Models Using </w:t>
      </w:r>
      <w:r w:rsidRPr="00FD74C6">
        <w:rPr>
          <w:b/>
          <w:bCs/>
          <w:lang w:val="en-US"/>
        </w:rPr>
        <w:t>lme4</w:t>
      </w:r>
      <w:r w:rsidRPr="00FD74C6">
        <w:rPr>
          <w:lang w:val="en-US"/>
        </w:rPr>
        <w:t xml:space="preserve">. </w:t>
      </w:r>
      <w:r w:rsidRPr="00FD74C6">
        <w:rPr>
          <w:i/>
          <w:iCs/>
          <w:lang w:val="en-US"/>
        </w:rPr>
        <w:t>Journal of Statistical Software</w:t>
      </w:r>
      <w:r w:rsidRPr="00FD74C6">
        <w:rPr>
          <w:lang w:val="en-US"/>
        </w:rPr>
        <w:t xml:space="preserve">, </w:t>
      </w:r>
      <w:r w:rsidRPr="00FD74C6">
        <w:rPr>
          <w:i/>
          <w:iCs/>
          <w:lang w:val="en-US"/>
        </w:rPr>
        <w:t>67</w:t>
      </w:r>
      <w:r w:rsidRPr="00FD74C6">
        <w:rPr>
          <w:lang w:val="en-US"/>
        </w:rPr>
        <w:t>(1). https://doi.org/10.18637/jss.v067.i01</w:t>
      </w:r>
    </w:p>
    <w:p w:rsidR="00FD74C6" w:rsidRPr="00FD74C6" w:rsidRDefault="00FD74C6" w:rsidP="00FD74C6">
      <w:pPr>
        <w:pStyle w:val="Literaturverzeichnis"/>
        <w:rPr>
          <w:lang w:val="en-US"/>
        </w:rPr>
      </w:pPr>
      <w:r w:rsidRPr="00FD74C6">
        <w:rPr>
          <w:lang w:val="en-US"/>
        </w:rPr>
        <w:t xml:space="preserve">Benabid, A. L., Chabardes, S., Mitrofanis, J., &amp; Pollak, P. (2009). </w:t>
      </w:r>
      <w:r w:rsidRPr="00FD74C6">
        <w:rPr>
          <w:i/>
          <w:iCs/>
          <w:lang w:val="en-US"/>
        </w:rPr>
        <w:t>Deep brain stimulation of the subthalamic nucleus for the treatment of Parkinson’s disease</w:t>
      </w:r>
      <w:r w:rsidRPr="00FD74C6">
        <w:rPr>
          <w:lang w:val="en-US"/>
        </w:rPr>
        <w:t xml:space="preserve">. </w:t>
      </w:r>
      <w:r w:rsidRPr="00FD74C6">
        <w:rPr>
          <w:i/>
          <w:iCs/>
          <w:lang w:val="en-US"/>
        </w:rPr>
        <w:t>8</w:t>
      </w:r>
      <w:r w:rsidRPr="00FD74C6">
        <w:rPr>
          <w:lang w:val="en-US"/>
        </w:rPr>
        <w:t>, 15.</w:t>
      </w:r>
    </w:p>
    <w:p w:rsidR="00FD74C6" w:rsidRPr="00FD74C6" w:rsidRDefault="00FD74C6" w:rsidP="00FD74C6">
      <w:pPr>
        <w:pStyle w:val="Literaturverzeichnis"/>
        <w:rPr>
          <w:lang w:val="en-US"/>
        </w:rPr>
      </w:pPr>
      <w:r w:rsidRPr="00FD74C6">
        <w:rPr>
          <w:lang w:val="en-US"/>
        </w:rPr>
        <w:t xml:space="preserve">Benabid A., Pollak P., Louveau A., Henry S., &amp; de Rougmont J. (1987). Combined (thalamotomy and stimulation) stereotactic surgery of the VIM thalamic nucleus for bilateral Parkinson disease. </w:t>
      </w:r>
      <w:r w:rsidRPr="00FD74C6">
        <w:rPr>
          <w:i/>
          <w:iCs/>
          <w:lang w:val="en-US"/>
        </w:rPr>
        <w:t>Stereotactic and Functional Neurosurgery</w:t>
      </w:r>
      <w:r w:rsidRPr="00FD74C6">
        <w:rPr>
          <w:lang w:val="en-US"/>
        </w:rPr>
        <w:t xml:space="preserve">, </w:t>
      </w:r>
      <w:r w:rsidRPr="00FD74C6">
        <w:rPr>
          <w:i/>
          <w:iCs/>
          <w:lang w:val="en-US"/>
        </w:rPr>
        <w:t>50</w:t>
      </w:r>
      <w:r w:rsidRPr="00FD74C6">
        <w:rPr>
          <w:lang w:val="en-US"/>
        </w:rPr>
        <w:t>(1–6), 344–346. https://doi.org/10.1159/000100803</w:t>
      </w:r>
    </w:p>
    <w:p w:rsidR="00FD74C6" w:rsidRPr="00FD74C6" w:rsidRDefault="00FD74C6" w:rsidP="00FD74C6">
      <w:pPr>
        <w:pStyle w:val="Literaturverzeichnis"/>
        <w:rPr>
          <w:lang w:val="en-US"/>
        </w:rPr>
      </w:pPr>
      <w:r w:rsidRPr="00FD74C6">
        <w:rPr>
          <w:lang w:val="en-US"/>
        </w:rPr>
        <w:t xml:space="preserve">Bloem, B. R., Okun, M. S., &amp; Klein, C. (2021). Parkinson’s disease. </w:t>
      </w:r>
      <w:r w:rsidRPr="00FD74C6">
        <w:rPr>
          <w:i/>
          <w:iCs/>
          <w:lang w:val="en-US"/>
        </w:rPr>
        <w:t>The Lancet</w:t>
      </w:r>
      <w:r w:rsidRPr="00FD74C6">
        <w:rPr>
          <w:lang w:val="en-US"/>
        </w:rPr>
        <w:t xml:space="preserve">, </w:t>
      </w:r>
      <w:r w:rsidRPr="00FD74C6">
        <w:rPr>
          <w:i/>
          <w:iCs/>
          <w:lang w:val="en-US"/>
        </w:rPr>
        <w:t>397</w:t>
      </w:r>
      <w:r w:rsidRPr="00FD74C6">
        <w:rPr>
          <w:lang w:val="en-US"/>
        </w:rPr>
        <w:t>(10291), 2284–2303. https://doi.org/10.1016/S0140-6736(21)00218-X</w:t>
      </w:r>
    </w:p>
    <w:p w:rsidR="00FD74C6" w:rsidRPr="00FD74C6" w:rsidRDefault="00FD74C6" w:rsidP="00FD74C6">
      <w:pPr>
        <w:pStyle w:val="Literaturverzeichnis"/>
        <w:rPr>
          <w:lang w:val="en-US"/>
        </w:rPr>
      </w:pPr>
      <w:r w:rsidRPr="00FD74C6">
        <w:rPr>
          <w:lang w:val="en-US"/>
        </w:rPr>
        <w:t xml:space="preserve">Bologna, M., Guerra, A., Paparella, G., Giordo, L., Alunni Fegatelli, D., Vestri, A. R., Rothwell, J. C., &amp; Berardelli, A. (2018). Neurophysiological correlates of bradykinesia in Parkinson’s disease. </w:t>
      </w:r>
      <w:r w:rsidRPr="00FD74C6">
        <w:rPr>
          <w:i/>
          <w:iCs/>
          <w:lang w:val="en-US"/>
        </w:rPr>
        <w:t>Brain</w:t>
      </w:r>
      <w:r w:rsidRPr="00FD74C6">
        <w:rPr>
          <w:lang w:val="en-US"/>
        </w:rPr>
        <w:t xml:space="preserve">, </w:t>
      </w:r>
      <w:r w:rsidRPr="00FD74C6">
        <w:rPr>
          <w:i/>
          <w:iCs/>
          <w:lang w:val="en-US"/>
        </w:rPr>
        <w:t>141</w:t>
      </w:r>
      <w:r w:rsidRPr="00FD74C6">
        <w:rPr>
          <w:lang w:val="en-US"/>
        </w:rPr>
        <w:t>(8), 2432–2444. https://doi.org/10.1093/brain/awy155</w:t>
      </w:r>
    </w:p>
    <w:p w:rsidR="00FD74C6" w:rsidRPr="00FD74C6" w:rsidRDefault="00FD74C6" w:rsidP="00FD74C6">
      <w:pPr>
        <w:pStyle w:val="Literaturverzeichnis"/>
        <w:rPr>
          <w:lang w:val="en-US"/>
        </w:rPr>
      </w:pPr>
      <w:r>
        <w:t xml:space="preserve">Buzsáki, G., Anastassiou, C. A., &amp; Koch, C. (2012). </w:t>
      </w:r>
      <w:r w:rsidRPr="00FD74C6">
        <w:rPr>
          <w:lang w:val="en-US"/>
        </w:rPr>
        <w:t xml:space="preserve">The origin of extracellular fields and currents—EEG, ECoG, LFP and spikes. </w:t>
      </w:r>
      <w:r w:rsidRPr="00FD74C6">
        <w:rPr>
          <w:i/>
          <w:iCs/>
          <w:lang w:val="en-US"/>
        </w:rPr>
        <w:t>Nature Reviews Neuroscience</w:t>
      </w:r>
      <w:r w:rsidRPr="00FD74C6">
        <w:rPr>
          <w:lang w:val="en-US"/>
        </w:rPr>
        <w:t xml:space="preserve">, </w:t>
      </w:r>
      <w:r w:rsidRPr="00FD74C6">
        <w:rPr>
          <w:i/>
          <w:iCs/>
          <w:lang w:val="en-US"/>
        </w:rPr>
        <w:t>13</w:t>
      </w:r>
      <w:r w:rsidRPr="00FD74C6">
        <w:rPr>
          <w:lang w:val="en-US"/>
        </w:rPr>
        <w:t>(6), 407–420. https://doi.org/10.1038/nrn3241</w:t>
      </w:r>
    </w:p>
    <w:p w:rsidR="00FD74C6" w:rsidRPr="00FD74C6" w:rsidRDefault="00FD74C6" w:rsidP="00FD74C6">
      <w:pPr>
        <w:pStyle w:val="Literaturverzeichnis"/>
        <w:rPr>
          <w:lang w:val="en-US"/>
        </w:rPr>
      </w:pPr>
      <w:r w:rsidRPr="00FD74C6">
        <w:rPr>
          <w:lang w:val="en-US"/>
        </w:rPr>
        <w:t xml:space="preserve">Chaudhuri, K. R., &amp; Naidu, Y. (2008). Early Parkinson’s disease and non-motor issues. </w:t>
      </w:r>
      <w:r w:rsidRPr="00FD74C6">
        <w:rPr>
          <w:i/>
          <w:iCs/>
          <w:lang w:val="en-US"/>
        </w:rPr>
        <w:t>Journal of Neurology</w:t>
      </w:r>
      <w:r w:rsidRPr="00FD74C6">
        <w:rPr>
          <w:lang w:val="en-US"/>
        </w:rPr>
        <w:t xml:space="preserve">, </w:t>
      </w:r>
      <w:r w:rsidRPr="00FD74C6">
        <w:rPr>
          <w:i/>
          <w:iCs/>
          <w:lang w:val="en-US"/>
        </w:rPr>
        <w:t>255</w:t>
      </w:r>
      <w:r w:rsidRPr="00FD74C6">
        <w:rPr>
          <w:lang w:val="en-US"/>
        </w:rPr>
        <w:t>(S5), 33–38. https://doi.org/10.1007/s00415-008-5006-1</w:t>
      </w:r>
    </w:p>
    <w:p w:rsidR="00FD74C6" w:rsidRPr="00FD74C6" w:rsidRDefault="00FD74C6" w:rsidP="00FD74C6">
      <w:pPr>
        <w:pStyle w:val="Literaturverzeichnis"/>
        <w:rPr>
          <w:lang w:val="en-US"/>
        </w:rPr>
      </w:pPr>
      <w:r w:rsidRPr="00FD74C6">
        <w:rPr>
          <w:lang w:val="en-US"/>
        </w:rPr>
        <w:t xml:space="preserve">Chaudhuri, K. R., Prieto-Jurcynska, C., Naidu, Y., Mitra, T., Frades-Payo, B., Tluk, S., Ruessmann, A., Odin, P., Macphee, G., Stocchi, F., Ondo, W., Sethi, K., Schapira, A. H. V., Castrillo, J. C. M., &amp; </w:t>
      </w:r>
      <w:r w:rsidRPr="00FD74C6">
        <w:rPr>
          <w:lang w:val="en-US"/>
        </w:rPr>
        <w:lastRenderedPageBreak/>
        <w:t xml:space="preserve">Martinez-Martin, P. (2010). The nondeclaration of nonmotor symptoms of Parkinson’s disease to health care professionals: An international study using the nonmotor symptoms questionnaire. </w:t>
      </w:r>
      <w:r w:rsidRPr="00FD74C6">
        <w:rPr>
          <w:i/>
          <w:iCs/>
          <w:lang w:val="en-US"/>
        </w:rPr>
        <w:t>Movement Disorders</w:t>
      </w:r>
      <w:r w:rsidRPr="00FD74C6">
        <w:rPr>
          <w:lang w:val="en-US"/>
        </w:rPr>
        <w:t xml:space="preserve">, </w:t>
      </w:r>
      <w:r w:rsidRPr="00FD74C6">
        <w:rPr>
          <w:i/>
          <w:iCs/>
          <w:lang w:val="en-US"/>
        </w:rPr>
        <w:t>25</w:t>
      </w:r>
      <w:r w:rsidRPr="00FD74C6">
        <w:rPr>
          <w:lang w:val="en-US"/>
        </w:rPr>
        <w:t>(6), 704–709. https://doi.org/10.1002/mds.22868</w:t>
      </w:r>
    </w:p>
    <w:p w:rsidR="00FD74C6" w:rsidRPr="00FD74C6" w:rsidRDefault="00FD74C6" w:rsidP="00FD74C6">
      <w:pPr>
        <w:pStyle w:val="Literaturverzeichnis"/>
        <w:rPr>
          <w:lang w:val="en-US"/>
        </w:rPr>
      </w:pPr>
      <w:r w:rsidRPr="00FD74C6">
        <w:rPr>
          <w:lang w:val="en-US"/>
        </w:rPr>
        <w:t xml:space="preserve">Chaudhuri, K. R., &amp; Schapira, A. H. (2009). Non-motor symptoms of Parkinson’s disease: Dopaminergic pathophysiology and treatment. </w:t>
      </w:r>
      <w:r w:rsidRPr="00FD74C6">
        <w:rPr>
          <w:i/>
          <w:iCs/>
          <w:lang w:val="en-US"/>
        </w:rPr>
        <w:t>The Lancet Neurology</w:t>
      </w:r>
      <w:r w:rsidRPr="00FD74C6">
        <w:rPr>
          <w:lang w:val="en-US"/>
        </w:rPr>
        <w:t xml:space="preserve">, </w:t>
      </w:r>
      <w:r w:rsidRPr="00FD74C6">
        <w:rPr>
          <w:i/>
          <w:iCs/>
          <w:lang w:val="en-US"/>
        </w:rPr>
        <w:t>8</w:t>
      </w:r>
      <w:r w:rsidRPr="00FD74C6">
        <w:rPr>
          <w:lang w:val="en-US"/>
        </w:rPr>
        <w:t>(5), 464–474. https://doi.org/10.1016/S1474-4422(09)70068-7</w:t>
      </w:r>
    </w:p>
    <w:p w:rsidR="00FD74C6" w:rsidRPr="00FD74C6" w:rsidRDefault="00FD74C6" w:rsidP="00FD74C6">
      <w:pPr>
        <w:pStyle w:val="Literaturverzeichnis"/>
        <w:rPr>
          <w:lang w:val="en-US"/>
        </w:rPr>
      </w:pPr>
      <w:r w:rsidRPr="00FD74C6">
        <w:rPr>
          <w:lang w:val="en-US"/>
        </w:rPr>
        <w:t xml:space="preserve">Cohen, M. X. (2020). </w:t>
      </w:r>
      <w:r w:rsidRPr="00FD74C6">
        <w:rPr>
          <w:i/>
          <w:iCs/>
          <w:lang w:val="en-US"/>
        </w:rPr>
        <w:t>A data-driven method to identify frequency boundaries in multichannel electrophysiology data</w:t>
      </w:r>
      <w:r w:rsidRPr="00FD74C6">
        <w:rPr>
          <w:lang w:val="en-US"/>
        </w:rPr>
        <w:t xml:space="preserve"> [Preprint]. Neuroscience. https://doi.org/10.1101/2020.07.09.195784</w:t>
      </w:r>
    </w:p>
    <w:p w:rsidR="00FD74C6" w:rsidRPr="00FD74C6" w:rsidRDefault="00FD74C6" w:rsidP="00FD74C6">
      <w:pPr>
        <w:pStyle w:val="Literaturverzeichnis"/>
        <w:rPr>
          <w:lang w:val="en-US"/>
        </w:rPr>
      </w:pPr>
      <w:r w:rsidRPr="00FD74C6">
        <w:rPr>
          <w:lang w:val="en-US"/>
        </w:rPr>
        <w:t xml:space="preserve">Cole, S. R., van der Meij, R., Peterson, E. J., de Hemptinne, C., Starr, P. A., &amp; Voytek, B. (2017). Nonsinusoidal Beta Oscillations Reflect Cortical Pathophysiology in Parkinson’s Disease. </w:t>
      </w:r>
      <w:r w:rsidRPr="00FD74C6">
        <w:rPr>
          <w:i/>
          <w:iCs/>
          <w:lang w:val="en-US"/>
        </w:rPr>
        <w:t>The Journal of Neuroscience</w:t>
      </w:r>
      <w:r w:rsidRPr="00FD74C6">
        <w:rPr>
          <w:lang w:val="en-US"/>
        </w:rPr>
        <w:t xml:space="preserve">, </w:t>
      </w:r>
      <w:r w:rsidRPr="00FD74C6">
        <w:rPr>
          <w:i/>
          <w:iCs/>
          <w:lang w:val="en-US"/>
        </w:rPr>
        <w:t>37</w:t>
      </w:r>
      <w:r w:rsidRPr="00FD74C6">
        <w:rPr>
          <w:lang w:val="en-US"/>
        </w:rPr>
        <w:t>(18), 4830–4840. https://doi.org/10.1523/JNEUROSCI.2208-16.2017</w:t>
      </w:r>
    </w:p>
    <w:p w:rsidR="00FD74C6" w:rsidRDefault="00FD74C6" w:rsidP="00FD74C6">
      <w:pPr>
        <w:pStyle w:val="Literaturverzeichnis"/>
      </w:pPr>
      <w:r w:rsidRPr="00FD74C6">
        <w:rPr>
          <w:lang w:val="en-US"/>
        </w:rPr>
        <w:t xml:space="preserve">Cooper, J. A., Sagar, H. J., Tidswell, P., &amp; Jordan, N. (1994). Slowed central processing in simple and go/no-go reaction time tasks in Parkinson’s disease. </w:t>
      </w:r>
      <w:r>
        <w:rPr>
          <w:i/>
          <w:iCs/>
        </w:rPr>
        <w:t>Brain</w:t>
      </w:r>
      <w:r>
        <w:t xml:space="preserve">, </w:t>
      </w:r>
      <w:r>
        <w:rPr>
          <w:i/>
          <w:iCs/>
        </w:rPr>
        <w:t>117</w:t>
      </w:r>
      <w:r>
        <w:t>(3), 517–529. https://doi.org/10.1093/brain/117.3.517</w:t>
      </w:r>
    </w:p>
    <w:p w:rsidR="00FD74C6" w:rsidRPr="00FD74C6" w:rsidRDefault="00FD74C6" w:rsidP="00FD74C6">
      <w:pPr>
        <w:pStyle w:val="Literaturverzeichnis"/>
        <w:rPr>
          <w:lang w:val="en-US"/>
        </w:rPr>
      </w:pPr>
      <w:r>
        <w:t xml:space="preserve">Dembek, T. A., Roediger, J., Horn, A., Reker, P., Oehrn, C., Dafsari, H. S., Li, N., Kühn, A. A., Fink, G. R., Visser‐Vandewalle, V., Barbe, M. T., &amp; Timmermann, L. (2019). </w:t>
      </w:r>
      <w:r w:rsidRPr="00FD74C6">
        <w:rPr>
          <w:lang w:val="en-US"/>
        </w:rPr>
        <w:t xml:space="preserve">Probabilistic sweet spots predict motor outcome for deep brain stimulation in Parkinson disease. </w:t>
      </w:r>
      <w:r w:rsidRPr="00FD74C6">
        <w:rPr>
          <w:i/>
          <w:iCs/>
          <w:lang w:val="en-US"/>
        </w:rPr>
        <w:t>Annals of Neurology</w:t>
      </w:r>
      <w:r w:rsidRPr="00FD74C6">
        <w:rPr>
          <w:lang w:val="en-US"/>
        </w:rPr>
        <w:t xml:space="preserve">, </w:t>
      </w:r>
      <w:r w:rsidRPr="00FD74C6">
        <w:rPr>
          <w:i/>
          <w:iCs/>
          <w:lang w:val="en-US"/>
        </w:rPr>
        <w:t>86</w:t>
      </w:r>
      <w:r w:rsidRPr="00FD74C6">
        <w:rPr>
          <w:lang w:val="en-US"/>
        </w:rPr>
        <w:t>(4), 527–538. https://doi.org/10.1002/ana.25567</w:t>
      </w:r>
    </w:p>
    <w:p w:rsidR="00FD74C6" w:rsidRDefault="00FD74C6" w:rsidP="00FD74C6">
      <w:pPr>
        <w:pStyle w:val="Literaturverzeichnis"/>
      </w:pPr>
      <w:r w:rsidRPr="00FD74C6">
        <w:rPr>
          <w:lang w:val="en-US"/>
        </w:rPr>
        <w:t xml:space="preserve">Deuschl, G., &amp; Agid, Y. (2013). Subthalamic neurostimulation for Parkinson’s disease with early fluctuations: Balancing the risks and benefits. </w:t>
      </w:r>
      <w:r>
        <w:rPr>
          <w:i/>
          <w:iCs/>
        </w:rPr>
        <w:t>The Lancet Neurology</w:t>
      </w:r>
      <w:r>
        <w:t xml:space="preserve">, </w:t>
      </w:r>
      <w:r>
        <w:rPr>
          <w:i/>
          <w:iCs/>
        </w:rPr>
        <w:t>12</w:t>
      </w:r>
      <w:r>
        <w:t>(10), 1025–1034. https://doi.org/10.1016/S1474-4422(13)70151-0</w:t>
      </w:r>
    </w:p>
    <w:p w:rsidR="00FD74C6" w:rsidRPr="00FD74C6" w:rsidRDefault="00FD74C6" w:rsidP="00FD74C6">
      <w:pPr>
        <w:pStyle w:val="Literaturverzeichnis"/>
        <w:rPr>
          <w:lang w:val="en-US"/>
        </w:rPr>
      </w:pPr>
      <w:r>
        <w:t xml:space="preserve">Deuschl, G., Krack, P., Bötzel, K., Dillmann, U., Gruber, D., Hilker, R., Koy, J., Lorenz, D., Mehdorn, H. M., Oertel, W., Reichmann, H., Schneider, G.-H., Steude, U., Tronnier, V., Wolf, E., &amp; Voges, J. (2006). </w:t>
      </w:r>
      <w:r w:rsidRPr="00FD74C6">
        <w:rPr>
          <w:lang w:val="en-US"/>
        </w:rPr>
        <w:t xml:space="preserve">A Randomized Trial of Deep-Brain Stimulation for Parkinson’s Disease. </w:t>
      </w:r>
      <w:r w:rsidRPr="00FD74C6">
        <w:rPr>
          <w:i/>
          <w:iCs/>
          <w:lang w:val="en-US"/>
        </w:rPr>
        <w:t>N Engl j Med</w:t>
      </w:r>
      <w:r w:rsidRPr="00FD74C6">
        <w:rPr>
          <w:lang w:val="en-US"/>
        </w:rPr>
        <w:t>, 13.</w:t>
      </w:r>
    </w:p>
    <w:p w:rsidR="00FD74C6" w:rsidRPr="00FD74C6" w:rsidRDefault="00FD74C6" w:rsidP="00FD74C6">
      <w:pPr>
        <w:pStyle w:val="Literaturverzeichnis"/>
        <w:rPr>
          <w:lang w:val="en-US"/>
        </w:rPr>
      </w:pPr>
      <w:r w:rsidRPr="00FD74C6">
        <w:rPr>
          <w:lang w:val="en-US"/>
        </w:rPr>
        <w:lastRenderedPageBreak/>
        <w:t xml:space="preserve">Donoghue, T., Haller, M., Peterson, E. J., Varma, P., Sebastian, P., Gao, R., Noto, T., Lara, A. H., Wallis, J. D., Knight, R. T., Shestyuk, A., &amp; Voytek, B. (2020). Parameterizing neural power spectra into periodic and aperiodic components. </w:t>
      </w:r>
      <w:r w:rsidRPr="00FD74C6">
        <w:rPr>
          <w:i/>
          <w:iCs/>
          <w:lang w:val="en-US"/>
        </w:rPr>
        <w:t>Nature Neuroscience</w:t>
      </w:r>
      <w:r w:rsidRPr="00FD74C6">
        <w:rPr>
          <w:lang w:val="en-US"/>
        </w:rPr>
        <w:t xml:space="preserve">, </w:t>
      </w:r>
      <w:r w:rsidRPr="00FD74C6">
        <w:rPr>
          <w:i/>
          <w:iCs/>
          <w:lang w:val="en-US"/>
        </w:rPr>
        <w:t>23</w:t>
      </w:r>
      <w:r w:rsidRPr="00FD74C6">
        <w:rPr>
          <w:lang w:val="en-US"/>
        </w:rPr>
        <w:t>(12), 1655–1665. https://doi.org/10.1038/s41593-020-00744-x</w:t>
      </w:r>
    </w:p>
    <w:p w:rsidR="00FD74C6" w:rsidRPr="00FD74C6" w:rsidRDefault="00FD74C6" w:rsidP="00FD74C6">
      <w:pPr>
        <w:pStyle w:val="Literaturverzeichnis"/>
        <w:rPr>
          <w:lang w:val="en-US"/>
        </w:rPr>
      </w:pPr>
      <w:r w:rsidRPr="00FD74C6">
        <w:rPr>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Global Burden of Disease Study 2016. </w:t>
      </w:r>
      <w:r w:rsidRPr="00FD74C6">
        <w:rPr>
          <w:i/>
          <w:iCs/>
          <w:lang w:val="en-US"/>
        </w:rPr>
        <w:t>The Lancet Neurology</w:t>
      </w:r>
      <w:r w:rsidRPr="00FD74C6">
        <w:rPr>
          <w:lang w:val="en-US"/>
        </w:rPr>
        <w:t xml:space="preserve">, </w:t>
      </w:r>
      <w:r w:rsidRPr="00FD74C6">
        <w:rPr>
          <w:i/>
          <w:iCs/>
          <w:lang w:val="en-US"/>
        </w:rPr>
        <w:t>17</w:t>
      </w:r>
      <w:r w:rsidRPr="00FD74C6">
        <w:rPr>
          <w:lang w:val="en-US"/>
        </w:rPr>
        <w:t>(11), 939–953. https://doi.org/10.1016/S1474-4422(18)30295-3</w:t>
      </w:r>
    </w:p>
    <w:p w:rsidR="00FD74C6" w:rsidRPr="00FD74C6" w:rsidRDefault="00FD74C6" w:rsidP="00FD74C6">
      <w:pPr>
        <w:pStyle w:val="Literaturverzeichnis"/>
        <w:rPr>
          <w:lang w:val="en-US"/>
        </w:rPr>
      </w:pPr>
      <w:r w:rsidRPr="00FD74C6">
        <w:rPr>
          <w:lang w:val="en-US"/>
        </w:rPr>
        <w:t xml:space="preserve">Dorsey, E. R., Sherer, T., Okun, M. S., &amp; Bloem, B. R. (2018). The Emerging Evidence of the Parkinson Pandemic. </w:t>
      </w:r>
      <w:r w:rsidRPr="00FD74C6">
        <w:rPr>
          <w:i/>
          <w:iCs/>
          <w:lang w:val="en-US"/>
        </w:rPr>
        <w:t>Journal of Parkinson’s Disease</w:t>
      </w:r>
      <w:r w:rsidRPr="00FD74C6">
        <w:rPr>
          <w:lang w:val="en-US"/>
        </w:rPr>
        <w:t xml:space="preserve">, </w:t>
      </w:r>
      <w:r w:rsidRPr="00FD74C6">
        <w:rPr>
          <w:i/>
          <w:iCs/>
          <w:lang w:val="en-US"/>
        </w:rPr>
        <w:t>8</w:t>
      </w:r>
      <w:r w:rsidRPr="00FD74C6">
        <w:rPr>
          <w:lang w:val="en-US"/>
        </w:rPr>
        <w:t>(s1), S3–S8. https://doi.org/10.3233/JPD-181474</w:t>
      </w:r>
    </w:p>
    <w:p w:rsidR="00FD74C6" w:rsidRPr="00FD74C6" w:rsidRDefault="00FD74C6" w:rsidP="00FD74C6">
      <w:pPr>
        <w:pStyle w:val="Literaturverzeichnis"/>
        <w:rPr>
          <w:lang w:val="en-US"/>
        </w:rPr>
      </w:pPr>
      <w:r w:rsidRPr="00FD74C6">
        <w:rPr>
          <w:lang w:val="en-US"/>
        </w:rPr>
        <w:t xml:space="preserve">Fahn, S., Elton, R., &amp; Members of the UPDRS Development Committee. (1987). UNIFIED PARKINSON’S DISEASE RATING SCALE. In S. Fahn, Marsden C., Goldstein M., &amp; Calne D. (Hrsg.), </w:t>
      </w:r>
      <w:r w:rsidRPr="00FD74C6">
        <w:rPr>
          <w:i/>
          <w:iCs/>
          <w:lang w:val="en-US"/>
        </w:rPr>
        <w:t>Recent Developments in Parkinson’s Disease</w:t>
      </w:r>
      <w:r w:rsidRPr="00FD74C6">
        <w:rPr>
          <w:lang w:val="en-US"/>
        </w:rPr>
        <w:t xml:space="preserve"> (Bd. 2, S. 153–163). Macmillan Healthcare Information.</w:t>
      </w:r>
    </w:p>
    <w:p w:rsidR="00FD74C6" w:rsidRPr="00FD74C6" w:rsidRDefault="00FD74C6" w:rsidP="00FD74C6">
      <w:pPr>
        <w:pStyle w:val="Literaturverzeichnis"/>
        <w:rPr>
          <w:lang w:val="en-US"/>
        </w:rPr>
      </w:pPr>
      <w:r w:rsidRPr="00FD74C6">
        <w:rPr>
          <w:lang w:val="en-US"/>
        </w:rPr>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FD74C6">
        <w:rPr>
          <w:i/>
          <w:iCs/>
          <w:lang w:val="en-US"/>
        </w:rPr>
        <w:t>The Lancet Neurology</w:t>
      </w:r>
      <w:r w:rsidRPr="00FD74C6">
        <w:rPr>
          <w:lang w:val="en-US"/>
        </w:rPr>
        <w:t xml:space="preserve">, </w:t>
      </w:r>
      <w:r w:rsidRPr="00FD74C6">
        <w:rPr>
          <w:i/>
          <w:iCs/>
          <w:lang w:val="en-US"/>
        </w:rPr>
        <w:t>16</w:t>
      </w:r>
      <w:r w:rsidRPr="00FD74C6">
        <w:rPr>
          <w:lang w:val="en-US"/>
        </w:rPr>
        <w:t>(11), 877–897. https://doi.org/10.1016/S1474-4422(17)30299-5</w:t>
      </w:r>
    </w:p>
    <w:p w:rsidR="00FD74C6" w:rsidRPr="00FD74C6" w:rsidRDefault="00FD74C6" w:rsidP="00FD74C6">
      <w:pPr>
        <w:pStyle w:val="Literaturverzeichnis"/>
        <w:rPr>
          <w:lang w:val="en-US"/>
        </w:rPr>
      </w:pPr>
      <w:r w:rsidRPr="00FD74C6">
        <w:rPr>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FD74C6">
        <w:rPr>
          <w:i/>
          <w:iCs/>
          <w:lang w:val="en-US"/>
        </w:rPr>
        <w:t>Movement Disorders</w:t>
      </w:r>
      <w:r w:rsidRPr="00FD74C6">
        <w:rPr>
          <w:lang w:val="en-US"/>
        </w:rPr>
        <w:t xml:space="preserve">, </w:t>
      </w:r>
      <w:r w:rsidRPr="00FD74C6">
        <w:rPr>
          <w:i/>
          <w:iCs/>
          <w:lang w:val="en-US"/>
        </w:rPr>
        <w:t>26</w:t>
      </w:r>
      <w:r w:rsidRPr="00FD74C6">
        <w:rPr>
          <w:lang w:val="en-US"/>
        </w:rPr>
        <w:t>(S3), S2–S41. https://doi.org/10.1002/mds.23829</w:t>
      </w:r>
    </w:p>
    <w:p w:rsidR="00FD74C6" w:rsidRPr="00FD74C6" w:rsidRDefault="00FD74C6" w:rsidP="00FD74C6">
      <w:pPr>
        <w:pStyle w:val="Literaturverzeichnis"/>
        <w:rPr>
          <w:lang w:val="en-US"/>
        </w:rPr>
      </w:pPr>
      <w:r w:rsidRPr="00FD74C6">
        <w:rPr>
          <w:lang w:val="en-US"/>
        </w:rPr>
        <w:lastRenderedPageBreak/>
        <w:t xml:space="preserve">Gerster, M., Waterstraat, G., Litvak, V., Lehnertz, K., Schnitzler, A., Florin, E., Curio, G., &amp; Nikulin, V. (2022). Separating Neural Oscillations from Aperiodic 1/f Activity: Challenges and Recommendations. </w:t>
      </w:r>
      <w:r w:rsidRPr="00FD74C6">
        <w:rPr>
          <w:i/>
          <w:iCs/>
          <w:lang w:val="en-US"/>
        </w:rPr>
        <w:t>Neuroinformatics</w:t>
      </w:r>
      <w:r w:rsidRPr="00FD74C6">
        <w:rPr>
          <w:lang w:val="en-US"/>
        </w:rPr>
        <w:t>. https://doi.org/10.1007/s12021-022-09581-8</w:t>
      </w:r>
    </w:p>
    <w:p w:rsidR="00FD74C6" w:rsidRDefault="00FD74C6" w:rsidP="00FD74C6">
      <w:pPr>
        <w:pStyle w:val="Literaturverzeichnis"/>
      </w:pPr>
      <w:r w:rsidRPr="00FD74C6">
        <w:rPr>
          <w:lang w:val="en-US"/>
        </w:rPr>
        <w:t xml:space="preserve">Giesbrecht, F. G., &amp; Burns, J. C. (1985). Two-Stage Analysis Based on a Mixed Model: Large-Sample Asymptotic Theory and Small-Sample Simulation Results. </w:t>
      </w:r>
      <w:r>
        <w:rPr>
          <w:i/>
          <w:iCs/>
        </w:rPr>
        <w:t>Biometrics</w:t>
      </w:r>
      <w:r>
        <w:t xml:space="preserve">, </w:t>
      </w:r>
      <w:r>
        <w:rPr>
          <w:i/>
          <w:iCs/>
        </w:rPr>
        <w:t>41</w:t>
      </w:r>
      <w:r>
        <w:t>(2), 477. https://doi.org/10.2307/2530872</w:t>
      </w:r>
    </w:p>
    <w:p w:rsidR="00FD74C6" w:rsidRPr="00FD74C6" w:rsidRDefault="00FD74C6" w:rsidP="00FD74C6">
      <w:pPr>
        <w:pStyle w:val="Literaturverzeichnis"/>
        <w:rPr>
          <w:lang w:val="en-US"/>
        </w:rPr>
      </w:pPr>
      <w:r>
        <w:t xml:space="preserve">Giovannoni, G., van Schalkwyk, J., Fritz, V. U., &amp; Lees, A. J. (1999). </w:t>
      </w:r>
      <w:r w:rsidRPr="00FD74C6">
        <w:rPr>
          <w:lang w:val="en-US"/>
        </w:rPr>
        <w:t xml:space="preserve">Bradykinesia akinesia inco-ordination test (BRAIN TEST): An objective computerised assessment of upper limb motor function. </w:t>
      </w:r>
      <w:r w:rsidRPr="00FD74C6">
        <w:rPr>
          <w:i/>
          <w:iCs/>
          <w:lang w:val="en-US"/>
        </w:rPr>
        <w:t>Journal of Neurology, Neurosurgery &amp; Psychiatry</w:t>
      </w:r>
      <w:r w:rsidRPr="00FD74C6">
        <w:rPr>
          <w:lang w:val="en-US"/>
        </w:rPr>
        <w:t xml:space="preserve">, </w:t>
      </w:r>
      <w:r w:rsidRPr="00FD74C6">
        <w:rPr>
          <w:i/>
          <w:iCs/>
          <w:lang w:val="en-US"/>
        </w:rPr>
        <w:t>67</w:t>
      </w:r>
      <w:r w:rsidRPr="00FD74C6">
        <w:rPr>
          <w:lang w:val="en-US"/>
        </w:rPr>
        <w:t>(5), 624–629. https://doi.org/10.1136/jnnp.67.5.624</w:t>
      </w:r>
    </w:p>
    <w:p w:rsidR="00FD74C6" w:rsidRPr="00FD74C6" w:rsidRDefault="00FD74C6" w:rsidP="00FD74C6">
      <w:pPr>
        <w:pStyle w:val="Literaturverzeichnis"/>
        <w:rPr>
          <w:lang w:val="en-US"/>
        </w:rPr>
      </w:pPr>
      <w:r w:rsidRPr="00FD74C6">
        <w:rPr>
          <w:lang w:val="en-US"/>
        </w:rPr>
        <w:t xml:space="preserve">Goetz, C. G., Tilley, B. C., Shaftman, S. R., Stebbins, G. T., Fahn, S., Martinez-Martin, P., Poewe, W., Sampaio, C., Stern, M. B., Dodel, R., Dubois, B., Holloway, R., Jankovic, 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FD74C6">
        <w:rPr>
          <w:i/>
          <w:iCs/>
          <w:lang w:val="en-US"/>
        </w:rPr>
        <w:t>Movement Disorders</w:t>
      </w:r>
      <w:r w:rsidRPr="00FD74C6">
        <w:rPr>
          <w:lang w:val="en-US"/>
        </w:rPr>
        <w:t xml:space="preserve">, </w:t>
      </w:r>
      <w:r w:rsidRPr="00FD74C6">
        <w:rPr>
          <w:i/>
          <w:iCs/>
          <w:lang w:val="en-US"/>
        </w:rPr>
        <w:t>23</w:t>
      </w:r>
      <w:r w:rsidRPr="00FD74C6">
        <w:rPr>
          <w:lang w:val="en-US"/>
        </w:rPr>
        <w:t>(15), 2129–2170. https://doi.org/10.1002/mds.22340</w:t>
      </w:r>
    </w:p>
    <w:p w:rsidR="00FD74C6" w:rsidRPr="00FD74C6" w:rsidRDefault="00FD74C6" w:rsidP="00FD74C6">
      <w:pPr>
        <w:pStyle w:val="Literaturverzeichnis"/>
        <w:rPr>
          <w:lang w:val="en-US"/>
        </w:rPr>
      </w:pPr>
      <w:r w:rsidRPr="00FD74C6">
        <w:rPr>
          <w:lang w:val="en-US"/>
        </w:rPr>
        <w:t xml:space="preserve">Gómez-Esteban, J. C., Zarranz, J. J., Lezcano, E., Tijero, B., Luna, A., Velasco, F., Rouco, I., &amp; Garamendi, I. (2007). Influence of Motor Symptoms upon the Quality of Life of Patients with Parkinson’s Disease. </w:t>
      </w:r>
      <w:r w:rsidRPr="00FD74C6">
        <w:rPr>
          <w:i/>
          <w:iCs/>
          <w:lang w:val="en-US"/>
        </w:rPr>
        <w:t>European Neurology</w:t>
      </w:r>
      <w:r w:rsidRPr="00FD74C6">
        <w:rPr>
          <w:lang w:val="en-US"/>
        </w:rPr>
        <w:t xml:space="preserve">, </w:t>
      </w:r>
      <w:r w:rsidRPr="00FD74C6">
        <w:rPr>
          <w:i/>
          <w:iCs/>
          <w:lang w:val="en-US"/>
        </w:rPr>
        <w:t>57</w:t>
      </w:r>
      <w:r w:rsidRPr="00FD74C6">
        <w:rPr>
          <w:lang w:val="en-US"/>
        </w:rPr>
        <w:t>(3), 161–165. https://doi.org/10.1159/000098468</w:t>
      </w:r>
    </w:p>
    <w:p w:rsidR="00FD74C6" w:rsidRPr="00FD74C6" w:rsidRDefault="00FD74C6" w:rsidP="00FD74C6">
      <w:pPr>
        <w:pStyle w:val="Literaturverzeichnis"/>
        <w:rPr>
          <w:lang w:val="en-US"/>
        </w:rPr>
      </w:pPr>
      <w:r w:rsidRPr="00FD74C6">
        <w:rPr>
          <w:lang w:val="en-US"/>
        </w:rPr>
        <w:t xml:space="preserve">Halgren, M., Kang, R., Voytek, B., Ulbert, I., Fabo, D., Eross, L., Wittner, L., Madsen, J., Doyle, W. K., Devinsky, O., Halgren, E., Harnett, M. T., &amp; Cash, S. S. (2021). </w:t>
      </w:r>
      <w:r w:rsidRPr="00FD74C6">
        <w:rPr>
          <w:i/>
          <w:iCs/>
          <w:lang w:val="en-US"/>
        </w:rPr>
        <w:t>The timescale and magnitude of 1/f aperiodic activity decrease with cortical depth in humans, macaques, and mice</w:t>
      </w:r>
      <w:r w:rsidRPr="00FD74C6">
        <w:rPr>
          <w:lang w:val="en-US"/>
        </w:rPr>
        <w:t xml:space="preserve"> [Preprint]. Neuroscience. https://doi.org/10.1101/2021.07.28.454235</w:t>
      </w:r>
    </w:p>
    <w:p w:rsidR="00FD74C6" w:rsidRPr="00FD74C6" w:rsidRDefault="00FD74C6" w:rsidP="00FD74C6">
      <w:pPr>
        <w:pStyle w:val="Literaturverzeichnis"/>
        <w:rPr>
          <w:lang w:val="en-US"/>
        </w:rPr>
      </w:pPr>
      <w:r w:rsidRPr="00FD74C6">
        <w:rPr>
          <w:lang w:val="en-US"/>
        </w:rPr>
        <w:t xml:space="preserve">He, S., Debarros, J., Khawaldeh, S., Pogosyan, A., Mostofi, A., Baig, F., Pereira, E., Brown, P., &amp; Tan, H. (2020). Closed-loop DBS triggered by real-time movement and tremor decoding based on thalamic LFPs for essential tremor. </w:t>
      </w:r>
      <w:r w:rsidRPr="00FD74C6">
        <w:rPr>
          <w:i/>
          <w:iCs/>
          <w:lang w:val="en-US"/>
        </w:rPr>
        <w:t xml:space="preserve">2020 42nd Annual International Conference of the IEEE </w:t>
      </w:r>
      <w:r w:rsidRPr="00FD74C6">
        <w:rPr>
          <w:i/>
          <w:iCs/>
          <w:lang w:val="en-US"/>
        </w:rPr>
        <w:lastRenderedPageBreak/>
        <w:t>Engineering in Medicine &amp; Biology Society (EMBC)</w:t>
      </w:r>
      <w:r w:rsidRPr="00FD74C6">
        <w:rPr>
          <w:lang w:val="en-US"/>
        </w:rPr>
        <w:t>, 3602–3605. https://doi.org/10.1109/EMBC44109.2020.9175433</w:t>
      </w:r>
    </w:p>
    <w:p w:rsidR="00FD74C6" w:rsidRPr="00FD74C6" w:rsidRDefault="00FD74C6" w:rsidP="00FD74C6">
      <w:pPr>
        <w:pStyle w:val="Literaturverzeichnis"/>
        <w:rPr>
          <w:lang w:val="en-US"/>
        </w:rPr>
      </w:pPr>
      <w:r w:rsidRPr="00FD74C6">
        <w:rPr>
          <w:lang w:val="en-US"/>
        </w:rPr>
        <w:t xml:space="preserve">Helmich, R. C. (2018). The cerebral basis of Parkinsonian tremor: A network perspective. </w:t>
      </w:r>
      <w:r w:rsidRPr="00FD74C6">
        <w:rPr>
          <w:i/>
          <w:iCs/>
          <w:lang w:val="en-US"/>
        </w:rPr>
        <w:t>Movement Disorders</w:t>
      </w:r>
      <w:r w:rsidRPr="00FD74C6">
        <w:rPr>
          <w:lang w:val="en-US"/>
        </w:rPr>
        <w:t xml:space="preserve">, </w:t>
      </w:r>
      <w:r w:rsidRPr="00FD74C6">
        <w:rPr>
          <w:i/>
          <w:iCs/>
          <w:lang w:val="en-US"/>
        </w:rPr>
        <w:t>33</w:t>
      </w:r>
      <w:r w:rsidRPr="00FD74C6">
        <w:rPr>
          <w:lang w:val="en-US"/>
        </w:rPr>
        <w:t>(2), 219–231. https://doi.org/10.1002/mds.27224</w:t>
      </w:r>
    </w:p>
    <w:p w:rsidR="00FD74C6" w:rsidRPr="00FD74C6" w:rsidRDefault="00FD74C6" w:rsidP="00FD74C6">
      <w:pPr>
        <w:pStyle w:val="Literaturverzeichnis"/>
        <w:rPr>
          <w:lang w:val="en-US"/>
        </w:rPr>
      </w:pPr>
      <w:r w:rsidRPr="00FD74C6">
        <w:rPr>
          <w:lang w:val="en-US"/>
        </w:rPr>
        <w:t xml:space="preserve">Helmich, R., &amp; Dirkx, M. (2017). Pathophysiology and Management of Parkinsonian Tremor. </w:t>
      </w:r>
      <w:r w:rsidRPr="00FD74C6">
        <w:rPr>
          <w:i/>
          <w:iCs/>
          <w:lang w:val="en-US"/>
        </w:rPr>
        <w:t>Seminars in Neurology</w:t>
      </w:r>
      <w:r w:rsidRPr="00FD74C6">
        <w:rPr>
          <w:lang w:val="en-US"/>
        </w:rPr>
        <w:t xml:space="preserve">, </w:t>
      </w:r>
      <w:r w:rsidRPr="00FD74C6">
        <w:rPr>
          <w:i/>
          <w:iCs/>
          <w:lang w:val="en-US"/>
        </w:rPr>
        <w:t>37</w:t>
      </w:r>
      <w:r w:rsidRPr="00FD74C6">
        <w:rPr>
          <w:lang w:val="en-US"/>
        </w:rPr>
        <w:t>(02), 127–134. https://doi.org/10.1055/s-0037-1601558</w:t>
      </w:r>
    </w:p>
    <w:p w:rsidR="00FD74C6" w:rsidRPr="00FD74C6" w:rsidRDefault="00FD74C6" w:rsidP="00FD74C6">
      <w:pPr>
        <w:pStyle w:val="Literaturverzeichnis"/>
        <w:rPr>
          <w:lang w:val="en-US"/>
        </w:rPr>
      </w:pPr>
      <w:r w:rsidRPr="00FD74C6">
        <w:rPr>
          <w:lang w:val="en-US"/>
        </w:rPr>
        <w:t xml:space="preserve">Herreras, O. (2016). Local Field Potentials: Myths and Misunderstandings. </w:t>
      </w:r>
      <w:r w:rsidRPr="00FD74C6">
        <w:rPr>
          <w:i/>
          <w:iCs/>
          <w:lang w:val="en-US"/>
        </w:rPr>
        <w:t>Frontiers in Neural Circuits</w:t>
      </w:r>
      <w:r w:rsidRPr="00FD74C6">
        <w:rPr>
          <w:lang w:val="en-US"/>
        </w:rPr>
        <w:t xml:space="preserve">, </w:t>
      </w:r>
      <w:r w:rsidRPr="00FD74C6">
        <w:rPr>
          <w:i/>
          <w:iCs/>
          <w:lang w:val="en-US"/>
        </w:rPr>
        <w:t>10</w:t>
      </w:r>
      <w:r w:rsidRPr="00FD74C6">
        <w:rPr>
          <w:lang w:val="en-US"/>
        </w:rPr>
        <w:t>. https://doi.org/10.3389/fncir.2016.00101</w:t>
      </w:r>
    </w:p>
    <w:p w:rsidR="00FD74C6" w:rsidRPr="00FD74C6" w:rsidRDefault="00FD74C6" w:rsidP="00FD74C6">
      <w:pPr>
        <w:pStyle w:val="Literaturverzeichnis"/>
        <w:rPr>
          <w:lang w:val="en-US"/>
        </w:rPr>
      </w:pPr>
      <w:r w:rsidRPr="00FD74C6">
        <w:rPr>
          <w:lang w:val="en-US"/>
        </w:rPr>
        <w:t xml:space="preserve">Hess, C., &amp; Hallett, M. (2017). The Phenomenology of Parkinson’s Disease. </w:t>
      </w:r>
      <w:r w:rsidRPr="00FD74C6">
        <w:rPr>
          <w:i/>
          <w:iCs/>
          <w:lang w:val="en-US"/>
        </w:rPr>
        <w:t>Seminars in Neurology</w:t>
      </w:r>
      <w:r w:rsidRPr="00FD74C6">
        <w:rPr>
          <w:lang w:val="en-US"/>
        </w:rPr>
        <w:t xml:space="preserve">, </w:t>
      </w:r>
      <w:r w:rsidRPr="00FD74C6">
        <w:rPr>
          <w:i/>
          <w:iCs/>
          <w:lang w:val="en-US"/>
        </w:rPr>
        <w:t>37</w:t>
      </w:r>
      <w:r w:rsidRPr="00FD74C6">
        <w:rPr>
          <w:lang w:val="en-US"/>
        </w:rPr>
        <w:t>(02), 109–117. https://doi.org/10.1055/s-0037-1601869</w:t>
      </w:r>
    </w:p>
    <w:p w:rsidR="00FD74C6" w:rsidRPr="00FD74C6" w:rsidRDefault="00FD74C6" w:rsidP="00FD74C6">
      <w:pPr>
        <w:pStyle w:val="Literaturverzeichnis"/>
        <w:rPr>
          <w:lang w:val="en-US"/>
        </w:rPr>
      </w:pPr>
      <w:r w:rsidRPr="00FD74C6">
        <w:rPr>
          <w:lang w:val="en-US"/>
        </w:rPr>
        <w:t xml:space="preserve">Jankovic, J. (2008). Parkinson’s disease: Clinical features and diagnosis. </w:t>
      </w:r>
      <w:r w:rsidRPr="00FD74C6">
        <w:rPr>
          <w:i/>
          <w:iCs/>
          <w:lang w:val="en-US"/>
        </w:rPr>
        <w:t>Journal of Neurology, Neurosurgery &amp; Psychiatry</w:t>
      </w:r>
      <w:r w:rsidRPr="00FD74C6">
        <w:rPr>
          <w:lang w:val="en-US"/>
        </w:rPr>
        <w:t xml:space="preserve">, </w:t>
      </w:r>
      <w:r w:rsidRPr="00FD74C6">
        <w:rPr>
          <w:i/>
          <w:iCs/>
          <w:lang w:val="en-US"/>
        </w:rPr>
        <w:t>79</w:t>
      </w:r>
      <w:r w:rsidRPr="00FD74C6">
        <w:rPr>
          <w:lang w:val="en-US"/>
        </w:rPr>
        <w:t>(4), 368–376. https://doi.org/10.1136/jnnp.2007.131045</w:t>
      </w:r>
    </w:p>
    <w:p w:rsidR="00FD74C6" w:rsidRPr="00FD74C6" w:rsidRDefault="00FD74C6" w:rsidP="00FD74C6">
      <w:pPr>
        <w:pStyle w:val="Literaturverzeichnis"/>
        <w:rPr>
          <w:lang w:val="en-US"/>
        </w:rPr>
      </w:pPr>
      <w:r w:rsidRPr="00FD74C6">
        <w:rPr>
          <w:lang w:val="en-US"/>
        </w:rPr>
        <w:t xml:space="preserve">Koirala, N., Serrano, L., Paschen, S., Falk, D., Anwar, A. R., Kuravi, P., Deuschl, G., Groppa, S., &amp; Muthuraman, M. (2020). Mapping of subthalamic nucleus using microelectrode recordings during deep brain stimulation. </w:t>
      </w:r>
      <w:r w:rsidRPr="00FD74C6">
        <w:rPr>
          <w:i/>
          <w:iCs/>
          <w:lang w:val="en-US"/>
        </w:rPr>
        <w:t>Scientific Reports</w:t>
      </w:r>
      <w:r w:rsidRPr="00FD74C6">
        <w:rPr>
          <w:lang w:val="en-US"/>
        </w:rPr>
        <w:t xml:space="preserve">, </w:t>
      </w:r>
      <w:r w:rsidRPr="00FD74C6">
        <w:rPr>
          <w:i/>
          <w:iCs/>
          <w:lang w:val="en-US"/>
        </w:rPr>
        <w:t>10</w:t>
      </w:r>
      <w:r w:rsidRPr="00FD74C6">
        <w:rPr>
          <w:lang w:val="en-US"/>
        </w:rPr>
        <w:t>(1), 19241. https://doi.org/10.1038/s41598-020-74196-5</w:t>
      </w:r>
    </w:p>
    <w:p w:rsidR="00FD74C6" w:rsidRPr="00FD74C6" w:rsidRDefault="00FD74C6" w:rsidP="00FD74C6">
      <w:pPr>
        <w:pStyle w:val="Literaturverzeichnis"/>
        <w:rPr>
          <w:lang w:val="en-US"/>
        </w:rPr>
      </w:pPr>
      <w:r w:rsidRPr="00FD74C6">
        <w:rPr>
          <w:lang w:val="en-US"/>
        </w:rPr>
        <w:t xml:space="preserve">Köllensperger, M., Geser, F., Seppi, K., Stampfer-Kountchev, M., Sawires, M., Scherfler, C., Boesch, S., Mueller, J., Koukouni, V., Quinn, N., Pellecchia, M. T., Barone, P., Schimke, N., Dodel, R., Oertel, W., Dupont, E., Østergaard, K., Daniels, C., Deuschl, G., … on behalf of the European MSA Study Group (EMSA-SG). (2008). Red flags for multiple system atrophy. </w:t>
      </w:r>
      <w:r w:rsidRPr="00FD74C6">
        <w:rPr>
          <w:i/>
          <w:iCs/>
          <w:lang w:val="en-US"/>
        </w:rPr>
        <w:t>Movement Disorders</w:t>
      </w:r>
      <w:r w:rsidRPr="00FD74C6">
        <w:rPr>
          <w:lang w:val="en-US"/>
        </w:rPr>
        <w:t xml:space="preserve">, </w:t>
      </w:r>
      <w:r w:rsidRPr="00FD74C6">
        <w:rPr>
          <w:i/>
          <w:iCs/>
          <w:lang w:val="en-US"/>
        </w:rPr>
        <w:t>23</w:t>
      </w:r>
      <w:r w:rsidRPr="00FD74C6">
        <w:rPr>
          <w:lang w:val="en-US"/>
        </w:rPr>
        <w:t>(8), 1093–1099. https://doi.org/10.1002/mds.21992</w:t>
      </w:r>
    </w:p>
    <w:p w:rsidR="00FD74C6" w:rsidRPr="00FD74C6" w:rsidRDefault="00FD74C6" w:rsidP="00FD74C6">
      <w:pPr>
        <w:pStyle w:val="Literaturverzeichnis"/>
        <w:rPr>
          <w:lang w:val="en-US"/>
        </w:rPr>
      </w:pPr>
      <w:r>
        <w:t xml:space="preserve">Kühn, A. A., Kupsch, A., Schneider, G.-H., &amp; Brown, P. (2006). </w:t>
      </w:r>
      <w:r w:rsidRPr="00FD74C6">
        <w:rPr>
          <w:lang w:val="en-US"/>
        </w:rPr>
        <w:t xml:space="preserve">Reduction in subthalamic 8-35 Hz oscillatory activity correlates with clinical improvement in Parkinson’s disease: STN activity and motor improvement. </w:t>
      </w:r>
      <w:r w:rsidRPr="00FD74C6">
        <w:rPr>
          <w:i/>
          <w:iCs/>
          <w:lang w:val="en-US"/>
        </w:rPr>
        <w:t>European Journal of Neuroscience</w:t>
      </w:r>
      <w:r w:rsidRPr="00FD74C6">
        <w:rPr>
          <w:lang w:val="en-US"/>
        </w:rPr>
        <w:t xml:space="preserve">, </w:t>
      </w:r>
      <w:r w:rsidRPr="00FD74C6">
        <w:rPr>
          <w:i/>
          <w:iCs/>
          <w:lang w:val="en-US"/>
        </w:rPr>
        <w:t>23</w:t>
      </w:r>
      <w:r w:rsidRPr="00FD74C6">
        <w:rPr>
          <w:lang w:val="en-US"/>
        </w:rPr>
        <w:t>(7), 1956–1960. https://doi.org/10.1111/j.1460-9568.2006.04717.x</w:t>
      </w:r>
    </w:p>
    <w:p w:rsidR="00FD74C6" w:rsidRPr="00FD74C6" w:rsidRDefault="00FD74C6" w:rsidP="00FD74C6">
      <w:pPr>
        <w:pStyle w:val="Literaturverzeichnis"/>
        <w:rPr>
          <w:lang w:val="en-US"/>
        </w:rPr>
      </w:pPr>
      <w:r w:rsidRPr="00FD74C6">
        <w:rPr>
          <w:lang w:val="en-US"/>
        </w:rPr>
        <w:lastRenderedPageBreak/>
        <w:t xml:space="preserve">Kutukcu, Y., Marks, W. J., Goodin, D. S., &amp; Aminoff, M. J. (1999). Simple and choice reaction time in Parkinson’s disease. </w:t>
      </w:r>
      <w:r w:rsidRPr="00FD74C6">
        <w:rPr>
          <w:i/>
          <w:iCs/>
          <w:lang w:val="en-US"/>
        </w:rPr>
        <w:t>Brain Research</w:t>
      </w:r>
      <w:r w:rsidRPr="00FD74C6">
        <w:rPr>
          <w:lang w:val="en-US"/>
        </w:rPr>
        <w:t xml:space="preserve">, </w:t>
      </w:r>
      <w:r w:rsidRPr="00FD74C6">
        <w:rPr>
          <w:i/>
          <w:iCs/>
          <w:lang w:val="en-US"/>
        </w:rPr>
        <w:t>815</w:t>
      </w:r>
      <w:r w:rsidRPr="00FD74C6">
        <w:rPr>
          <w:lang w:val="en-US"/>
        </w:rPr>
        <w:t>(2), 367–372. https://doi.org/10.1016/S0006-8993(98)01060-9</w:t>
      </w:r>
    </w:p>
    <w:p w:rsidR="00FD74C6" w:rsidRPr="00FD74C6" w:rsidRDefault="00FD74C6" w:rsidP="00FD74C6">
      <w:pPr>
        <w:pStyle w:val="Literaturverzeichnis"/>
        <w:rPr>
          <w:lang w:val="en-US"/>
        </w:rPr>
      </w:pPr>
      <w:r w:rsidRPr="00FD74C6">
        <w:rPr>
          <w:lang w:val="en-US"/>
        </w:rPr>
        <w:t xml:space="preserve">Kuznetsova, A., Brockhoff, P. B., &amp; Christensen, R. H. B. (2017). </w:t>
      </w:r>
      <w:r w:rsidRPr="00FD74C6">
        <w:rPr>
          <w:b/>
          <w:bCs/>
          <w:lang w:val="en-US"/>
        </w:rPr>
        <w:t>lmerTest</w:t>
      </w:r>
      <w:r w:rsidRPr="00FD74C6">
        <w:rPr>
          <w:lang w:val="en-US"/>
        </w:rPr>
        <w:t xml:space="preserve"> Package: Tests in Linear Mixed Effects Models. </w:t>
      </w:r>
      <w:r w:rsidRPr="00FD74C6">
        <w:rPr>
          <w:i/>
          <w:iCs/>
          <w:lang w:val="en-US"/>
        </w:rPr>
        <w:t>Journal of Statistical Software</w:t>
      </w:r>
      <w:r w:rsidRPr="00FD74C6">
        <w:rPr>
          <w:lang w:val="en-US"/>
        </w:rPr>
        <w:t xml:space="preserve">, </w:t>
      </w:r>
      <w:r w:rsidRPr="00FD74C6">
        <w:rPr>
          <w:i/>
          <w:iCs/>
          <w:lang w:val="en-US"/>
        </w:rPr>
        <w:t>82</w:t>
      </w:r>
      <w:r w:rsidRPr="00FD74C6">
        <w:rPr>
          <w:lang w:val="en-US"/>
        </w:rPr>
        <w:t>(13). https://doi.org/10.18637/jss.v082.i13</w:t>
      </w:r>
    </w:p>
    <w:p w:rsidR="00FD74C6" w:rsidRDefault="00FD74C6" w:rsidP="00FD74C6">
      <w:pPr>
        <w:pStyle w:val="Literaturverzeichnis"/>
      </w:pPr>
      <w:r w:rsidRPr="00FD74C6">
        <w:rPr>
          <w:lang w:val="en-US"/>
        </w:rPr>
        <w:t xml:space="preserve">Limousin, P., Pollak, P., Benazzouz, A., Hoffmann, D., Le Bas, J.-F., Perret, J. E., Benabid, A.-L., &amp; Broussolle, E. (1995). </w:t>
      </w:r>
      <w:r>
        <w:t xml:space="preserve">Effect on parkinsonian signs and symptoms of bilateral subthalamic nucleus stimulation. </w:t>
      </w:r>
      <w:r>
        <w:rPr>
          <w:i/>
          <w:iCs/>
        </w:rPr>
        <w:t>The Lancet</w:t>
      </w:r>
      <w:r>
        <w:t xml:space="preserve">, </w:t>
      </w:r>
      <w:r>
        <w:rPr>
          <w:i/>
          <w:iCs/>
        </w:rPr>
        <w:t>345</w:t>
      </w:r>
      <w:r>
        <w:t>(8942), 91–95. https://doi.org/10.1016/S0140-6736(95)90062-4</w:t>
      </w:r>
    </w:p>
    <w:p w:rsidR="00FD74C6" w:rsidRDefault="00FD74C6" w:rsidP="00FD74C6">
      <w:pPr>
        <w:pStyle w:val="Literaturverzeichnis"/>
      </w:pPr>
      <w: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Pr>
          <w:i/>
          <w:iCs/>
        </w:rPr>
        <w:t>Parkinsonism &amp; Related Disorders</w:t>
      </w:r>
      <w:r>
        <w:t xml:space="preserve">, </w:t>
      </w:r>
      <w:r>
        <w:rPr>
          <w:i/>
          <w:iCs/>
        </w:rPr>
        <w:t>13</w:t>
      </w:r>
      <w:r>
        <w:t>(8), 528–531. https://doi.org/10.1016/j.parkreldis.2006.12.013</w:t>
      </w:r>
    </w:p>
    <w:p w:rsidR="00FD74C6" w:rsidRDefault="00FD74C6" w:rsidP="00FD74C6">
      <w:pPr>
        <w:pStyle w:val="Literaturverzeichnis"/>
      </w:pPr>
      <w:r>
        <w:t xml:space="preserve">Odekerken, V. J., van Laar, T., Staal, M. J., Mosch, A., Hoffmann, C. F., Nijssen, P. C., Beute, G. N., van Vugt, J. P., Lenders, M. W., Contarino, M. F., Mink, M. S., Bour, L. J., van den Munckhof, P., Schmand, B. A., de Haan, R. J., Schuurman, P. R., &amp; de Bie, R. M. (2013). Subthalamic nucleus versus globus pallidus bilateral deep brain stimulation for advanced Parkinson’s disease (NSTAPS study): A randomised controlled trial. </w:t>
      </w:r>
      <w:r>
        <w:rPr>
          <w:i/>
          <w:iCs/>
        </w:rPr>
        <w:t>The Lancet Neurology</w:t>
      </w:r>
      <w:r>
        <w:t xml:space="preserve">, </w:t>
      </w:r>
      <w:r>
        <w:rPr>
          <w:i/>
          <w:iCs/>
        </w:rPr>
        <w:t>12</w:t>
      </w:r>
      <w:r>
        <w:t>(1), 37–44. https://doi.org/10.1016/S1474-4422(12)70264-8</w:t>
      </w:r>
    </w:p>
    <w:p w:rsidR="00FD74C6" w:rsidRDefault="00FD74C6" w:rsidP="00FD74C6">
      <w:pPr>
        <w:pStyle w:val="Literaturverzeichnis"/>
      </w:pPr>
      <w:r>
        <w:t xml:space="preserve">Oostenveld, R. (2018). Fieldtriptoolbox. </w:t>
      </w:r>
      <w:r>
        <w:rPr>
          <w:i/>
          <w:iCs/>
        </w:rPr>
        <w:t>Time-frequency analysis using Hanning window, multitapers and wavelets</w:t>
      </w:r>
      <w:r>
        <w:t>. https://www.fieldtriptoolbox.org/tutorial/timefrequencyanalysis/</w:t>
      </w:r>
    </w:p>
    <w:p w:rsidR="00FD74C6" w:rsidRDefault="00FD74C6" w:rsidP="00FD74C6">
      <w:pPr>
        <w:pStyle w:val="Literaturverzeichnis"/>
      </w:pPr>
      <w:r>
        <w:t xml:space="preserve">Oostenveld, R., Fries, P., Maris, E., &amp; Schoffelen, J.-M. (2011). FieldTrip: Open Source Software for Advanced Analysis of MEG, EEG, and Invasive Electrophysiological Data. </w:t>
      </w:r>
      <w:r>
        <w:rPr>
          <w:i/>
          <w:iCs/>
        </w:rPr>
        <w:t>Computational Intelligence and Neuroscience</w:t>
      </w:r>
      <w:r>
        <w:t xml:space="preserve">, </w:t>
      </w:r>
      <w:r>
        <w:rPr>
          <w:i/>
          <w:iCs/>
        </w:rPr>
        <w:t>2011</w:t>
      </w:r>
      <w:r>
        <w:t>, 1–9. https://doi.org/10.1155/2011/156869</w:t>
      </w:r>
    </w:p>
    <w:p w:rsidR="00FD74C6" w:rsidRDefault="00FD74C6" w:rsidP="00FD74C6">
      <w:pPr>
        <w:pStyle w:val="Literaturverzeichnis"/>
      </w:pPr>
      <w:r>
        <w:lastRenderedPageBreak/>
        <w:t xml:space="preserve">Opri, E., Cernera, S., Molina, R., Eisinger, R. S., Cagle, J. N., Almeida, L., Denison, T., Okun, M. S., Foote, K. D., &amp; Gunduz, A. (2020). Chronic embedded cortico-thalamic closed-loop deep brain stimulation for the treatment of essential tremor. </w:t>
      </w:r>
      <w:r>
        <w:rPr>
          <w:i/>
          <w:iCs/>
        </w:rPr>
        <w:t>Science Translational Medicine</w:t>
      </w:r>
      <w:r>
        <w:t xml:space="preserve">, </w:t>
      </w:r>
      <w:r>
        <w:rPr>
          <w:i/>
          <w:iCs/>
        </w:rPr>
        <w:t>12</w:t>
      </w:r>
      <w:r>
        <w:t>(572), eaay7680. https://doi.org/10.1126/scitranslmed.aay7680</w:t>
      </w:r>
    </w:p>
    <w:p w:rsidR="00FD74C6" w:rsidRDefault="00FD74C6" w:rsidP="00FD74C6">
      <w:pPr>
        <w:pStyle w:val="Literaturverzeichnis"/>
      </w:pPr>
      <w:r>
        <w:t xml:space="preserve">Poewe, W., Seppi, K., Tanner, C. M., Halliday, G. M., Brundin, P., Volkmann, J., Schrag, A.-E., &amp; Lang, A. E. (2017). Parkinson disease. </w:t>
      </w:r>
      <w:r>
        <w:rPr>
          <w:i/>
          <w:iCs/>
        </w:rPr>
        <w:t>Nature Reviews Disease Primers</w:t>
      </w:r>
      <w:r>
        <w:t xml:space="preserve">, </w:t>
      </w:r>
      <w:r>
        <w:rPr>
          <w:i/>
          <w:iCs/>
        </w:rPr>
        <w:t>3</w:t>
      </w:r>
      <w:r>
        <w:t>(1), 17013. https://doi.org/10.1038/nrdp.2017.13</w:t>
      </w:r>
    </w:p>
    <w:p w:rsidR="00FD74C6" w:rsidRDefault="00FD74C6" w:rsidP="00FD74C6">
      <w:pPr>
        <w:pStyle w:val="Literaturverzeichnis"/>
      </w:pPr>
      <w:r>
        <w:t xml:space="preserve">Postuma, R. B., Berg, D., Stern, M., Poewe, W., Olanow, C. W., Oertel, W., Obeso, J., Marek, K., Litvan, I., Lang, A. E., Halliday, G., Goetz, C. G., Gasser, T., Dubois, B., Chan, P., Bloem, B. R., Adler, C. H., &amp; Deuschl, G. (2015). MDS clinical diagnostic criteria for Parkinson’s disease: MDS-PD Clinical Diagnostic Criteria. </w:t>
      </w:r>
      <w:r>
        <w:rPr>
          <w:i/>
          <w:iCs/>
        </w:rPr>
        <w:t>Movement Disorders</w:t>
      </w:r>
      <w:r>
        <w:t xml:space="preserve">, </w:t>
      </w:r>
      <w:r>
        <w:rPr>
          <w:i/>
          <w:iCs/>
        </w:rPr>
        <w:t>30</w:t>
      </w:r>
      <w:r>
        <w:t>(12), 1591–1601. https://doi.org/10.1002/mds.26424</w:t>
      </w:r>
    </w:p>
    <w:p w:rsidR="00FD74C6" w:rsidRDefault="00FD74C6" w:rsidP="00FD74C6">
      <w:pPr>
        <w:pStyle w:val="Literaturverzeichnis"/>
      </w:pPr>
      <w:r>
        <w:t xml:space="preserve">Prakash, K. M., Nadkarni, N. V., Lye, W.-K., Yong, M.-H., &amp; Tan, E.-K. (2016). The impact of non-motor symptoms on the quality of life of Parkinson’s disease patients: A longitudinal study. </w:t>
      </w:r>
      <w:r>
        <w:rPr>
          <w:i/>
          <w:iCs/>
        </w:rPr>
        <w:t>European Journal of Neurology</w:t>
      </w:r>
      <w:r>
        <w:t xml:space="preserve">, </w:t>
      </w:r>
      <w:r>
        <w:rPr>
          <w:i/>
          <w:iCs/>
        </w:rPr>
        <w:t>23</w:t>
      </w:r>
      <w:r>
        <w:t>(5), 854–860. https://doi.org/10.1111/ene.12950</w:t>
      </w:r>
    </w:p>
    <w:p w:rsidR="00FD74C6" w:rsidRDefault="00FD74C6" w:rsidP="00FD74C6">
      <w:pPr>
        <w:pStyle w:val="Literaturverzeichnis"/>
      </w:pPr>
      <w:r>
        <w:t xml:space="preserve">Rahman, S., Griffin, H. J., Quinn, N. P., &amp; Jahanshahi, M. (2008). Quality of life in Parkinson’s disease: The relative importance of the symptoms. </w:t>
      </w:r>
      <w:r>
        <w:rPr>
          <w:i/>
          <w:iCs/>
        </w:rPr>
        <w:t>Movement Disorders</w:t>
      </w:r>
      <w:r>
        <w:t xml:space="preserve">, </w:t>
      </w:r>
      <w:r>
        <w:rPr>
          <w:i/>
          <w:iCs/>
        </w:rPr>
        <w:t>23</w:t>
      </w:r>
      <w:r>
        <w:t>(10), 1428–1434. https://doi.org/10.1002/mds.21667</w:t>
      </w:r>
    </w:p>
    <w:p w:rsidR="00FD74C6" w:rsidRDefault="00FD74C6" w:rsidP="00FD74C6">
      <w:pPr>
        <w:pStyle w:val="Literaturverzeichnis"/>
      </w:pPr>
      <w:r>
        <w:t xml:space="preserve">Schielzeth, H., Dingemanse, N. J., Nakagawa, S., Westneat, D. F., Allegue, H., Teplitsky, C., Réale, D., Dochtermann, N. A., Garamszegi, L. Z., &amp; Araya‐Ajoy, Y. G. (2020). Robustness of linear mixed‐effects models to violations of distributional assumptions. </w:t>
      </w:r>
      <w:r>
        <w:rPr>
          <w:i/>
          <w:iCs/>
        </w:rPr>
        <w:t>Methods in Ecology and Evolution</w:t>
      </w:r>
      <w:r>
        <w:t xml:space="preserve">, </w:t>
      </w:r>
      <w:r>
        <w:rPr>
          <w:i/>
          <w:iCs/>
        </w:rPr>
        <w:t>11</w:t>
      </w:r>
      <w:r>
        <w:t>(9), 1141–1152. https://doi.org/10.1111/2041-210X.13434</w:t>
      </w:r>
    </w:p>
    <w:p w:rsidR="00FD74C6" w:rsidRDefault="00FD74C6" w:rsidP="00FD74C6">
      <w:pPr>
        <w:pStyle w:val="Literaturverzeichnis"/>
      </w:pPr>
      <w:r>
        <w:t xml:space="preserve">Simon, D. K., Tanner, C. M., &amp; Brundin, P. (2020). Parkinson Disease Epidemiology, Pathology, Genetics, and Pathophysiology. </w:t>
      </w:r>
      <w:r>
        <w:rPr>
          <w:i/>
          <w:iCs/>
        </w:rPr>
        <w:t>Clinics in Geriatric Medicine</w:t>
      </w:r>
      <w:r>
        <w:t xml:space="preserve">, </w:t>
      </w:r>
      <w:r>
        <w:rPr>
          <w:i/>
          <w:iCs/>
        </w:rPr>
        <w:t>36</w:t>
      </w:r>
      <w:r>
        <w:t>(1), 1–12. https://doi.org/10.1016/j.cger.2019.08.002</w:t>
      </w:r>
    </w:p>
    <w:p w:rsidR="00FD74C6" w:rsidRDefault="00FD74C6" w:rsidP="00FD74C6">
      <w:pPr>
        <w:pStyle w:val="Literaturverzeichnis"/>
      </w:pPr>
      <w:r>
        <w:lastRenderedPageBreak/>
        <w:t xml:space="preserve">Telkes, I., Jimenez-Shahed, J., Viswanathan, A., Abosch, A., &amp; Ince, N. F. (2016). Prediction of STN-DBS Electrode Implantation Track in Parkinson’s Disease by Using Local Field Potentials. </w:t>
      </w:r>
      <w:r>
        <w:rPr>
          <w:i/>
          <w:iCs/>
        </w:rPr>
        <w:t>Frontiers in Neuroscience</w:t>
      </w:r>
      <w:r>
        <w:t xml:space="preserve">, </w:t>
      </w:r>
      <w:r>
        <w:rPr>
          <w:i/>
          <w:iCs/>
        </w:rPr>
        <w:t>10</w:t>
      </w:r>
      <w:r>
        <w:t>. https://doi.org/10.3389/fnins.2016.00198</w:t>
      </w:r>
    </w:p>
    <w:p w:rsidR="00FD74C6" w:rsidRDefault="00FD74C6" w:rsidP="00FD74C6">
      <w:pPr>
        <w:pStyle w:val="Literaturverzeichnis"/>
      </w:pPr>
      <w:r>
        <w:t xml:space="preserve">Telkes, I., Sabourin, S., Durphy, J., Adam, O., Sukul, V., Raviv, N., Staudt, M. D., &amp; Pilitsis, J. G. (2020). Functional Use of Directional Local Field Potentials in the Subthalamic Nucleus Deep Brain Stimulation. </w:t>
      </w:r>
      <w:r>
        <w:rPr>
          <w:i/>
          <w:iCs/>
        </w:rPr>
        <w:t>Frontiers in Human Neuroscience</w:t>
      </w:r>
      <w:r>
        <w:t xml:space="preserve">, </w:t>
      </w:r>
      <w:r>
        <w:rPr>
          <w:i/>
          <w:iCs/>
        </w:rPr>
        <w:t>14</w:t>
      </w:r>
      <w:r>
        <w:t>, 145. https://doi.org/10.3389/fnhum.2020.00145</w:t>
      </w:r>
    </w:p>
    <w:p w:rsidR="00FD74C6" w:rsidRDefault="00FD74C6" w:rsidP="00FD74C6">
      <w:pPr>
        <w:pStyle w:val="Literaturverzeichnis"/>
      </w:pPr>
      <w:r>
        <w:t xml:space="preserve">Thenganatt, M. A., &amp; Jankovic, J. (2016). The relationship between essential tremor and Parkinson’s disease. </w:t>
      </w:r>
      <w:r>
        <w:rPr>
          <w:i/>
          <w:iCs/>
        </w:rPr>
        <w:t>Parkinsonism &amp; Related Disorders</w:t>
      </w:r>
      <w:r>
        <w:t xml:space="preserve">, </w:t>
      </w:r>
      <w:r>
        <w:rPr>
          <w:i/>
          <w:iCs/>
        </w:rPr>
        <w:t>22</w:t>
      </w:r>
      <w:r>
        <w:t>, S162–S165. https://doi.org/10.1016/j.parkreldis.2015.09.032</w:t>
      </w:r>
    </w:p>
    <w:p w:rsidR="00FD74C6" w:rsidRDefault="00FD74C6" w:rsidP="00FD74C6">
      <w:pPr>
        <w:pStyle w:val="Literaturverzeichnis"/>
      </w:pPr>
      <w:r>
        <w:t xml:space="preserve">Thenganatt, M. A., &amp; Louis, E. D. (2012). Distinguishing essential tremor from Parkinson’s disease: Bedside tests and laboratory evaluations. </w:t>
      </w:r>
      <w:r>
        <w:rPr>
          <w:i/>
          <w:iCs/>
        </w:rPr>
        <w:t>Expert Review of Neurotherapeutics</w:t>
      </w:r>
      <w:r>
        <w:t xml:space="preserve">, </w:t>
      </w:r>
      <w:r>
        <w:rPr>
          <w:i/>
          <w:iCs/>
        </w:rPr>
        <w:t>12</w:t>
      </w:r>
      <w:r>
        <w:t>(6), 687–696. https://doi.org/10.1586/ern.12.49</w:t>
      </w:r>
    </w:p>
    <w:p w:rsidR="00FD74C6" w:rsidRDefault="00FD74C6" w:rsidP="00FD74C6">
      <w:pPr>
        <w:pStyle w:val="Literaturverzeichnis"/>
      </w:pPr>
      <w:r>
        <w:t xml:space="preserve">Thompson, J. A., Oukal, S., Bergman, H., Ojemann, S., Hebb, A. O., Hanrahan, S., Israel, Z., &amp; Abosch, A. (2018). Semi-automated application for estimating subthalamic nucleus boundaries and optimal target selection for deep brain stimulation implantation surgery. </w:t>
      </w:r>
      <w:r>
        <w:rPr>
          <w:i/>
          <w:iCs/>
        </w:rPr>
        <w:t>Journal of Neurosurgery</w:t>
      </w:r>
      <w:r>
        <w:t>, 1–10. https://doi.org/10.3171/2017.12.JNS171964</w:t>
      </w:r>
    </w:p>
    <w:p w:rsidR="00FD74C6" w:rsidRDefault="00FD74C6" w:rsidP="00FD74C6">
      <w:pPr>
        <w:pStyle w:val="Literaturverzeichnis"/>
      </w:pPr>
      <w:r>
        <w:t xml:space="preserve">Verhagen, R., Schuurman, P. R., van den Munckhof, P., Contarino, M. F., de Bie, R. M. A., &amp; Bour, L. J. (2016). Comparative study of microelectrode recording-based STN location and MRI-based STN location in low to ultra-high field (7.0 T) T2-weighted MRI images. </w:t>
      </w:r>
      <w:r>
        <w:rPr>
          <w:i/>
          <w:iCs/>
        </w:rPr>
        <w:t>Journal of Neural Engineering</w:t>
      </w:r>
      <w:r>
        <w:t xml:space="preserve">, </w:t>
      </w:r>
      <w:r>
        <w:rPr>
          <w:i/>
          <w:iCs/>
        </w:rPr>
        <w:t>13</w:t>
      </w:r>
      <w:r>
        <w:t>(6), 066009. https://doi.org/10.1088/1741-2560/13/6/066009</w:t>
      </w:r>
    </w:p>
    <w:p w:rsidR="00FD74C6" w:rsidRDefault="00FD74C6" w:rsidP="00FD74C6">
      <w:pPr>
        <w:pStyle w:val="Literaturverzeichnis"/>
      </w:pPr>
      <w:r>
        <w:t xml:space="preserve">Voytek, B., &amp; Knight, R. T. (2015). Dynamic Network Communication as a Unifying Neural Basis for Cognition, Development, Aging, and Disease. </w:t>
      </w:r>
      <w:r>
        <w:rPr>
          <w:i/>
          <w:iCs/>
        </w:rPr>
        <w:t>Biological Psychiatry</w:t>
      </w:r>
      <w:r>
        <w:t xml:space="preserve">, </w:t>
      </w:r>
      <w:r>
        <w:rPr>
          <w:i/>
          <w:iCs/>
        </w:rPr>
        <w:t>77</w:t>
      </w:r>
      <w:r>
        <w:t>(12), 1089–1097. https://doi.org/10.1016/j.biopsych.2015.04.016</w:t>
      </w:r>
    </w:p>
    <w:p w:rsidR="00FD74C6" w:rsidRDefault="00FD74C6" w:rsidP="00FD74C6">
      <w:pPr>
        <w:pStyle w:val="Literaturverzeichnis"/>
      </w:pPr>
      <w:r>
        <w:t xml:space="preserve">Wichmann, T. (2019). Changing views of the pathophysiology of Parkinsonism. </w:t>
      </w:r>
      <w:r>
        <w:rPr>
          <w:i/>
          <w:iCs/>
        </w:rPr>
        <w:t>Movement Disorders</w:t>
      </w:r>
      <w:r>
        <w:t xml:space="preserve">, </w:t>
      </w:r>
      <w:r>
        <w:rPr>
          <w:i/>
          <w:iCs/>
        </w:rPr>
        <w:t>34</w:t>
      </w:r>
      <w:r>
        <w:t>(8), 1130–1143. https://doi.org/10.1002/mds.27741</w:t>
      </w:r>
    </w:p>
    <w:p w:rsidR="00FD74C6" w:rsidRDefault="00FD74C6" w:rsidP="00FD74C6">
      <w:pPr>
        <w:pStyle w:val="Literaturverzeichnis"/>
      </w:pPr>
      <w:r>
        <w:lastRenderedPageBreak/>
        <w:t xml:space="preserve">Zaidel, A., Spivak, A., Grieb, B., Bergman, H., &amp; Israel, Z. (2010). Subthalamic span of oscillations predicts deep brain stimulation efficacy for patients with Parkinson’s disease. </w:t>
      </w:r>
      <w:r>
        <w:rPr>
          <w:i/>
          <w:iCs/>
        </w:rPr>
        <w:t>Brain</w:t>
      </w:r>
      <w:r>
        <w:t xml:space="preserve">, </w:t>
      </w:r>
      <w:r>
        <w:rPr>
          <w:i/>
          <w:iCs/>
        </w:rPr>
        <w:t>133</w:t>
      </w:r>
      <w:r>
        <w:t>(7), 2007–2021. https://doi.org/10.1093/brain/awq144</w:t>
      </w:r>
    </w:p>
    <w:p w:rsidR="00CC4BAA" w:rsidRPr="00323C8A" w:rsidRDefault="00D26C2C" w:rsidP="00337758">
      <w:pPr>
        <w:spacing w:line="480" w:lineRule="auto"/>
        <w:jc w:val="both"/>
        <w:rPr>
          <w:rFonts w:ascii="Times New Roman" w:hAnsi="Times New Roman" w:cs="Times New Roman"/>
          <w:sz w:val="24"/>
          <w:szCs w:val="24"/>
        </w:rPr>
      </w:pPr>
      <w:r w:rsidRPr="0019788E">
        <w:rPr>
          <w:rFonts w:ascii="Times New Roman" w:hAnsi="Times New Roman" w:cs="Times New Roman"/>
          <w:sz w:val="24"/>
          <w:szCs w:val="24"/>
          <w:lang w:val="en-US"/>
        </w:rPr>
        <w:fldChar w:fldCharType="end"/>
      </w:r>
    </w:p>
    <w:p w:rsidR="00CC4BAA" w:rsidRPr="00323C8A" w:rsidRDefault="00CC4BAA" w:rsidP="00CC4BAA">
      <w:r w:rsidRPr="00323C8A">
        <w:br w:type="page"/>
      </w:r>
    </w:p>
    <w:p w:rsidR="00CC4BAA" w:rsidRPr="000C03D8" w:rsidRDefault="00CC4BAA" w:rsidP="00CC4BAA">
      <w:pPr>
        <w:pStyle w:val="berschrift1"/>
        <w:spacing w:line="480" w:lineRule="auto"/>
        <w:jc w:val="center"/>
        <w:rPr>
          <w:rFonts w:ascii="Times New Roman" w:hAnsi="Times New Roman" w:cs="Times New Roman"/>
          <w:b/>
          <w:color w:val="auto"/>
        </w:rPr>
      </w:pPr>
      <w:bookmarkStart w:id="33" w:name="_Toc102231180"/>
      <w:r w:rsidRPr="000C03D8">
        <w:rPr>
          <w:rFonts w:ascii="Times New Roman" w:hAnsi="Times New Roman" w:cs="Times New Roman"/>
          <w:b/>
          <w:color w:val="auto"/>
        </w:rPr>
        <w:lastRenderedPageBreak/>
        <w:t>Anhang</w:t>
      </w:r>
      <w:bookmarkEnd w:id="33"/>
    </w:p>
    <w:p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rsidR="00B35BA9" w:rsidRPr="000C03D8" w:rsidRDefault="00B35BA9" w:rsidP="00B35BA9">
      <w:pPr>
        <w:spacing w:line="480" w:lineRule="auto"/>
        <w:jc w:val="both"/>
        <w:rPr>
          <w:rFonts w:ascii="Times New Roman" w:hAnsi="Times New Roman" w:cs="Times New Roman"/>
          <w:sz w:val="24"/>
          <w:szCs w:val="24"/>
        </w:rPr>
      </w:pP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27"/>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77D" w:rsidRDefault="00A9177D" w:rsidP="009A4076">
      <w:pPr>
        <w:spacing w:after="0" w:line="240" w:lineRule="auto"/>
      </w:pPr>
      <w:r>
        <w:separator/>
      </w:r>
    </w:p>
  </w:endnote>
  <w:endnote w:type="continuationSeparator" w:id="0">
    <w:p w:rsidR="00A9177D" w:rsidRDefault="00A9177D"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77D" w:rsidRDefault="00A9177D" w:rsidP="009A4076">
      <w:pPr>
        <w:spacing w:after="0" w:line="240" w:lineRule="auto"/>
      </w:pPr>
      <w:r>
        <w:separator/>
      </w:r>
    </w:p>
  </w:footnote>
  <w:footnote w:type="continuationSeparator" w:id="0">
    <w:p w:rsidR="00A9177D" w:rsidRDefault="00A9177D" w:rsidP="009A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84551"/>
      <w:docPartObj>
        <w:docPartGallery w:val="Page Numbers (Top of Page)"/>
        <w:docPartUnique/>
      </w:docPartObj>
    </w:sdtPr>
    <w:sdtContent>
      <w:p w:rsidR="004F72C3" w:rsidRDefault="004F72C3">
        <w:pPr>
          <w:pStyle w:val="Kopfzeile"/>
          <w:jc w:val="right"/>
        </w:pPr>
        <w:r>
          <w:fldChar w:fldCharType="begin"/>
        </w:r>
        <w:r>
          <w:instrText>PAGE   \* MERGEFORMAT</w:instrText>
        </w:r>
        <w:r>
          <w:fldChar w:fldCharType="separate"/>
        </w:r>
        <w:r w:rsidR="00FD74C6">
          <w:rPr>
            <w:noProof/>
          </w:rPr>
          <w:t>46</w:t>
        </w:r>
        <w:r>
          <w:fldChar w:fldCharType="end"/>
        </w:r>
      </w:p>
    </w:sdtContent>
  </w:sdt>
  <w:p w:rsidR="004F72C3" w:rsidRDefault="004F72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1E82"/>
    <w:rsid w:val="0001456B"/>
    <w:rsid w:val="00023F1B"/>
    <w:rsid w:val="00030807"/>
    <w:rsid w:val="00030E79"/>
    <w:rsid w:val="00031E37"/>
    <w:rsid w:val="000502CA"/>
    <w:rsid w:val="000623F1"/>
    <w:rsid w:val="0006445C"/>
    <w:rsid w:val="0006494A"/>
    <w:rsid w:val="00064BC6"/>
    <w:rsid w:val="0007089E"/>
    <w:rsid w:val="000716BE"/>
    <w:rsid w:val="00075707"/>
    <w:rsid w:val="00080289"/>
    <w:rsid w:val="000823D8"/>
    <w:rsid w:val="00084A45"/>
    <w:rsid w:val="00085C3F"/>
    <w:rsid w:val="00087CA9"/>
    <w:rsid w:val="00094EA7"/>
    <w:rsid w:val="00095346"/>
    <w:rsid w:val="00095EE7"/>
    <w:rsid w:val="00095FB9"/>
    <w:rsid w:val="0009709E"/>
    <w:rsid w:val="000A2779"/>
    <w:rsid w:val="000A456E"/>
    <w:rsid w:val="000A59CC"/>
    <w:rsid w:val="000A7B2C"/>
    <w:rsid w:val="000A7E18"/>
    <w:rsid w:val="000B53A3"/>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2A83"/>
    <w:rsid w:val="00153082"/>
    <w:rsid w:val="00155869"/>
    <w:rsid w:val="00155949"/>
    <w:rsid w:val="001579F1"/>
    <w:rsid w:val="00160570"/>
    <w:rsid w:val="00160B62"/>
    <w:rsid w:val="00162609"/>
    <w:rsid w:val="00171926"/>
    <w:rsid w:val="00174D0A"/>
    <w:rsid w:val="0017793E"/>
    <w:rsid w:val="00183EF5"/>
    <w:rsid w:val="001879D9"/>
    <w:rsid w:val="00190BF4"/>
    <w:rsid w:val="00193E0E"/>
    <w:rsid w:val="00193E65"/>
    <w:rsid w:val="00196173"/>
    <w:rsid w:val="0019788E"/>
    <w:rsid w:val="001A107E"/>
    <w:rsid w:val="001A4C03"/>
    <w:rsid w:val="001A669B"/>
    <w:rsid w:val="001A759A"/>
    <w:rsid w:val="001B2C1C"/>
    <w:rsid w:val="001B40AC"/>
    <w:rsid w:val="001B40C0"/>
    <w:rsid w:val="001B472F"/>
    <w:rsid w:val="001B5C96"/>
    <w:rsid w:val="001B719C"/>
    <w:rsid w:val="001C4291"/>
    <w:rsid w:val="001C4B5E"/>
    <w:rsid w:val="001C57BB"/>
    <w:rsid w:val="001C6A92"/>
    <w:rsid w:val="001C7A6F"/>
    <w:rsid w:val="001D696C"/>
    <w:rsid w:val="001D7CCD"/>
    <w:rsid w:val="001E53E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1ED"/>
    <w:rsid w:val="00255E11"/>
    <w:rsid w:val="00257001"/>
    <w:rsid w:val="0026647E"/>
    <w:rsid w:val="00267210"/>
    <w:rsid w:val="002810FD"/>
    <w:rsid w:val="0028116E"/>
    <w:rsid w:val="00291CCA"/>
    <w:rsid w:val="002A2765"/>
    <w:rsid w:val="002A3CF9"/>
    <w:rsid w:val="002A5B77"/>
    <w:rsid w:val="002B033C"/>
    <w:rsid w:val="002B2F2C"/>
    <w:rsid w:val="002B3B68"/>
    <w:rsid w:val="002C0AF9"/>
    <w:rsid w:val="002C2F0B"/>
    <w:rsid w:val="002E1176"/>
    <w:rsid w:val="002F21E3"/>
    <w:rsid w:val="002F2462"/>
    <w:rsid w:val="002F2F98"/>
    <w:rsid w:val="002F4B56"/>
    <w:rsid w:val="002F55DE"/>
    <w:rsid w:val="002F5766"/>
    <w:rsid w:val="002F5F14"/>
    <w:rsid w:val="002F7E01"/>
    <w:rsid w:val="002F7FB3"/>
    <w:rsid w:val="00304D59"/>
    <w:rsid w:val="00306F70"/>
    <w:rsid w:val="00307BA4"/>
    <w:rsid w:val="00317441"/>
    <w:rsid w:val="0032010C"/>
    <w:rsid w:val="00321F42"/>
    <w:rsid w:val="003224DE"/>
    <w:rsid w:val="003235F2"/>
    <w:rsid w:val="00323C8A"/>
    <w:rsid w:val="00325273"/>
    <w:rsid w:val="00325C5E"/>
    <w:rsid w:val="00327F8E"/>
    <w:rsid w:val="003322D2"/>
    <w:rsid w:val="003349A0"/>
    <w:rsid w:val="00335719"/>
    <w:rsid w:val="00335D4C"/>
    <w:rsid w:val="003369C1"/>
    <w:rsid w:val="0033728A"/>
    <w:rsid w:val="00337758"/>
    <w:rsid w:val="00337D8D"/>
    <w:rsid w:val="00340031"/>
    <w:rsid w:val="00341361"/>
    <w:rsid w:val="00341376"/>
    <w:rsid w:val="00342718"/>
    <w:rsid w:val="00342E7A"/>
    <w:rsid w:val="00343C6C"/>
    <w:rsid w:val="00343E86"/>
    <w:rsid w:val="00345E7A"/>
    <w:rsid w:val="0034643F"/>
    <w:rsid w:val="00346E29"/>
    <w:rsid w:val="00354074"/>
    <w:rsid w:val="003542BC"/>
    <w:rsid w:val="00354E21"/>
    <w:rsid w:val="0035508D"/>
    <w:rsid w:val="00360434"/>
    <w:rsid w:val="00361555"/>
    <w:rsid w:val="003625C9"/>
    <w:rsid w:val="00370356"/>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106"/>
    <w:rsid w:val="003B4970"/>
    <w:rsid w:val="003B5734"/>
    <w:rsid w:val="003C24C5"/>
    <w:rsid w:val="003C26E7"/>
    <w:rsid w:val="003C3BE4"/>
    <w:rsid w:val="003C64AC"/>
    <w:rsid w:val="003C71DA"/>
    <w:rsid w:val="003C78F7"/>
    <w:rsid w:val="003D06CC"/>
    <w:rsid w:val="003E1B09"/>
    <w:rsid w:val="003E434A"/>
    <w:rsid w:val="003E4BE1"/>
    <w:rsid w:val="003E59CF"/>
    <w:rsid w:val="003F42FA"/>
    <w:rsid w:val="003F4AF4"/>
    <w:rsid w:val="003F5D4B"/>
    <w:rsid w:val="003F70B6"/>
    <w:rsid w:val="004000B0"/>
    <w:rsid w:val="00400442"/>
    <w:rsid w:val="004036E5"/>
    <w:rsid w:val="00403A86"/>
    <w:rsid w:val="00403EFA"/>
    <w:rsid w:val="00403FCE"/>
    <w:rsid w:val="00404122"/>
    <w:rsid w:val="0040745D"/>
    <w:rsid w:val="004119CC"/>
    <w:rsid w:val="00412FA3"/>
    <w:rsid w:val="00415C65"/>
    <w:rsid w:val="00415F05"/>
    <w:rsid w:val="00421F7B"/>
    <w:rsid w:val="00430E9B"/>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3C73"/>
    <w:rsid w:val="00475349"/>
    <w:rsid w:val="004778B5"/>
    <w:rsid w:val="004810E6"/>
    <w:rsid w:val="00483437"/>
    <w:rsid w:val="004904A7"/>
    <w:rsid w:val="00492E17"/>
    <w:rsid w:val="0049460C"/>
    <w:rsid w:val="004A551C"/>
    <w:rsid w:val="004A7834"/>
    <w:rsid w:val="004B117D"/>
    <w:rsid w:val="004B1A26"/>
    <w:rsid w:val="004B3024"/>
    <w:rsid w:val="004B5E2E"/>
    <w:rsid w:val="004B6190"/>
    <w:rsid w:val="004B7A80"/>
    <w:rsid w:val="004C3764"/>
    <w:rsid w:val="004C51EE"/>
    <w:rsid w:val="004C5996"/>
    <w:rsid w:val="004C62A2"/>
    <w:rsid w:val="004C7615"/>
    <w:rsid w:val="004D0B8A"/>
    <w:rsid w:val="004D142B"/>
    <w:rsid w:val="004D1546"/>
    <w:rsid w:val="004D5968"/>
    <w:rsid w:val="004D5C32"/>
    <w:rsid w:val="004D6C77"/>
    <w:rsid w:val="004D7765"/>
    <w:rsid w:val="004E28B4"/>
    <w:rsid w:val="004F0C78"/>
    <w:rsid w:val="004F60B1"/>
    <w:rsid w:val="004F72C3"/>
    <w:rsid w:val="00503B13"/>
    <w:rsid w:val="00503E2D"/>
    <w:rsid w:val="0050721B"/>
    <w:rsid w:val="0051280E"/>
    <w:rsid w:val="0051389B"/>
    <w:rsid w:val="00516698"/>
    <w:rsid w:val="005224A5"/>
    <w:rsid w:val="00527BD2"/>
    <w:rsid w:val="0053542A"/>
    <w:rsid w:val="0054194C"/>
    <w:rsid w:val="00541C3B"/>
    <w:rsid w:val="0054334D"/>
    <w:rsid w:val="00545DA4"/>
    <w:rsid w:val="00545DE5"/>
    <w:rsid w:val="0055306F"/>
    <w:rsid w:val="00557FEB"/>
    <w:rsid w:val="00562463"/>
    <w:rsid w:val="00562A51"/>
    <w:rsid w:val="005637F0"/>
    <w:rsid w:val="00563E03"/>
    <w:rsid w:val="005643EF"/>
    <w:rsid w:val="00575AB5"/>
    <w:rsid w:val="00576C0F"/>
    <w:rsid w:val="00583255"/>
    <w:rsid w:val="005914D3"/>
    <w:rsid w:val="0059460D"/>
    <w:rsid w:val="00596F24"/>
    <w:rsid w:val="005A139C"/>
    <w:rsid w:val="005A17E7"/>
    <w:rsid w:val="005A38F4"/>
    <w:rsid w:val="005A5A41"/>
    <w:rsid w:val="005A5DA1"/>
    <w:rsid w:val="005B233D"/>
    <w:rsid w:val="005B24EB"/>
    <w:rsid w:val="005B29EB"/>
    <w:rsid w:val="005B2AEA"/>
    <w:rsid w:val="005C0164"/>
    <w:rsid w:val="005C10C5"/>
    <w:rsid w:val="005C311D"/>
    <w:rsid w:val="005C413E"/>
    <w:rsid w:val="005D189F"/>
    <w:rsid w:val="005D65F1"/>
    <w:rsid w:val="005D6C98"/>
    <w:rsid w:val="005E28DA"/>
    <w:rsid w:val="005E3203"/>
    <w:rsid w:val="005F0C08"/>
    <w:rsid w:val="005F0D0D"/>
    <w:rsid w:val="005F128F"/>
    <w:rsid w:val="005F4B73"/>
    <w:rsid w:val="005F4D0E"/>
    <w:rsid w:val="005F5F37"/>
    <w:rsid w:val="005F6D74"/>
    <w:rsid w:val="005F71FB"/>
    <w:rsid w:val="005F79CC"/>
    <w:rsid w:val="006045B8"/>
    <w:rsid w:val="006065F4"/>
    <w:rsid w:val="00606DE4"/>
    <w:rsid w:val="00607622"/>
    <w:rsid w:val="00610D3E"/>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5BEC"/>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2EA"/>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682C"/>
    <w:rsid w:val="00761855"/>
    <w:rsid w:val="00770A1C"/>
    <w:rsid w:val="007717F4"/>
    <w:rsid w:val="0078306A"/>
    <w:rsid w:val="00783604"/>
    <w:rsid w:val="00785F35"/>
    <w:rsid w:val="00787280"/>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4FED"/>
    <w:rsid w:val="007F552F"/>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AE9"/>
    <w:rsid w:val="00843FF4"/>
    <w:rsid w:val="00847716"/>
    <w:rsid w:val="00852527"/>
    <w:rsid w:val="0085282E"/>
    <w:rsid w:val="00853078"/>
    <w:rsid w:val="0085728D"/>
    <w:rsid w:val="00857609"/>
    <w:rsid w:val="0086379C"/>
    <w:rsid w:val="008637AB"/>
    <w:rsid w:val="00863B8E"/>
    <w:rsid w:val="00866225"/>
    <w:rsid w:val="00867786"/>
    <w:rsid w:val="008724AD"/>
    <w:rsid w:val="00872575"/>
    <w:rsid w:val="00875986"/>
    <w:rsid w:val="00876C5E"/>
    <w:rsid w:val="008813BD"/>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395C"/>
    <w:rsid w:val="008E66E5"/>
    <w:rsid w:val="008E707B"/>
    <w:rsid w:val="008F1774"/>
    <w:rsid w:val="008F6B7C"/>
    <w:rsid w:val="009045F7"/>
    <w:rsid w:val="009120D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0A5B"/>
    <w:rsid w:val="009563DC"/>
    <w:rsid w:val="00956D07"/>
    <w:rsid w:val="00966214"/>
    <w:rsid w:val="0097193C"/>
    <w:rsid w:val="0097661F"/>
    <w:rsid w:val="009821B1"/>
    <w:rsid w:val="009829BB"/>
    <w:rsid w:val="009829E8"/>
    <w:rsid w:val="0098645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7A7B"/>
    <w:rsid w:val="009D21C5"/>
    <w:rsid w:val="009E164B"/>
    <w:rsid w:val="009E6828"/>
    <w:rsid w:val="009F0BD2"/>
    <w:rsid w:val="009F2646"/>
    <w:rsid w:val="009F2C28"/>
    <w:rsid w:val="009F71B9"/>
    <w:rsid w:val="00A021F4"/>
    <w:rsid w:val="00A045D7"/>
    <w:rsid w:val="00A05DBF"/>
    <w:rsid w:val="00A0676A"/>
    <w:rsid w:val="00A06DE3"/>
    <w:rsid w:val="00A11FF6"/>
    <w:rsid w:val="00A125A2"/>
    <w:rsid w:val="00A12A50"/>
    <w:rsid w:val="00A130E3"/>
    <w:rsid w:val="00A1348D"/>
    <w:rsid w:val="00A235A2"/>
    <w:rsid w:val="00A236E8"/>
    <w:rsid w:val="00A25B47"/>
    <w:rsid w:val="00A33422"/>
    <w:rsid w:val="00A42161"/>
    <w:rsid w:val="00A43161"/>
    <w:rsid w:val="00A43F20"/>
    <w:rsid w:val="00A458C8"/>
    <w:rsid w:val="00A47FB2"/>
    <w:rsid w:val="00A51B3E"/>
    <w:rsid w:val="00A53E22"/>
    <w:rsid w:val="00A546EE"/>
    <w:rsid w:val="00A6045F"/>
    <w:rsid w:val="00A64C60"/>
    <w:rsid w:val="00A72D6D"/>
    <w:rsid w:val="00A81F12"/>
    <w:rsid w:val="00A82198"/>
    <w:rsid w:val="00A82E5D"/>
    <w:rsid w:val="00A8416D"/>
    <w:rsid w:val="00A87B9E"/>
    <w:rsid w:val="00A90AB8"/>
    <w:rsid w:val="00A9177D"/>
    <w:rsid w:val="00A92C8D"/>
    <w:rsid w:val="00A92D87"/>
    <w:rsid w:val="00A92E93"/>
    <w:rsid w:val="00A93D10"/>
    <w:rsid w:val="00AA14DD"/>
    <w:rsid w:val="00AA520A"/>
    <w:rsid w:val="00AB5A7E"/>
    <w:rsid w:val="00AB6FCF"/>
    <w:rsid w:val="00AC16D6"/>
    <w:rsid w:val="00AD0940"/>
    <w:rsid w:val="00AD4E9E"/>
    <w:rsid w:val="00AD619B"/>
    <w:rsid w:val="00AD7E1B"/>
    <w:rsid w:val="00AE35F8"/>
    <w:rsid w:val="00AF1A6E"/>
    <w:rsid w:val="00AF6079"/>
    <w:rsid w:val="00B00B23"/>
    <w:rsid w:val="00B0614E"/>
    <w:rsid w:val="00B06FE2"/>
    <w:rsid w:val="00B112C9"/>
    <w:rsid w:val="00B13614"/>
    <w:rsid w:val="00B17ACC"/>
    <w:rsid w:val="00B20730"/>
    <w:rsid w:val="00B20E7A"/>
    <w:rsid w:val="00B21298"/>
    <w:rsid w:val="00B2426C"/>
    <w:rsid w:val="00B24691"/>
    <w:rsid w:val="00B3052E"/>
    <w:rsid w:val="00B30E54"/>
    <w:rsid w:val="00B312D7"/>
    <w:rsid w:val="00B33C26"/>
    <w:rsid w:val="00B35BA9"/>
    <w:rsid w:val="00B35EA1"/>
    <w:rsid w:val="00B36BC8"/>
    <w:rsid w:val="00B43223"/>
    <w:rsid w:val="00B43C14"/>
    <w:rsid w:val="00B47553"/>
    <w:rsid w:val="00B47799"/>
    <w:rsid w:val="00B47FD4"/>
    <w:rsid w:val="00B53390"/>
    <w:rsid w:val="00B55603"/>
    <w:rsid w:val="00B55E11"/>
    <w:rsid w:val="00B579DE"/>
    <w:rsid w:val="00B61CB9"/>
    <w:rsid w:val="00B66FBD"/>
    <w:rsid w:val="00B679D1"/>
    <w:rsid w:val="00B67AB5"/>
    <w:rsid w:val="00B70F69"/>
    <w:rsid w:val="00B716D2"/>
    <w:rsid w:val="00B73E19"/>
    <w:rsid w:val="00B77089"/>
    <w:rsid w:val="00B77A63"/>
    <w:rsid w:val="00B77D49"/>
    <w:rsid w:val="00B84E11"/>
    <w:rsid w:val="00B861AE"/>
    <w:rsid w:val="00B86607"/>
    <w:rsid w:val="00B86D3C"/>
    <w:rsid w:val="00B91321"/>
    <w:rsid w:val="00B9395C"/>
    <w:rsid w:val="00B94287"/>
    <w:rsid w:val="00B958E0"/>
    <w:rsid w:val="00BA19F1"/>
    <w:rsid w:val="00BA3F56"/>
    <w:rsid w:val="00BA6F4A"/>
    <w:rsid w:val="00BB06B2"/>
    <w:rsid w:val="00BB0F3D"/>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14B3"/>
    <w:rsid w:val="00BE20E5"/>
    <w:rsid w:val="00BE4CEF"/>
    <w:rsid w:val="00BE7904"/>
    <w:rsid w:val="00BF15C0"/>
    <w:rsid w:val="00BF1CB7"/>
    <w:rsid w:val="00BF2717"/>
    <w:rsid w:val="00BF4D10"/>
    <w:rsid w:val="00C002CD"/>
    <w:rsid w:val="00C00E12"/>
    <w:rsid w:val="00C03320"/>
    <w:rsid w:val="00C041A8"/>
    <w:rsid w:val="00C04A11"/>
    <w:rsid w:val="00C04EE8"/>
    <w:rsid w:val="00C056D5"/>
    <w:rsid w:val="00C073B8"/>
    <w:rsid w:val="00C141B0"/>
    <w:rsid w:val="00C16DA5"/>
    <w:rsid w:val="00C24D89"/>
    <w:rsid w:val="00C269DB"/>
    <w:rsid w:val="00C32600"/>
    <w:rsid w:val="00C33B2D"/>
    <w:rsid w:val="00C354B8"/>
    <w:rsid w:val="00C36D16"/>
    <w:rsid w:val="00C37B5C"/>
    <w:rsid w:val="00C43452"/>
    <w:rsid w:val="00C47D0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9653B"/>
    <w:rsid w:val="00CA1511"/>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04CB4"/>
    <w:rsid w:val="00D05E93"/>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57DBC"/>
    <w:rsid w:val="00D60E01"/>
    <w:rsid w:val="00D625F0"/>
    <w:rsid w:val="00D64C7A"/>
    <w:rsid w:val="00D659D2"/>
    <w:rsid w:val="00D65DB2"/>
    <w:rsid w:val="00D65F3D"/>
    <w:rsid w:val="00D66911"/>
    <w:rsid w:val="00D67C89"/>
    <w:rsid w:val="00D7004D"/>
    <w:rsid w:val="00D72EB4"/>
    <w:rsid w:val="00D7646A"/>
    <w:rsid w:val="00D77A6A"/>
    <w:rsid w:val="00D82083"/>
    <w:rsid w:val="00D82EED"/>
    <w:rsid w:val="00D8683D"/>
    <w:rsid w:val="00D94BE3"/>
    <w:rsid w:val="00D94D81"/>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ED5"/>
    <w:rsid w:val="00E27FA0"/>
    <w:rsid w:val="00E3180C"/>
    <w:rsid w:val="00E35838"/>
    <w:rsid w:val="00E36320"/>
    <w:rsid w:val="00E45DFC"/>
    <w:rsid w:val="00E509D9"/>
    <w:rsid w:val="00E5355F"/>
    <w:rsid w:val="00E635F2"/>
    <w:rsid w:val="00E65182"/>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C3B09"/>
    <w:rsid w:val="00ED2315"/>
    <w:rsid w:val="00ED36E1"/>
    <w:rsid w:val="00ED5162"/>
    <w:rsid w:val="00EE0F79"/>
    <w:rsid w:val="00EE1234"/>
    <w:rsid w:val="00EE1FD7"/>
    <w:rsid w:val="00EF2E9F"/>
    <w:rsid w:val="00EF4228"/>
    <w:rsid w:val="00EF5196"/>
    <w:rsid w:val="00EF627E"/>
    <w:rsid w:val="00EF6A05"/>
    <w:rsid w:val="00F04EC7"/>
    <w:rsid w:val="00F06319"/>
    <w:rsid w:val="00F07B62"/>
    <w:rsid w:val="00F14BE5"/>
    <w:rsid w:val="00F16082"/>
    <w:rsid w:val="00F1612E"/>
    <w:rsid w:val="00F17AE3"/>
    <w:rsid w:val="00F20432"/>
    <w:rsid w:val="00F207B0"/>
    <w:rsid w:val="00F209E7"/>
    <w:rsid w:val="00F234B7"/>
    <w:rsid w:val="00F23AD3"/>
    <w:rsid w:val="00F2559C"/>
    <w:rsid w:val="00F26140"/>
    <w:rsid w:val="00F26471"/>
    <w:rsid w:val="00F2656C"/>
    <w:rsid w:val="00F26F0D"/>
    <w:rsid w:val="00F30356"/>
    <w:rsid w:val="00F30473"/>
    <w:rsid w:val="00F31DD7"/>
    <w:rsid w:val="00F36ED1"/>
    <w:rsid w:val="00F4057B"/>
    <w:rsid w:val="00F4272F"/>
    <w:rsid w:val="00F45874"/>
    <w:rsid w:val="00F50C5B"/>
    <w:rsid w:val="00F53E1D"/>
    <w:rsid w:val="00F576AF"/>
    <w:rsid w:val="00F577BF"/>
    <w:rsid w:val="00F57C8A"/>
    <w:rsid w:val="00F6126C"/>
    <w:rsid w:val="00F63A22"/>
    <w:rsid w:val="00F65A91"/>
    <w:rsid w:val="00F70B1B"/>
    <w:rsid w:val="00F7580F"/>
    <w:rsid w:val="00F7695A"/>
    <w:rsid w:val="00F77CBB"/>
    <w:rsid w:val="00F77EC2"/>
    <w:rsid w:val="00F83E31"/>
    <w:rsid w:val="00F858AF"/>
    <w:rsid w:val="00F9011C"/>
    <w:rsid w:val="00F93364"/>
    <w:rsid w:val="00F96889"/>
    <w:rsid w:val="00F96CB9"/>
    <w:rsid w:val="00F97B00"/>
    <w:rsid w:val="00FA0E4A"/>
    <w:rsid w:val="00FA2112"/>
    <w:rsid w:val="00FA30C6"/>
    <w:rsid w:val="00FA6E57"/>
    <w:rsid w:val="00FA7950"/>
    <w:rsid w:val="00FB03F6"/>
    <w:rsid w:val="00FB14CA"/>
    <w:rsid w:val="00FB2138"/>
    <w:rsid w:val="00FB72CF"/>
    <w:rsid w:val="00FC0B88"/>
    <w:rsid w:val="00FC4F00"/>
    <w:rsid w:val="00FC5862"/>
    <w:rsid w:val="00FD007B"/>
    <w:rsid w:val="00FD199E"/>
    <w:rsid w:val="00FD3B36"/>
    <w:rsid w:val="00FD57B9"/>
    <w:rsid w:val="00FD5AFD"/>
    <w:rsid w:val="00FD74C6"/>
    <w:rsid w:val="00FE115F"/>
    <w:rsid w:val="00FE568A"/>
    <w:rsid w:val="00FE684F"/>
    <w:rsid w:val="00FF204A"/>
    <w:rsid w:val="00FF4E18"/>
    <w:rsid w:val="00FF519D"/>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C03D8"/>
    <w:pPr>
      <w:outlineLvl w:val="9"/>
    </w:pPr>
    <w:rPr>
      <w:lang w:eastAsia="de-DE"/>
    </w:rPr>
  </w:style>
  <w:style w:type="paragraph" w:styleId="Verzeichnis1">
    <w:name w:val="toc 1"/>
    <w:basedOn w:val="Standard"/>
    <w:next w:val="Standard"/>
    <w:autoRedefine/>
    <w:uiPriority w:val="39"/>
    <w:unhideWhenUsed/>
    <w:rsid w:val="000C03D8"/>
    <w:pPr>
      <w:spacing w:after="100"/>
    </w:pPr>
  </w:style>
  <w:style w:type="paragraph" w:styleId="Verzeichnis2">
    <w:name w:val="toc 2"/>
    <w:basedOn w:val="Standard"/>
    <w:next w:val="Standard"/>
    <w:autoRedefine/>
    <w:uiPriority w:val="39"/>
    <w:unhideWhenUsed/>
    <w:rsid w:val="000C03D8"/>
    <w:pPr>
      <w:spacing w:after="100"/>
      <w:ind w:left="220"/>
    </w:pPr>
  </w:style>
  <w:style w:type="paragraph" w:styleId="Verzeichnis3">
    <w:name w:val="toc 3"/>
    <w:basedOn w:val="Standard"/>
    <w:next w:val="Standard"/>
    <w:autoRedefine/>
    <w:uiPriority w:val="39"/>
    <w:unhideWhenUsed/>
    <w:rsid w:val="000C03D8"/>
    <w:pPr>
      <w:spacing w:after="100"/>
      <w:ind w:left="440"/>
    </w:pPr>
  </w:style>
  <w:style w:type="paragraph" w:styleId="Titel">
    <w:name w:val="Title"/>
    <w:basedOn w:val="Standard"/>
    <w:next w:val="Standard"/>
    <w:link w:val="TitelZchn"/>
    <w:uiPriority w:val="10"/>
    <w:qFormat/>
    <w:rsid w:val="00362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25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63DD0-CEFA-42D9-A002-C7F65848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56217</Words>
  <Characters>354173</Characters>
  <Application>Microsoft Office Word</Application>
  <DocSecurity>0</DocSecurity>
  <Lines>2951</Lines>
  <Paragraphs>819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533</cp:revision>
  <dcterms:created xsi:type="dcterms:W3CDTF">2022-01-10T16:42:00Z</dcterms:created>
  <dcterms:modified xsi:type="dcterms:W3CDTF">2022-05-10T13:49:00Z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id="HWonLECf"/&gt;&lt;style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