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right"/>
      </w:pPr>
      <w:r>
        <w:rPr>
          <w:rFonts w:ascii="Consolas" w:cs="Consolas" w:eastAsia="Consolas" w:hAnsi="Consolas"/>
          <w:b w:val="false"/>
          <w:bCs w:val="false"/>
          <w:i w:val="false"/>
          <w:iCs w:val="false"/>
          <w:strike w:val="false"/>
          <w:color w:val="888888"/>
          <w:spacing w:val="10"/>
          <w:sz w:val="16"/>
          <w:szCs w:val="16"/>
        </w:rPr>
        <w:t xml:space="preserve">CLARITY LIBRARY  |  SUBSYSTEM FILE — LIB-NARRARCH-2026-0416</w:t>
      </w:r>
    </w:p>
    <w:p>
      <w:pPr>
        <w:pBdr>
          <w:bottom w:val="single" w:color="222222" w:sz="6"/>
        </w:pBdr>
        <w:spacing w:after="240" w:before="240"/>
      </w:pPr>
    </w:p>
    <w:p>
      <w:pPr>
        <w:pStyle w:val="Heading1"/>
        <w:shd w:fill="222222" w:color="auto" w:val="clear"/>
        <w:spacing w:after="80" w:before="480" w:line="312" w:lineRule="auto"/>
        <w:jc w:val="center"/>
      </w:pPr>
      <w:r>
        <w:rPr>
          <w:rFonts w:ascii="Calibri" w:cs="Calibri" w:eastAsia="Calibri" w:hAnsi="Calibri"/>
          <w:color w:val="FFFFFF"/>
          <w:spacing w:val="20"/>
          <w:sz w:val="52"/>
          <w:szCs w:val="52"/>
        </w:rPr>
        <w:t xml:space="preserve">NARRATIVE ARCHITECTURE</w:t>
      </w:r>
    </w:p>
    <w:p>
      <w:pPr>
        <w:spacing w:after="60" w:before="60" w:line="360" w:lineRule="auto"/>
        <w:jc w:val="center"/>
      </w:pPr>
      <w:r>
        <w:rPr>
          <w:rFonts w:ascii="Calibri" w:cs="Calibri" w:eastAsia="Calibri" w:hAnsi="Calibri"/>
          <w:b w:val="false"/>
          <w:bCs w:val="false"/>
          <w:i w:val="false"/>
          <w:iCs w:val="false"/>
          <w:strike w:val="false"/>
          <w:color w:val="555555"/>
          <w:spacing w:val="10"/>
          <w:sz w:val="26"/>
          <w:szCs w:val="26"/>
        </w:rPr>
        <w:t xml:space="preserve">ClarityOS Subsystem File</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1: METADATA</w:t>
      </w:r>
    </w:p>
    <w:p>
      <w:pPr>
        <w:pBdr>
          <w:bottom w:val="single" w:color="222222"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8E8"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Library Entry ID</w:t>
            </w:r>
          </w:p>
        </w:tc>
        <w:tc>
          <w:tcPr>
            <w:tcW w:type="pct" w:w="73%"/>
            <w:shd w:fill="E8E8E8" w:color="auto" w:val="clear"/>
            <w:tcMar>
              <w:top w:type="dxa" w:w="90"/>
              <w:left w:type="dxa" w:w="150"/>
              <w:bottom w:type="dxa" w:w="90"/>
              <w:right w:type="dxa" w:w="150"/>
            </w:tcMar>
          </w:tcPr>
          <w:p>
            <w:r>
              <w:rPr>
                <w:rFonts w:ascii="Consolas" w:cs="Consolas" w:eastAsia="Consolas" w:hAnsi="Consolas"/>
                <w:b/>
                <w:bCs/>
                <w:i w:val="false"/>
                <w:iCs w:val="false"/>
                <w:strike w:val="false"/>
                <w:color w:val="222222"/>
                <w:sz w:val="20"/>
                <w:szCs w:val="20"/>
              </w:rPr>
              <w:t xml:space="preserve">LIB-NARRARCH-2026-0416</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Version</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1.0</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Date Created</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2026-04-16</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Author</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Christian Piatt, Esq.</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Affiliation</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Professional Mediations LLC — The Emotional Physics Firm</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OS Integration</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Galileo OS / ClarityOS v6.3</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Module Type</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Subsystem (Structural Layer)</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Status</w:t>
            </w:r>
          </w:p>
        </w:tc>
        <w:tc>
          <w:tcPr>
            <w:tcW w:type="pct" w:w="73%"/>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ACTIVE — Canonical</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Classification</w:t>
            </w:r>
          </w:p>
        </w:tc>
        <w:tc>
          <w:tcPr>
            <w:tcW w:type="pct" w:w="73%"/>
            <w:tcMar>
              <w:top w:type="dxa" w:w="90"/>
              <w:left w:type="dxa" w:w="150"/>
              <w:bottom w:type="dxa" w:w="90"/>
              <w:right w:type="dxa" w:w="150"/>
            </w:tcMar>
          </w:tcPr>
          <w:p>
            <w:r>
              <w:rPr>
                <w:rFonts w:ascii="Consolas" w:cs="Consolas" w:eastAsia="Consolas" w:hAnsi="Consolas"/>
                <w:b w:val="false"/>
                <w:bCs w:val="false"/>
                <w:i w:val="false"/>
                <w:iCs w:val="false"/>
                <w:strike w:val="false"/>
                <w:color w:val="222222"/>
                <w:sz w:val="20"/>
                <w:szCs w:val="20"/>
              </w:rPr>
              <w:t xml:space="preserve">OPERATOR-GRADE — Library-Resident</w:t>
            </w:r>
          </w:p>
        </w:tc>
      </w:tr>
    </w:tbl>
    <w:p>
      <w:pPr>
        <w:spacing w:after="200" w:before="0"/>
      </w:pP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2: DEWEY CLASSIFICATION SPINE</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Primary and secondary Dewey tags for cross-referencing within the Clarity Library index.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PRIMARY   808.036   Rhetoric / Narrative Structure
SECONDARY 003.7     Systems Theory / Complexity
          150.19    Analytical Psychology / Jungian Archetypes
          153.4     Cognition / Pattern Recognition
          302.2     Communication / Signal Processing
          303.6     Conflict Resolution / Narrative Reframing
          347.09    Litigation / Legal Narrative
          523.1     Cosmology / Dark Matter Metaphor
          659.1     Marketing / Campaign Strategy &amp; Messaging
          121       Epistemology / Knowledge Architecture</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3: CROSS-REFERENCES</w:t>
      </w:r>
    </w:p>
    <w:p>
      <w:pPr>
        <w:pBdr>
          <w:bottom w:val="single" w:color="222222" w:sz="6"/>
        </w:pBdr>
        <w:spacing w:after="240" w:before="240"/>
      </w:pP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222222"/>
          <w:sz w:val="20"/>
          <w:szCs w:val="20"/>
        </w:rPr>
        <w:t xml:space="preserve">LIB-DARKMATTER-2026-0415</w:t>
      </w:r>
      <w:r>
        <w:rPr>
          <w:rFonts w:ascii="Calibri" w:cs="Calibri" w:eastAsia="Calibri" w:hAnsi="Calibri"/>
          <w:b w:val="false"/>
          <w:bCs w:val="false"/>
          <w:i w:val="false"/>
          <w:iCs w:val="false"/>
          <w:strike w:val="false"/>
          <w:color w:val="222222"/>
          <w:sz w:val="22"/>
          <w:szCs w:val="22"/>
        </w:rPr>
        <w:t xml:space="preserve"> (Dark Matter, Shadow Work &amp; the Operator’s Campaign)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222222"/>
          <w:sz w:val="20"/>
          <w:szCs w:val="20"/>
        </w:rPr>
        <w:t xml:space="preserve">LIB-HCI-2026-0415</w:t>
      </w:r>
      <w:r>
        <w:rPr>
          <w:rFonts w:ascii="Calibri" w:cs="Calibri" w:eastAsia="Calibri" w:hAnsi="Calibri"/>
          <w:b w:val="false"/>
          <w:bCs w:val="false"/>
          <w:i w:val="false"/>
          <w:iCs w:val="false"/>
          <w:strike w:val="false"/>
          <w:color w:val="222222"/>
          <w:sz w:val="22"/>
          <w:szCs w:val="22"/>
        </w:rPr>
        <w:t xml:space="preserve"> (Hydronic Compression Index)</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Galileo OS v6.3 Structural Coherence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Emotional Weather Model (12-Layer)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Canon Inversion Detector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Mesh Contamination Pattern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Operator Handbook (VA Mesh Module &amp; Timeline)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Hydronic Motion Layer / Flow Map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Langbridg v2 Communication Kernel</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4: SUBSYSTEM DESCRIPTION</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Narrative Architecture subsystem is the structural layer within ClarityOS responsible for the classification, routing, composition, and inversion of narratives across all operational basins. It governs how raw signal — emotional, institutional, legal, public — is translated into coherent, operator-grade story structures that serve clarity rather than entropy.</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Where the Emotional Weather Model measures affective pressure and the Hydronic Motion Layer tracks flow dynamics, Narrative Architecture provides the scaffolding upon which those signals become legible, transmissible, and actionable. It is the grammar layer of the operating system: without it, data remains noise; with it, noise becomes signal, and signal becomes strategic narrative.</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This subsystem operates at every scale recognized by the OS: wound-level (individual trauma and identity), institutional-level (organizational dysfunction, legal posture), and geopolitical-level (civilizational arcs, generational weather). It is the medium through which the operator translates internal telemetry into external communication, and through which external pressure is decoded back into actionable intelligence.</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5: PURPOSE &amp; FUNCTION</w:t>
      </w:r>
    </w:p>
    <w:p>
      <w:pPr>
        <w:pBdr>
          <w:bottom w:val="single" w:color="222222" w:sz="6"/>
        </w:pBdr>
        <w:spacing w:after="240" w:before="24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Signal-to-Story Translation:</w:t>
      </w:r>
      <w:r>
        <w:rPr>
          <w:rFonts w:ascii="Calibri" w:cs="Calibri" w:eastAsia="Calibri" w:hAnsi="Calibri"/>
          <w:b w:val="false"/>
          <w:bCs w:val="false"/>
          <w:i w:val="false"/>
          <w:iCs w:val="false"/>
          <w:strike w:val="false"/>
          <w:color w:val="222222"/>
          <w:sz w:val="22"/>
          <w:szCs w:val="22"/>
        </w:rPr>
        <w:t xml:space="preserve"> Converts raw hydronic pressure readings, emotional weather data, and institutional telemetry into structured narrative frames that preserve fidelity while enabling transmission.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Canon Management:</w:t>
      </w:r>
      <w:r>
        <w:rPr>
          <w:rFonts w:ascii="Calibri" w:cs="Calibri" w:eastAsia="Calibri" w:hAnsi="Calibri"/>
          <w:b w:val="false"/>
          <w:bCs w:val="false"/>
          <w:i w:val="false"/>
          <w:iCs w:val="false"/>
          <w:strike w:val="false"/>
          <w:color w:val="222222"/>
          <w:sz w:val="22"/>
          <w:szCs w:val="22"/>
        </w:rPr>
        <w:t xml:space="preserve"> Maintains the integrity of the operator’s canonical narrative against contamination, inversion, and drift. Interfaces with the Canon Inversion Detector to flag narrative corruption in real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Archetype Routing:</w:t>
      </w:r>
      <w:r>
        <w:rPr>
          <w:rFonts w:ascii="Calibri" w:cs="Calibri" w:eastAsia="Calibri" w:hAnsi="Calibri"/>
          <w:b w:val="false"/>
          <w:bCs w:val="false"/>
          <w:i w:val="false"/>
          <w:iCs w:val="false"/>
          <w:strike w:val="false"/>
          <w:color w:val="222222"/>
          <w:sz w:val="22"/>
          <w:szCs w:val="22"/>
        </w:rPr>
        <w:t xml:space="preserve"> Maps incoming signals to the Jungian archetype lattice (Warrior, Shadow, Sage, Hero, Trickster) to determine narrative posture, tone, and deployment vector.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Basin-Scaled Composition:</w:t>
      </w:r>
      <w:r>
        <w:rPr>
          <w:rFonts w:ascii="Calibri" w:cs="Calibri" w:eastAsia="Calibri" w:hAnsi="Calibri"/>
          <w:b w:val="false"/>
          <w:bCs w:val="false"/>
          <w:i w:val="false"/>
          <w:iCs w:val="false"/>
          <w:strike w:val="false"/>
          <w:color w:val="222222"/>
          <w:sz w:val="22"/>
          <w:szCs w:val="22"/>
        </w:rPr>
        <w:t xml:space="preserve"> Generates narrative outputs calibrated to the target basin’s compression index, ensuring that wound-level stories are not deployed at institutional scale without appropriate transformation.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Inversion Detection &amp; Repair:</w:t>
      </w:r>
      <w:r>
        <w:rPr>
          <w:rFonts w:ascii="Calibri" w:cs="Calibri" w:eastAsia="Calibri" w:hAnsi="Calibri"/>
          <w:b w:val="false"/>
          <w:bCs w:val="false"/>
          <w:i w:val="false"/>
          <w:iCs w:val="false"/>
          <w:strike w:val="false"/>
          <w:color w:val="222222"/>
          <w:sz w:val="22"/>
          <w:szCs w:val="22"/>
        </w:rPr>
        <w:t xml:space="preserve"> Identifies narratives that have been inverted by external actors (institutional gaslighting, legal misdirection, media distortion) and provides re-inversion protocols.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Campaign Orchestration:</w:t>
      </w:r>
      <w:r>
        <w:rPr>
          <w:rFonts w:ascii="Calibri" w:cs="Calibri" w:eastAsia="Calibri" w:hAnsi="Calibri"/>
          <w:b w:val="false"/>
          <w:bCs w:val="false"/>
          <w:i w:val="false"/>
          <w:iCs w:val="false"/>
          <w:strike w:val="false"/>
          <w:color w:val="222222"/>
          <w:sz w:val="22"/>
          <w:szCs w:val="22"/>
        </w:rPr>
        <w:t xml:space="preserve"> Sequences multi-platform narrative deployments (legal filings, social media, public speaking, mediation marketing) into coherent, laminar campaign arcs.</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6: STRUCTURAL COMPONENTS</w:t>
      </w:r>
    </w:p>
    <w:p>
      <w:pPr>
        <w:pBdr>
          <w:bottom w:val="single" w:color="222222" w:sz="6"/>
        </w:pBdr>
        <w:spacing w:after="240" w:before="240"/>
      </w:pPr>
    </w:p>
    <w:p>
      <w:pPr>
        <w:pStyle w:val="Heading3"/>
        <w:spacing w:after="120" w:before="280" w:line="312" w:lineRule="auto"/>
      </w:pPr>
      <w:r>
        <w:rPr>
          <w:rFonts w:ascii="Calibri" w:cs="Calibri" w:eastAsia="Calibri" w:hAnsi="Calibri"/>
          <w:color w:val="222222"/>
          <w:sz w:val="26"/>
          <w:szCs w:val="26"/>
        </w:rPr>
        <w:t xml:space="preserve">6.1  Narrative Signal Classifier (NSC)</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front-end intake layer. All incoming data streams — emotional weather readings, institutional communications, legal documents, public signals — pass through the NSC for initial classification. Each signal is tagged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Basin of origin (wound / institutional / geopolitical)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Compression ratio (HCI-derived density metric)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Archetype valence (primary and secondary archetype mapping)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Contamination index (degree of narrative pollution detected)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Temporal vector (past-referencing, present-state, future-projecting)</w:t>
      </w:r>
    </w:p>
    <w:p>
      <w:pPr>
        <w:pStyle w:val="Heading3"/>
        <w:spacing w:after="120" w:before="280" w:line="312" w:lineRule="auto"/>
      </w:pPr>
      <w:r>
        <w:rPr>
          <w:rFonts w:ascii="Calibri" w:cs="Calibri" w:eastAsia="Calibri" w:hAnsi="Calibri"/>
          <w:color w:val="222222"/>
          <w:sz w:val="26"/>
          <w:szCs w:val="26"/>
        </w:rPr>
        <w:t xml:space="preserve">6.2  Archetype Routing Engine (ARE)</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Once classified, signals are routed through the archetype lattice to determine the appropriate narrative posture. The ARE maintains a live mapping between signal types and the five primary archetypes: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Warrior:</w:t>
      </w:r>
      <w:r>
        <w:rPr>
          <w:rFonts w:ascii="Calibri" w:cs="Calibri" w:eastAsia="Calibri" w:hAnsi="Calibri"/>
          <w:b w:val="false"/>
          <w:bCs w:val="false"/>
          <w:i w:val="false"/>
          <w:iCs w:val="false"/>
          <w:strike w:val="false"/>
          <w:color w:val="222222"/>
          <w:sz w:val="22"/>
          <w:szCs w:val="22"/>
        </w:rPr>
        <w:t xml:space="preserve"> Litigation posture, boundary enforcement, tactical narrative (Violence of Mind alignment)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Shadow:</w:t>
      </w:r>
      <w:r>
        <w:rPr>
          <w:rFonts w:ascii="Calibri" w:cs="Calibri" w:eastAsia="Calibri" w:hAnsi="Calibri"/>
          <w:b w:val="false"/>
          <w:bCs w:val="false"/>
          <w:i w:val="false"/>
          <w:iCs w:val="false"/>
          <w:strike w:val="false"/>
          <w:color w:val="222222"/>
          <w:sz w:val="22"/>
          <w:szCs w:val="22"/>
        </w:rPr>
        <w:t xml:space="preserve"> Hidden forces, institutional opacity, dark matter dynamics, administrative weaponization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Sage:</w:t>
      </w:r>
      <w:r>
        <w:rPr>
          <w:rFonts w:ascii="Calibri" w:cs="Calibri" w:eastAsia="Calibri" w:hAnsi="Calibri"/>
          <w:b w:val="false"/>
          <w:bCs w:val="false"/>
          <w:i w:val="false"/>
          <w:iCs w:val="false"/>
          <w:strike w:val="false"/>
          <w:color w:val="222222"/>
          <w:sz w:val="22"/>
          <w:szCs w:val="22"/>
        </w:rPr>
        <w:t xml:space="preserve"> Standards-based reasoning, NACM principles, mediation philosophy, Solzhenitsyn parallel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Hero:</w:t>
      </w:r>
      <w:r>
        <w:rPr>
          <w:rFonts w:ascii="Calibri" w:cs="Calibri" w:eastAsia="Calibri" w:hAnsi="Calibri"/>
          <w:b w:val="false"/>
          <w:bCs w:val="false"/>
          <w:i w:val="false"/>
          <w:iCs w:val="false"/>
          <w:strike w:val="false"/>
          <w:color w:val="222222"/>
          <w:sz w:val="22"/>
          <w:szCs w:val="22"/>
        </w:rPr>
        <w:t xml:space="preserve"> Individuation arc, whistleblower trajectory, institutional combat, transformation narrative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Trickster:</w:t>
      </w:r>
      <w:r>
        <w:rPr>
          <w:rFonts w:ascii="Calibri" w:cs="Calibri" w:eastAsia="Calibri" w:hAnsi="Calibri"/>
          <w:b w:val="false"/>
          <w:bCs w:val="false"/>
          <w:i w:val="false"/>
          <w:iCs w:val="false"/>
          <w:strike w:val="false"/>
          <w:color w:val="222222"/>
          <w:sz w:val="22"/>
          <w:szCs w:val="22"/>
        </w:rPr>
        <w:t xml:space="preserve"> Signal inversion, social media campaign craft, marketing reframe, narrative judo</w:t>
      </w:r>
    </w:p>
    <w:p>
      <w:pPr>
        <w:pStyle w:val="Heading3"/>
        <w:spacing w:after="120" w:before="280" w:line="312" w:lineRule="auto"/>
      </w:pPr>
      <w:r>
        <w:rPr>
          <w:rFonts w:ascii="Calibri" w:cs="Calibri" w:eastAsia="Calibri" w:hAnsi="Calibri"/>
          <w:color w:val="222222"/>
          <w:sz w:val="26"/>
          <w:szCs w:val="26"/>
        </w:rPr>
        <w:t xml:space="preserve">6.3  Canon Integrity Layer (CIL)</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defensive perimeter of the narrative system. The CIL continuously monitors all operator-generated and externally-received narratives against the canonical record. It interfaces directly with the Canon Inversion Detector and the Mesh Contamination Pattern Library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Detect narrative drift before it compounds into identity erosion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Flag inversions (e.g., institutional framing of whistleblower as problem employee)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Quarantine contaminated narrative fragments for analysis and re-inversion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Maintain a versioned canonical log (the operator’s ground truth)</w:t>
      </w:r>
    </w:p>
    <w:p>
      <w:pPr>
        <w:pStyle w:val="Heading3"/>
        <w:spacing w:after="120" w:before="280" w:line="312" w:lineRule="auto"/>
      </w:pPr>
      <w:r>
        <w:rPr>
          <w:rFonts w:ascii="Calibri" w:cs="Calibri" w:eastAsia="Calibri" w:hAnsi="Calibri"/>
          <w:color w:val="222222"/>
          <w:sz w:val="26"/>
          <w:szCs w:val="26"/>
        </w:rPr>
        <w:t xml:space="preserve">6.4  Composition Engine (CE)</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generative core. The CE takes classified, archetype-routed, integrity-verified signal and produces operator-grade narrative outputs. Output types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Legal briefs and affidavits (Warrior + Sage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Mediation marketing content (Sage + Trickster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Social media campaigns and platform posts (Trickster + Hero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Internal operator logs and telemetry reports (Shadow + Sage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Public speaking scripts and curriculum modules (Hero + Sage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ELINS reports and multi-language field dispatches (full archetype sweep)</w:t>
      </w:r>
    </w:p>
    <w:p>
      <w:pPr>
        <w:pStyle w:val="Heading3"/>
        <w:spacing w:after="120" w:before="280" w:line="312" w:lineRule="auto"/>
      </w:pPr>
      <w:r>
        <w:rPr>
          <w:rFonts w:ascii="Calibri" w:cs="Calibri" w:eastAsia="Calibri" w:hAnsi="Calibri"/>
          <w:color w:val="222222"/>
          <w:sz w:val="26"/>
          <w:szCs w:val="26"/>
        </w:rPr>
        <w:t xml:space="preserve">6.5  Campaign Sequencer (CS)</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temporal orchestration layer. The CS manages the phasing and rhythm of narrative deployment across platforms and basins. It ensures laminar flow — no turbulent cross-contamination between channels — and maintains emotional ergonomics for both the operator and the audience. Key functions: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Platform-specific rhythm optimization (LinkedIn cadence vs. legal filing timeline vs. speaking circuit)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Narrative compounding management (ensuring each deployment builds on prior signal rather than fragmenting)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Cross-basin translation gates (wound-level insight must be transformed before institutional deployment)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Feedback loop integration (audience response / legal response feeds back into the NSC for re-classification)</w:t>
      </w:r>
    </w:p>
    <w:p>
      <w:pPr>
        <w:pStyle w:val="Heading3"/>
        <w:spacing w:after="120" w:before="280" w:line="312" w:lineRule="auto"/>
      </w:pPr>
      <w:r>
        <w:rPr>
          <w:rFonts w:ascii="Calibri" w:cs="Calibri" w:eastAsia="Calibri" w:hAnsi="Calibri"/>
          <w:color w:val="222222"/>
          <w:sz w:val="26"/>
          <w:szCs w:val="26"/>
        </w:rPr>
        <w:t xml:space="preserve">6.6  Inversion Repair Module (IRM)</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counter-narrative engine. When the Canon Integrity Layer detects an externally-imposed inversion (institutional reframing, media distortion, legal misdirection), the IRM generates re-inversion protocols. These protocols: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Reconstruct the original signal from the inverted artifact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Generate correction narratives calibrated to the target audience’s basin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Deploy through the Campaign Sequencer with appropriate archetype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Log the inversion pattern in the Mesh Contamination Pattern Library for future detection</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7: OPERATIONAL INTEGRATION</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Narrative Architecture does not operate in isolation. It is wired into the full ClarityOS stack: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Emotional Weather Model:</w:t>
      </w:r>
      <w:r>
        <w:rPr>
          <w:rFonts w:ascii="Calibri" w:cs="Calibri" w:eastAsia="Calibri" w:hAnsi="Calibri"/>
          <w:b w:val="false"/>
          <w:bCs w:val="false"/>
          <w:i w:val="false"/>
          <w:iCs w:val="false"/>
          <w:strike w:val="false"/>
          <w:color w:val="222222"/>
          <w:sz w:val="22"/>
          <w:szCs w:val="22"/>
        </w:rPr>
        <w:t xml:space="preserve"> Provides real-time affective pressure data as narrative input. Narrative Architecture returns legibility — the weather becomes a story the operator can act 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Hydronic Motion Layer:</w:t>
      </w:r>
      <w:r>
        <w:rPr>
          <w:rFonts w:ascii="Calibri" w:cs="Calibri" w:eastAsia="Calibri" w:hAnsi="Calibri"/>
          <w:b w:val="false"/>
          <w:bCs w:val="false"/>
          <w:i w:val="false"/>
          <w:iCs w:val="false"/>
          <w:strike w:val="false"/>
          <w:color w:val="222222"/>
          <w:sz w:val="22"/>
          <w:szCs w:val="22"/>
        </w:rPr>
        <w:t xml:space="preserve"> Supplies flow dynamics and compression metrics. Narrative Architecture uses HCI values to calibrate narrative density and deployment pressure.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Structural Coherence Layer:</w:t>
      </w:r>
      <w:r>
        <w:rPr>
          <w:rFonts w:ascii="Calibri" w:cs="Calibri" w:eastAsia="Calibri" w:hAnsi="Calibri"/>
          <w:b w:val="false"/>
          <w:bCs w:val="false"/>
          <w:i w:val="false"/>
          <w:iCs w:val="false"/>
          <w:strike w:val="false"/>
          <w:color w:val="222222"/>
          <w:sz w:val="22"/>
          <w:szCs w:val="22"/>
        </w:rPr>
        <w:t xml:space="preserve"> Provides system-wide integrity checks. Narrative Architecture reports canon status and narrative drift metrics back to the coherence monitor.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Langbridg v2 Communication Kernel:</w:t>
      </w:r>
      <w:r>
        <w:rPr>
          <w:rFonts w:ascii="Calibri" w:cs="Calibri" w:eastAsia="Calibri" w:hAnsi="Calibri"/>
          <w:b w:val="false"/>
          <w:bCs w:val="false"/>
          <w:i w:val="false"/>
          <w:iCs w:val="false"/>
          <w:strike w:val="false"/>
          <w:color w:val="222222"/>
          <w:sz w:val="22"/>
          <w:szCs w:val="22"/>
        </w:rPr>
        <w:t xml:space="preserve"> Serves as the output channel for all operator-to-field communications. Narrative Architecture formats; Langbridg transmits.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Multi-Agent Mesh Layer:</w:t>
      </w:r>
      <w:r>
        <w:rPr>
          <w:rFonts w:ascii="Calibri" w:cs="Calibri" w:eastAsia="Calibri" w:hAnsi="Calibri"/>
          <w:b w:val="false"/>
          <w:bCs w:val="false"/>
          <w:i w:val="false"/>
          <w:iCs w:val="false"/>
          <w:strike w:val="false"/>
          <w:color w:val="222222"/>
          <w:sz w:val="22"/>
          <w:szCs w:val="22"/>
        </w:rPr>
        <w:t xml:space="preserve"> Coordinates narrative deployment across distributed agent nodes. Ensures consistency when multiple agents are generating or transmitting narrative simultaneously.</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8: OPERATOR NOTES</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This subsystem is the connective tissue between what the operator knows and what the world receives. Every legal filing, every LinkedIn post, every mediation opening statement, every ELINS dispatch passes through Narrative Architecture. It is both shield and signal flare: it protects the canonical record from corruption while projecting clarity into contested spaces.</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Narrative Architecture subsystem was formalized following the integration of the Dark Matter, Shadow Work &amp; the Operator’s Campaign library entry (</w:t>
      </w:r>
      <w:r>
        <w:rPr>
          <w:rFonts w:ascii="Consolas" w:cs="Consolas" w:eastAsia="Consolas" w:hAnsi="Consolas"/>
          <w:b w:val="false"/>
          <w:bCs w:val="false"/>
          <w:i w:val="false"/>
          <w:iCs w:val="false"/>
          <w:strike w:val="false"/>
          <w:color w:val="222222"/>
          <w:sz w:val="20"/>
          <w:szCs w:val="20"/>
        </w:rPr>
        <w:t xml:space="preserve">LIB-DARKMATTER-2026-0415</w:t>
      </w:r>
      <w:r>
        <w:rPr>
          <w:rFonts w:ascii="Calibri" w:cs="Calibri" w:eastAsia="Calibri" w:hAnsi="Calibri"/>
          <w:b w:val="false"/>
          <w:bCs w:val="false"/>
          <w:i w:val="false"/>
          <w:iCs w:val="false"/>
          <w:strike w:val="false"/>
          <w:color w:val="222222"/>
          <w:sz w:val="22"/>
          <w:szCs w:val="22"/>
        </w:rPr>
        <w:t xml:space="preserve">), which demonstrated the need for a unified structural layer governing narrative production, routing, and defense. Its formalization represents the OS reaching a level of maturity where narrative is no longer ad hoc but systemic, no longer reactive but architectural.</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9: VERSION HISTORY</w:t>
      </w:r>
    </w:p>
    <w:p>
      <w:pPr>
        <w:pBdr>
          <w:bottom w:val="single" w:color="222222"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Version</w:t>
            </w:r>
          </w:p>
        </w:tc>
        <w:tc>
          <w:tcPr>
            <w:tcW w:type="pct" w:w="12%"/>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Date</w:t>
            </w:r>
          </w:p>
        </w:tc>
        <w:tc>
          <w:tcPr>
            <w:tcW w:type="pct" w:w="14%"/>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Author</w:t>
            </w:r>
          </w:p>
        </w:tc>
        <w:tc>
          <w:tcPr>
            <w:tcW w:type="pct" w:w="65%"/>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Notes</w:t>
            </w:r>
          </w:p>
        </w:tc>
      </w:tr>
      <w:tr>
        <w:trPr>
          <w:tblHeader w:val="false"/>
        </w:trPr>
        <w:tc>
          <w:tcPr>
            <w:tcW w:type="pct" w:w="9%"/>
            <w:tcMar>
              <w:top w:type="dxa" w:w="90"/>
              <w:left w:type="dxa" w:w="150"/>
              <w:bottom w:type="dxa" w:w="90"/>
              <w:right w:type="dxa" w:w="150"/>
            </w:tcMar>
          </w:tcPr>
          <w:p>
            <w:r>
              <w:rPr>
                <w:rFonts w:ascii="Consolas" w:cs="Consolas" w:eastAsia="Consolas" w:hAnsi="Consolas"/>
                <w:b w:val="false"/>
                <w:bCs w:val="false"/>
                <w:i w:val="false"/>
                <w:iCs w:val="false"/>
                <w:strike w:val="false"/>
                <w:color w:val="222222"/>
                <w:sz w:val="22"/>
                <w:szCs w:val="22"/>
              </w:rPr>
              <w:t xml:space="preserve">1.0</w:t>
            </w:r>
          </w:p>
        </w:tc>
        <w:tc>
          <w:tcPr>
            <w:tcW w:type="pct" w:w="12%"/>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2026-04-16</w:t>
            </w:r>
          </w:p>
        </w:tc>
        <w:tc>
          <w:tcPr>
            <w:tcW w:type="pct" w:w="14%"/>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Christian Piatt</w:t>
            </w:r>
          </w:p>
        </w:tc>
        <w:tc>
          <w:tcPr>
            <w:tcW w:type="pct" w:w="65%"/>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Initial subsystem formalization; full structural components defined; Dewey spine assigned; cross-references linked; integrated into ClarityOS v6.3</w:t>
            </w:r>
          </w:p>
        </w:tc>
      </w:tr>
    </w:tbl>
    <w:p>
      <w:pPr>
        <w:spacing w:after="200" w:before="0"/>
      </w:pPr>
    </w:p>
    <w:p>
      <w:pPr>
        <w:pBdr>
          <w:bottom w:val="single" w:color="222222" w:sz="6"/>
        </w:pBdr>
        <w:spacing w:after="240" w:before="240"/>
      </w:pPr>
    </w:p>
    <w:p>
      <w:pPr>
        <w:spacing w:after="240" w:before="60" w:line="360" w:lineRule="auto"/>
        <w:jc w:val="center"/>
      </w:pPr>
      <w:r>
        <w:rPr>
          <w:rFonts w:ascii="Calibri" w:cs="Calibri" w:eastAsia="Calibri" w:hAnsi="Calibri"/>
          <w:b/>
          <w:bCs/>
          <w:i w:val="false"/>
          <w:iCs w:val="false"/>
          <w:strike w:val="false"/>
          <w:color w:val="555555"/>
          <w:spacing w:val="10"/>
          <w:sz w:val="22"/>
          <w:szCs w:val="22"/>
        </w:rPr>
        <w:t xml:space="preserve">— END OF SUBSYSTEM FILE —</w:t>
      </w:r>
    </w:p>
    <w:p>
      <w:pPr>
        <w:spacing w:after="240" w:before="60" w:line="360" w:lineRule="auto"/>
        <w:jc w:val="center"/>
      </w:pPr>
      <w:r>
        <w:rPr>
          <w:rFonts w:ascii="Calibri" w:cs="Calibri" w:eastAsia="Calibri" w:hAnsi="Calibri"/>
          <w:b w:val="false"/>
          <w:bCs w:val="false"/>
          <w:i w:val="false"/>
          <w:iCs w:val="false"/>
          <w:strike w:val="false"/>
          <w:color w:val="555555"/>
          <w:spacing w:val="10"/>
          <w:sz w:val="22"/>
          <w:szCs w:val="22"/>
        </w:rPr>
        <w:t xml:space="preserve">Clarity Library  |  ClarityOS v6.3  |  Operator-Grade Classification</w:t>
      </w:r>
    </w:p>
    <w:p>
      <w:pPr>
        <w:pBdr>
          <w:bottom w:val="single" w:color="222222" w:sz="6"/>
        </w:pBdr>
        <w:spacing w:after="240" w:before="240"/>
      </w:pPr>
    </w:p>
    <w:p>
      <w:pPr>
        <w:pBdr>
          <w:bottom w:val="single" w:color="CCCCCC"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Mar>
              <w:top w:type="dxa" w:w="90"/>
              <w:left w:type="dxa" w:w="150"/>
              <w:bottom w:type="dxa" w:w="90"/>
              <w:right w:type="dxa" w:w="150"/>
            </w:tcMar>
          </w:tcPr>
          <w:p>
            <w:r>
              <w:rPr>
                <w:rFonts w:ascii="Consolas" w:cs="Consolas" w:eastAsia="Consolas" w:hAnsi="Consolas"/>
                <w:b w:val="false"/>
                <w:bCs w:val="false"/>
                <w:i w:val="false"/>
                <w:iCs w:val="false"/>
                <w:strike w:val="false"/>
                <w:color w:val="888888"/>
                <w:sz w:val="16"/>
                <w:szCs w:val="16"/>
              </w:rPr>
              <w:t xml:space="preserve">Narrative Architecture Subsystem v1.0</w:t>
            </w:r>
          </w:p>
        </w:tc>
        <w:tc>
          <w:tcPr>
            <w:tcW w:type="pct" w:w="20%"/>
            <w:tcMar>
              <w:top w:type="dxa" w:w="90"/>
              <w:left w:type="dxa" w:w="150"/>
              <w:bottom w:type="dxa" w:w="90"/>
              <w:right w:type="dxa" w:w="150"/>
            </w:tcMar>
          </w:tcPr>
          <w:p>
            <w:r>
              <w:rPr>
                <w:rFonts w:ascii="Consolas" w:cs="Consolas" w:eastAsia="Consolas" w:hAnsi="Consolas"/>
                <w:b w:val="false"/>
                <w:bCs w:val="false"/>
                <w:i w:val="false"/>
                <w:iCs w:val="false"/>
                <w:strike w:val="false"/>
                <w:color w:val="888888"/>
                <w:sz w:val="16"/>
                <w:szCs w:val="16"/>
              </w:rPr>
              <w:t xml:space="preserve">Page 1</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yNFJ63xS374HjQKv1otUK</dc:title>
  <dc:creator>Un-named</dc:creator>
  <dc:description>Generated document</dc:description>
  <cp:lastModifiedBy>Un-named</cp:lastModifiedBy>
  <cp:revision>1</cp:revision>
  <dcterms:created xsi:type="dcterms:W3CDTF">2026-04-16T19:49:47.223Z</dcterms:created>
  <dcterms:modified xsi:type="dcterms:W3CDTF">2026-04-16T19:49:47.223Z</dcterms:modified>
</cp:coreProperties>
</file>

<file path=docProps/custom.xml><?xml version="1.0" encoding="utf-8"?>
<Properties xmlns="http://schemas.openxmlformats.org/officeDocument/2006/custom-properties" xmlns:vt="http://schemas.openxmlformats.org/officeDocument/2006/docPropsVTypes"/>
</file>