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52C69" w14:textId="3203CF49" w:rsidR="000928BC" w:rsidRPr="000928BC" w:rsidRDefault="000928BC" w:rsidP="007C69D6">
      <w:pPr>
        <w:jc w:val="center"/>
        <w:rPr>
          <w:rFonts w:ascii="Times New Roman" w:hAnsi="Times New Roman" w:cs="Times New Roman"/>
          <w:b/>
          <w:bCs/>
        </w:rPr>
      </w:pPr>
      <w:r w:rsidRPr="000928BC">
        <w:rPr>
          <w:rFonts w:ascii="Times New Roman" w:hAnsi="Times New Roman" w:cs="Times New Roman"/>
          <w:b/>
          <w:bCs/>
        </w:rPr>
        <w:t xml:space="preserve">Practice Your Skills </w:t>
      </w:r>
      <w:r w:rsidR="001D27AC">
        <w:rPr>
          <w:rFonts w:ascii="Times New Roman" w:hAnsi="Times New Roman" w:cs="Times New Roman"/>
          <w:b/>
          <w:bCs/>
        </w:rPr>
        <w:t>10A</w:t>
      </w:r>
      <w:r w:rsidRPr="000928BC">
        <w:rPr>
          <w:rFonts w:ascii="Times New Roman" w:hAnsi="Times New Roman" w:cs="Times New Roman"/>
          <w:b/>
          <w:bCs/>
        </w:rPr>
        <w:t xml:space="preserve">– </w:t>
      </w:r>
      <w:r w:rsidR="001D27AC">
        <w:rPr>
          <w:rFonts w:ascii="Times New Roman" w:hAnsi="Times New Roman" w:cs="Times New Roman"/>
          <w:b/>
          <w:bCs/>
        </w:rPr>
        <w:t>Unauthorized Practice of Law</w:t>
      </w:r>
    </w:p>
    <w:p w14:paraId="7F30F347" w14:textId="5FC6557B" w:rsidR="007C69D6" w:rsidRPr="007C69D6" w:rsidRDefault="007C69D6" w:rsidP="007C69D6">
      <w:pPr>
        <w:rPr>
          <w:rFonts w:ascii="Times New Roman" w:hAnsi="Times New Roman" w:cs="Times New Roman"/>
          <w:u w:val="single"/>
        </w:rPr>
      </w:pPr>
      <w:r w:rsidRPr="007C69D6">
        <w:rPr>
          <w:rFonts w:ascii="Times New Roman" w:hAnsi="Times New Roman" w:cs="Times New Roman"/>
          <w:u w:val="single"/>
        </w:rPr>
        <w:t>Please describe in detail the ethical concern(s) for each of the situations listed below:</w:t>
      </w:r>
    </w:p>
    <w:p w14:paraId="122E1CAC" w14:textId="25E28C66" w:rsidR="007C69D6" w:rsidRPr="007C69D6" w:rsidRDefault="007C69D6" w:rsidP="007C69D6">
      <w:p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1. Mediator Accused of Lying and Demands for Recording</w:t>
      </w:r>
    </w:p>
    <w:p w14:paraId="62C262E2" w14:textId="77777777" w:rsidR="007C69D6" w:rsidRPr="007C69D6" w:rsidRDefault="007C69D6" w:rsidP="007C69D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Mediator Impartiality and Professionalism: The mediator must remain calm and professional despite verbal abuse. Responding emotionally or defensively would compromise neutrality.</w:t>
      </w:r>
    </w:p>
    <w:p w14:paraId="56585F6D" w14:textId="77777777" w:rsidR="007C69D6" w:rsidRPr="007C69D6" w:rsidRDefault="007C69D6" w:rsidP="007C69D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Confidentiality: The demand to record all conversations raises confidentiality concerns. Mediation is typically confidential, and recording may violate that unless all parties consent.</w:t>
      </w:r>
    </w:p>
    <w:p w14:paraId="1751C4F2" w14:textId="77777777" w:rsidR="007C69D6" w:rsidRPr="007C69D6" w:rsidRDefault="007C69D6" w:rsidP="007C69D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Voluntariness and Safety: If the party is hostile or unwilling to engage respectfully, the mediator may need to assess whether mediation is appropriate or safe to continue.</w:t>
      </w:r>
    </w:p>
    <w:p w14:paraId="2D3681CE" w14:textId="77777777" w:rsidR="007C69D6" w:rsidRPr="007C69D6" w:rsidRDefault="007C69D6" w:rsidP="007C69D6">
      <w:p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2. School Administrator Bound by Policy vs. Senior Official’s Willingness to Mediate</w:t>
      </w:r>
    </w:p>
    <w:p w14:paraId="7401D846" w14:textId="62C0FD38" w:rsidR="007C69D6" w:rsidRPr="007C69D6" w:rsidRDefault="007C69D6" w:rsidP="007C69D6">
      <w:pPr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Pr="007C69D6">
        <w:rPr>
          <w:rFonts w:ascii="Times New Roman" w:hAnsi="Times New Roman" w:cs="Times New Roman"/>
        </w:rPr>
        <w:t>uthority to Settle: A key ethical requirement is ensuring that parties at the table have the authority to make decisions. If the attending administrator cannot deviate from policy, the mediation may be ineffective.</w:t>
      </w:r>
    </w:p>
    <w:p w14:paraId="05D2F496" w14:textId="77777777" w:rsidR="007C69D6" w:rsidRPr="007C69D6" w:rsidRDefault="007C69D6" w:rsidP="007C69D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Good Faith Participation: The principal’s reluctance and the administrator’s rigidity may indicate a lack of good faith, which undermines the mediation process.</w:t>
      </w:r>
    </w:p>
    <w:p w14:paraId="08FDDB6A" w14:textId="77777777" w:rsidR="007C69D6" w:rsidRPr="007C69D6" w:rsidRDefault="007C69D6" w:rsidP="007C69D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Mediator’s Role in Clarifying Participation: The mediator must clarify roles and ensure that the right decision-makers are present.</w:t>
      </w:r>
    </w:p>
    <w:p w14:paraId="0FD29ED2" w14:textId="77777777" w:rsidR="007C69D6" w:rsidRPr="007C69D6" w:rsidRDefault="007C69D6" w:rsidP="007C69D6">
      <w:p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3. Mediators Familiar with School Personnel</w:t>
      </w:r>
    </w:p>
    <w:p w14:paraId="553182A9" w14:textId="77777777" w:rsidR="007C69D6" w:rsidRPr="007C69D6" w:rsidRDefault="007C69D6" w:rsidP="007C69D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Perception of Bias: Even if the mediator is impartial, repeated interactions with the same school personnel may create a perception of favoritism or bias.</w:t>
      </w:r>
    </w:p>
    <w:p w14:paraId="676E65CF" w14:textId="77777777" w:rsidR="007C69D6" w:rsidRPr="007C69D6" w:rsidRDefault="007C69D6" w:rsidP="007C69D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Disclosure and Consent: Mediators should disclose any prior relationships and obtain consent from all parties to proceed.</w:t>
      </w:r>
    </w:p>
    <w:p w14:paraId="11449CEE" w14:textId="77777777" w:rsidR="007C69D6" w:rsidRPr="007C69D6" w:rsidRDefault="007C69D6" w:rsidP="007C69D6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Rotation of Mediators: To avoid conflicts of interest, the program may consider rotating mediators more frequently.</w:t>
      </w:r>
    </w:p>
    <w:p w14:paraId="43C62BEB" w14:textId="77777777" w:rsidR="007C69D6" w:rsidRPr="007C69D6" w:rsidRDefault="007C69D6" w:rsidP="007C69D6">
      <w:p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4. Playing an Inflammatory Tape in Joint Session</w:t>
      </w:r>
    </w:p>
    <w:p w14:paraId="3992A054" w14:textId="77777777" w:rsidR="007C69D6" w:rsidRPr="007C69D6" w:rsidRDefault="007C69D6" w:rsidP="007C69D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Mediator’s Duty to Maintain a Safe Environment: Playing a highly inflammatory tape could escalate conflict and derail the mediation.</w:t>
      </w:r>
    </w:p>
    <w:p w14:paraId="491D9A2C" w14:textId="77777777" w:rsidR="007C69D6" w:rsidRPr="007C69D6" w:rsidRDefault="007C69D6" w:rsidP="007C69D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Confidentiality and Consent: The mediator must consider whether the content was shared confidentially and whether both parties consent to its use.</w:t>
      </w:r>
    </w:p>
    <w:p w14:paraId="0FB053CB" w14:textId="77777777" w:rsidR="007C69D6" w:rsidRPr="007C69D6" w:rsidRDefault="007C69D6" w:rsidP="007C69D6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lastRenderedPageBreak/>
        <w:t>Mediator Discretion: The mediator has the ethical discretion to refuse to play the tape if it would harm the process. Explaining this decision transparently is key.</w:t>
      </w:r>
    </w:p>
    <w:p w14:paraId="4B962FF1" w14:textId="77777777" w:rsidR="007C69D6" w:rsidRPr="007C69D6" w:rsidRDefault="007C69D6" w:rsidP="007C69D6">
      <w:p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5. Attorney Blocks Direct Communication with Clients</w:t>
      </w:r>
    </w:p>
    <w:p w14:paraId="08EE89DE" w14:textId="77777777" w:rsidR="007C69D6" w:rsidRPr="007C69D6" w:rsidRDefault="007C69D6" w:rsidP="007C69D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Respect for Representation: Mediators must respect the attorney-client relationship. Contacting clients directly without attorney consent may be unethical.</w:t>
      </w:r>
    </w:p>
    <w:p w14:paraId="422BCF42" w14:textId="77777777" w:rsidR="007C69D6" w:rsidRPr="007C69D6" w:rsidRDefault="007C69D6" w:rsidP="007C69D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Mediator Neutrality and Process Integrity: While direct communication may help, bypassing the attorney could compromise the mediator’s neutrality and future credibility.</w:t>
      </w:r>
    </w:p>
    <w:p w14:paraId="25BAE700" w14:textId="77777777" w:rsidR="007C69D6" w:rsidRPr="007C69D6" w:rsidRDefault="007C69D6" w:rsidP="007C69D6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Alternative Approach: The mediator could request a joint discussion with the attorney and client to express the need for direct communication.</w:t>
      </w:r>
    </w:p>
    <w:p w14:paraId="372D2D1F" w14:textId="77777777" w:rsidR="007C69D6" w:rsidRPr="007C69D6" w:rsidRDefault="007C69D6" w:rsidP="007C69D6">
      <w:p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6. Mediator Drafting Agreements</w:t>
      </w:r>
    </w:p>
    <w:p w14:paraId="470025C0" w14:textId="77777777" w:rsidR="007C69D6" w:rsidRPr="007C69D6" w:rsidRDefault="007C69D6" w:rsidP="007C69D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Unauthorized Practice of Law: Drafting legal documents may cross into legal territory unless the mediator is a licensed attorney.</w:t>
      </w:r>
    </w:p>
    <w:p w14:paraId="6BB5086B" w14:textId="77777777" w:rsidR="007C69D6" w:rsidRPr="007C69D6" w:rsidRDefault="007C69D6" w:rsidP="007C69D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Appropriate Role: Drafting a “deal point memorandum” is generally acceptable if it reflects the parties’ own words and intentions.</w:t>
      </w:r>
    </w:p>
    <w:p w14:paraId="1B10F0A0" w14:textId="77777777" w:rsidR="007C69D6" w:rsidRPr="007C69D6" w:rsidRDefault="007C69D6" w:rsidP="007C69D6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Formal Agreements: Drafting a formal settlement agreement is riskier. If done, it must be accompanied by a clear disclaimer and a requirement for independent legal review by each party’s attorney.</w:t>
      </w:r>
    </w:p>
    <w:p w14:paraId="3EA64052" w14:textId="77777777" w:rsidR="007C69D6" w:rsidRPr="007C69D6" w:rsidRDefault="007C69D6" w:rsidP="007C69D6">
      <w:p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7. Mediator Later Serving as Arbitrator</w:t>
      </w:r>
    </w:p>
    <w:p w14:paraId="598F0832" w14:textId="77777777" w:rsidR="007C69D6" w:rsidRPr="007C69D6" w:rsidRDefault="007C69D6" w:rsidP="007C69D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Role Confusion and Neutrality: Switching from a neutral facilitator to a decision-maker can create confusion and undermine trust in the mediation process.</w:t>
      </w:r>
    </w:p>
    <w:p w14:paraId="5F3A5D86" w14:textId="77777777" w:rsidR="007C69D6" w:rsidRPr="007C69D6" w:rsidRDefault="007C69D6" w:rsidP="007C69D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Informed Consent: If all parties agree in writing beforehand, this dual role may be ethically permissible in some contexts.</w:t>
      </w:r>
    </w:p>
    <w:p w14:paraId="5D22C514" w14:textId="77777777" w:rsidR="007C69D6" w:rsidRPr="007C69D6" w:rsidRDefault="007C69D6" w:rsidP="007C69D6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7C69D6">
        <w:rPr>
          <w:rFonts w:ascii="Times New Roman" w:hAnsi="Times New Roman" w:cs="Times New Roman"/>
        </w:rPr>
        <w:t>Family Law vs. Other Cases: In family law, where emotions and relationships are sensitive, this dual role is more ethically problematic. In commercial or contractual disputes, it may be more acceptable with proper safeguards.</w:t>
      </w:r>
    </w:p>
    <w:p w14:paraId="52CC4197" w14:textId="7CFD2F2D" w:rsidR="001D27AC" w:rsidRPr="001D27AC" w:rsidRDefault="001D27AC" w:rsidP="007C69D6">
      <w:pPr>
        <w:rPr>
          <w:rFonts w:ascii="Segoe UI" w:eastAsia="Times New Roman" w:hAnsi="Segoe UI" w:cs="Segoe UI"/>
          <w:color w:val="424242"/>
          <w:kern w:val="0"/>
          <w14:ligatures w14:val="none"/>
        </w:rPr>
      </w:pPr>
    </w:p>
    <w:sectPr w:rsidR="001D27AC" w:rsidRPr="001D27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364BB"/>
    <w:multiLevelType w:val="multilevel"/>
    <w:tmpl w:val="3B5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7D750A"/>
    <w:multiLevelType w:val="multilevel"/>
    <w:tmpl w:val="A334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7666DF"/>
    <w:multiLevelType w:val="multilevel"/>
    <w:tmpl w:val="6C68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273C2C"/>
    <w:multiLevelType w:val="multilevel"/>
    <w:tmpl w:val="54C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C42F36"/>
    <w:multiLevelType w:val="multilevel"/>
    <w:tmpl w:val="AF7C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9C113A"/>
    <w:multiLevelType w:val="multilevel"/>
    <w:tmpl w:val="39EA2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663167"/>
    <w:multiLevelType w:val="multilevel"/>
    <w:tmpl w:val="CDC48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03732A"/>
    <w:multiLevelType w:val="multilevel"/>
    <w:tmpl w:val="C1F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997B16"/>
    <w:multiLevelType w:val="multilevel"/>
    <w:tmpl w:val="8770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747500"/>
    <w:multiLevelType w:val="multilevel"/>
    <w:tmpl w:val="9E2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A344FF"/>
    <w:multiLevelType w:val="multilevel"/>
    <w:tmpl w:val="670C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724745"/>
    <w:multiLevelType w:val="multilevel"/>
    <w:tmpl w:val="CEC6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842AFD"/>
    <w:multiLevelType w:val="multilevel"/>
    <w:tmpl w:val="CB2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620452"/>
    <w:multiLevelType w:val="multilevel"/>
    <w:tmpl w:val="BE34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A174C4"/>
    <w:multiLevelType w:val="multilevel"/>
    <w:tmpl w:val="B1E8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A2B25B6"/>
    <w:multiLevelType w:val="multilevel"/>
    <w:tmpl w:val="C042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1660AF"/>
    <w:multiLevelType w:val="multilevel"/>
    <w:tmpl w:val="B0A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6E59CC"/>
    <w:multiLevelType w:val="hybridMultilevel"/>
    <w:tmpl w:val="10F633E4"/>
    <w:lvl w:ilvl="0" w:tplc="5484AC2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0173F9"/>
    <w:multiLevelType w:val="multilevel"/>
    <w:tmpl w:val="B654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E0F1DC4"/>
    <w:multiLevelType w:val="multilevel"/>
    <w:tmpl w:val="3200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7A3691"/>
    <w:multiLevelType w:val="multilevel"/>
    <w:tmpl w:val="285C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16D6EBF"/>
    <w:multiLevelType w:val="multilevel"/>
    <w:tmpl w:val="B0DA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30E4CB7"/>
    <w:multiLevelType w:val="hybridMultilevel"/>
    <w:tmpl w:val="A5426C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9844F5"/>
    <w:multiLevelType w:val="multilevel"/>
    <w:tmpl w:val="437C4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00B2623"/>
    <w:multiLevelType w:val="multilevel"/>
    <w:tmpl w:val="79EE2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6F5BC1"/>
    <w:multiLevelType w:val="multilevel"/>
    <w:tmpl w:val="A51C9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A70E1E"/>
    <w:multiLevelType w:val="multilevel"/>
    <w:tmpl w:val="92DA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8453036">
    <w:abstractNumId w:val="1"/>
  </w:num>
  <w:num w:numId="2" w16cid:durableId="649753199">
    <w:abstractNumId w:val="14"/>
  </w:num>
  <w:num w:numId="3" w16cid:durableId="1507792040">
    <w:abstractNumId w:val="21"/>
  </w:num>
  <w:num w:numId="4" w16cid:durableId="260451552">
    <w:abstractNumId w:val="7"/>
  </w:num>
  <w:num w:numId="5" w16cid:durableId="1450784926">
    <w:abstractNumId w:val="15"/>
  </w:num>
  <w:num w:numId="6" w16cid:durableId="1425103799">
    <w:abstractNumId w:val="13"/>
  </w:num>
  <w:num w:numId="7" w16cid:durableId="1336492878">
    <w:abstractNumId w:val="22"/>
  </w:num>
  <w:num w:numId="8" w16cid:durableId="1314599216">
    <w:abstractNumId w:val="17"/>
  </w:num>
  <w:num w:numId="9" w16cid:durableId="1438716167">
    <w:abstractNumId w:val="24"/>
  </w:num>
  <w:num w:numId="10" w16cid:durableId="618335169">
    <w:abstractNumId w:val="26"/>
  </w:num>
  <w:num w:numId="11" w16cid:durableId="1415517397">
    <w:abstractNumId w:val="3"/>
  </w:num>
  <w:num w:numId="12" w16cid:durableId="374891233">
    <w:abstractNumId w:val="23"/>
  </w:num>
  <w:num w:numId="13" w16cid:durableId="688917489">
    <w:abstractNumId w:val="6"/>
  </w:num>
  <w:num w:numId="14" w16cid:durableId="1822195064">
    <w:abstractNumId w:val="9"/>
  </w:num>
  <w:num w:numId="15" w16cid:durableId="1081953697">
    <w:abstractNumId w:val="8"/>
  </w:num>
  <w:num w:numId="16" w16cid:durableId="1238202106">
    <w:abstractNumId w:val="19"/>
  </w:num>
  <w:num w:numId="17" w16cid:durableId="276522436">
    <w:abstractNumId w:val="4"/>
  </w:num>
  <w:num w:numId="18" w16cid:durableId="1092622871">
    <w:abstractNumId w:val="18"/>
  </w:num>
  <w:num w:numId="19" w16cid:durableId="1592856583">
    <w:abstractNumId w:val="25"/>
  </w:num>
  <w:num w:numId="20" w16cid:durableId="735978049">
    <w:abstractNumId w:val="5"/>
  </w:num>
  <w:num w:numId="21" w16cid:durableId="398409436">
    <w:abstractNumId w:val="12"/>
  </w:num>
  <w:num w:numId="22" w16cid:durableId="32930882">
    <w:abstractNumId w:val="16"/>
  </w:num>
  <w:num w:numId="23" w16cid:durableId="614601935">
    <w:abstractNumId w:val="10"/>
  </w:num>
  <w:num w:numId="24" w16cid:durableId="679815127">
    <w:abstractNumId w:val="2"/>
  </w:num>
  <w:num w:numId="25" w16cid:durableId="87388695">
    <w:abstractNumId w:val="0"/>
  </w:num>
  <w:num w:numId="26" w16cid:durableId="1155032052">
    <w:abstractNumId w:val="11"/>
  </w:num>
  <w:num w:numId="27" w16cid:durableId="100794999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BC"/>
    <w:rsid w:val="000928BC"/>
    <w:rsid w:val="001D27AC"/>
    <w:rsid w:val="00212587"/>
    <w:rsid w:val="0024091E"/>
    <w:rsid w:val="002C77F3"/>
    <w:rsid w:val="00481266"/>
    <w:rsid w:val="00517EF3"/>
    <w:rsid w:val="006A3A98"/>
    <w:rsid w:val="007B4A85"/>
    <w:rsid w:val="007C69D6"/>
    <w:rsid w:val="00854717"/>
    <w:rsid w:val="00864838"/>
    <w:rsid w:val="0087081F"/>
    <w:rsid w:val="008B4214"/>
    <w:rsid w:val="00A076B5"/>
    <w:rsid w:val="00DC68E7"/>
    <w:rsid w:val="00EE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80BDC"/>
  <w15:chartTrackingRefBased/>
  <w15:docId w15:val="{2045870E-8625-49A0-B958-E3638331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8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2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27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9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814CD7-E3F1-4895-9502-3BEE06B4B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Piatt, Christian K. (OGC)</dc:creator>
  <cp:keywords/>
  <dc:description/>
  <cp:lastModifiedBy>Piatt, Christian K. (OGC)</cp:lastModifiedBy>
  <cp:revision>3</cp:revision>
  <dcterms:created xsi:type="dcterms:W3CDTF">2025-10-04T12:41:00Z</dcterms:created>
  <dcterms:modified xsi:type="dcterms:W3CDTF">2025-10-04T12:42:00Z</dcterms:modified>
</cp:coreProperties>
</file>