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1A1712"/>
          <w:sz w:val="52"/>
          <w:szCs w:val="52"/>
        </w:rPr>
        <w:t xml:space="preserve">LookLab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C5A2E"/>
          <w:sz w:val="26"/>
          <w:szCs w:val="26"/>
        </w:rPr>
        <w:t xml:space="preserve">Piezas creativas y copy — campañas de Meta Ads y TikTok Ads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655A"/>
          <w:sz w:val="19"/>
          <w:szCs w:val="19"/>
        </w:rPr>
        <w:t xml:space="preserve">Complementa la guía de campañas · Mercado: Argentina · Objetivo: registro (signup) · Preparado: 16 de julio de 2026</w:t>
      </w:r>
    </w:p>
    <w:p>
      <w:pPr>
        <w:pStyle w:val="Heading1"/>
        <w:pBdr>
          <w:bottom w:val="single" w:color="EC5A2E" w:sz="8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1A1712"/>
          <w:sz w:val="32"/>
          <w:szCs w:val="32"/>
        </w:rPr>
        <w:t xml:space="preserve">Estado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A1712"/>
          <w:sz w:val="21"/>
          <w:szCs w:val="21"/>
        </w:rPr>
        <w:t xml:space="preserve">2.1 Dominio de producción — looklab.io confirmado y conectado en Vercel.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2.2 Meta Pixel + Conversions API — implementado (evento CompleteRegistration, email + Google) y dominio verificado en Business 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2.3 TikTok Pixel + Events API — implementado (mismo patrón) y dominio verificado en Business Center.</w:t>
      </w:r>
    </w:p>
    <w:p>
      <w:pPr>
        <w:spacing w:after="12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Con eso, el bloqueante técnico de la sección 2 está resuelto. Este documento cubre la sección 6 de la guía (copys y creatividad) con las piezas listas para cargar, y sirve de base para armar los anuncios de la sección 3 (Meta) y 4 (TikTok).</w:t>
      </w:r>
    </w:p>
    <w:p>
      <w:pPr>
        <w:pStyle w:val="Heading1"/>
        <w:pBdr>
          <w:bottom w:val="single" w:color="EC5A2E" w:sz="8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1A1712"/>
          <w:sz w:val="32"/>
          <w:szCs w:val="32"/>
        </w:rPr>
        <w:t xml:space="preserve">1. Ángulos de copy — 4 variantes para testear</w:t>
      </w:r>
    </w:p>
    <w:p>
      <w:pPr>
        <w:spacing w:after="12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Cada tarjeta trae el texto listo para pegar en Meta Ads Manager y TikTok Ads Manager. Cargar las 4 dentro del mismo conjunto/grupo de anuncios para que cada plataforma optimice cuál rinde mejor (sección 3.4 y 4.4 de la guía).</w:t>
      </w:r>
    </w:p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EDE9DF" w:sz="4"/>
              <w:left w:val="single" w:color="EDE9DF" w:sz="4"/>
              <w:bottom w:val="single" w:color="EDE9DF" w:sz="4"/>
              <w:right w:val="single" w:color="EDE9DF" w:sz="4"/>
            </w:tcBorders>
            <w:shd w:fill="F7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EC5A2E"/>
                <w:sz w:val="23"/>
                <w:szCs w:val="23"/>
              </w:rPr>
              <w:t xml:space="preserve">1. Curiosidad / gancho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Meta — texto principal: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/>
            </w:r>
          </w:p>
          <w:p>
            <w:pPr>
              <w:spacing w:after="100"/>
              <w:ind w:left="200"/>
            </w:pPr>
            <w:r>
              <w:rPr>
                <w:rFonts w:ascii="Calibri" w:cs="Calibri" w:eastAsia="Calibri" w:hAnsi="Calibri"/>
                <w:i/>
                <w:iCs/>
                <w:color w:val="1A1712"/>
                <w:sz w:val="21"/>
                <w:szCs w:val="21"/>
              </w:rPr>
              <w:t xml:space="preserve">¿Tu outfit aprueba o no? Subí una foto y la IA te dice tu Outfit Score en segundos. Gratis.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Meta — titular: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>Tu outfit, evaluado por IA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TikTok — hook (0–2 seg):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>POV: le mostrás tu outfit a una 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TikTok — caption: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>¿Tu look aprueba? Subí una foto y enterate tu Outfit Score en segundos. Gratis en @looklab.io #OutfitScore #LookLab #Moda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EDE9DF" w:sz="4"/>
              <w:left w:val="single" w:color="EDE9DF" w:sz="4"/>
              <w:bottom w:val="single" w:color="EDE9DF" w:sz="4"/>
              <w:right w:val="single" w:color="EDE9DF" w:sz="4"/>
            </w:tcBorders>
            <w:shd w:fill="F7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EC5A2E"/>
                <w:sz w:val="23"/>
                <w:szCs w:val="23"/>
              </w:rPr>
              <w:t xml:space="preserve">2. Dolor / indecisión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Meta — texto principal: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/>
            </w:r>
          </w:p>
          <w:p>
            <w:pPr>
              <w:spacing w:after="100"/>
              <w:ind w:left="200"/>
            </w:pPr>
            <w:r>
              <w:rPr>
                <w:rFonts w:ascii="Calibri" w:cs="Calibri" w:eastAsia="Calibri" w:hAnsi="Calibri"/>
                <w:i/>
                <w:iCs/>
                <w:color w:val="1A1712"/>
                <w:sz w:val="21"/>
                <w:szCs w:val="21"/>
              </w:rPr>
              <w:t xml:space="preserve">¿Dudás si estás bien vestido para la entrevista, la cita o el casamiento? LookLab te da un puntaje y consejos concretos antes de salir de casa.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Meta — titular: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>¿Aprobás el look? Enterate ya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TikTok — hook (0–2 seg):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>¿Cuánto le pondrías a este look?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TikTok — caption: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>¿No sabés si el look funciona? La IA te lo dice antes de salir de casa. Puntaje + consejos concretos, gratis. #LookLab #OutfitCheck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EDE9DF" w:sz="4"/>
              <w:left w:val="single" w:color="EDE9DF" w:sz="4"/>
              <w:bottom w:val="single" w:color="EDE9DF" w:sz="4"/>
              <w:right w:val="single" w:color="EDE9DF" w:sz="4"/>
            </w:tcBorders>
            <w:shd w:fill="F7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EC5A2E"/>
                <w:sz w:val="23"/>
                <w:szCs w:val="23"/>
              </w:rPr>
              <w:t xml:space="preserve">3. Social / juego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Meta — texto principal: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/>
            </w:r>
          </w:p>
          <w:p>
            <w:pPr>
              <w:spacing w:after="100"/>
              <w:ind w:left="200"/>
            </w:pPr>
            <w:r>
              <w:rPr>
                <w:rFonts w:ascii="Calibri" w:cs="Calibri" w:eastAsia="Calibri" w:hAnsi="Calibri"/>
                <w:i/>
                <w:iCs/>
                <w:color w:val="1A1712"/>
                <w:sz w:val="21"/>
                <w:szCs w:val="21"/>
              </w:rPr>
              <w:t xml:space="preserve">Subí tu look, adiviná qué le pondría la IA a otros y jugá con la comunidad. LookLab evalúa la ropa, nunca el cuerpo.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Meta — titular: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>Subí tu look. Recibí tu score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TikTok — hook (0–2 seg):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>Nunca vamos a criticar tu cuerpo. Solo tu outfit.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TikTok — caption: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>Jugá con la comunidad: subí tu outfit, adiviná los scores de otros y descubrí qué está funcionando hoy. #LookLab #OutfitScore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EDE9DF" w:sz="4"/>
              <w:left w:val="single" w:color="EDE9DF" w:sz="4"/>
              <w:bottom w:val="single" w:color="EDE9DF" w:sz="4"/>
              <w:right w:val="single" w:color="EDE9DF" w:sz="4"/>
            </w:tcBorders>
            <w:shd w:fill="F7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EC5A2E"/>
                <w:sz w:val="23"/>
                <w:szCs w:val="23"/>
              </w:rPr>
              <w:t xml:space="preserve">4. Diferencial / confianza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Meta — texto principal: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/>
            </w:r>
          </w:p>
          <w:p>
            <w:pPr>
              <w:spacing w:after="100"/>
              <w:ind w:left="200"/>
            </w:pPr>
            <w:r>
              <w:rPr>
                <w:rFonts w:ascii="Calibri" w:cs="Calibri" w:eastAsia="Calibri" w:hAnsi="Calibri"/>
                <w:i/>
                <w:iCs/>
                <w:color w:val="1A1712"/>
                <w:sz w:val="21"/>
                <w:szCs w:val="21"/>
              </w:rPr>
              <w:t xml:space="preserve">Cero comentarios sobre tu cuerpo. Solo feedback honesto sobre tu ropa: qué está bien, qué mejorar y cómo. Gratis por ahora.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Meta — titular: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>Evaluamos la ropa, no el cuerpo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TikTok — hook (0–2 seg):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>Nunca vamos a criticar tu cuerpo. Solo tu outfit.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B655A"/>
                <w:sz w:val="21"/>
                <w:szCs w:val="21"/>
              </w:rPr>
              <w:t xml:space="preserve">TikTok — caption:  </w:t>
            </w:r>
            <w:r>
              <w:rPr>
                <w:rFonts w:ascii="Calibri" w:cs="Calibri" w:eastAsia="Calibri" w:hAnsi="Calibri"/>
                <w:color w:val="1A1712"/>
                <w:sz w:val="21"/>
                <w:szCs w:val="21"/>
              </w:rPr>
              <w:t xml:space="preserve">Feedback honesto sobre tu ropa, nunca sobre tu cuerpo. Gratis por ahora. #LookLab #ModaConIA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EC5A2E" w:sz="8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1A1712"/>
          <w:sz w:val="32"/>
          <w:szCs w:val="32"/>
        </w:rPr>
        <w:t xml:space="preserve">2. Formatos y specs por plataforma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EC5A2E"/>
          <w:sz w:val="24"/>
          <w:szCs w:val="24"/>
        </w:rPr>
        <w:t xml:space="preserve">Meta (Facebook / Instagram)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Imagen cuadrada: 1080×1080 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Vertical (Reels/Stories): 1080×1920 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Carrusel: desglose por categorías (fit, colores, calzado…) — una tarjeta por categoría.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Ubicaciones: Advantage+ (automáticas) en fase de test.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EC5A2E"/>
          <w:sz w:val="24"/>
          <w:szCs w:val="24"/>
        </w:rPr>
        <w:t xml:space="preserve">TikTok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Solo video vertical 1080×1920 px, 9:16.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Duración: 9–16 segundos.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Subtítulos quemados en el video (mayoría mira sin sonido).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Contenido: grabación de pantalla real del flujo — elegir ocasión → foto → revelado del score.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EC5A2E"/>
          <w:sz w:val="24"/>
          <w:szCs w:val="24"/>
        </w:rPr>
        <w:t xml:space="preserve">Assets de marca a reutilizar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Logo: /assets/logo-isotype.png, /assets/logo-wordmark.png — como watermark discreto en la esquina.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Paleta de banda del score: verde #2FA36B / ámbar #F5A524 / rojo #E5484D — mantener consistencia con la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Tipografías de marca: Instrument Serif (titulares) + Manrope (texto) si se generan piezas con overlays de 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Pendiente: tarjeta compartible del score (en desarrollo, brief de Sprint 1) — apenas esté lista, usarla como pieza creativa central; es el asset diseñado específicamente para redes.</w:t>
      </w:r>
    </w:p>
    <w:p>
      <w:pPr>
        <w:pStyle w:val="Heading1"/>
        <w:pBdr>
          <w:bottom w:val="single" w:color="EC5A2E" w:sz="8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1A1712"/>
          <w:sz w:val="32"/>
          <w:szCs w:val="32"/>
        </w:rPr>
        <w:t xml:space="preserve">3. Convenciones de nombres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B655A"/>
          <w:sz w:val="21"/>
          <w:szCs w:val="21"/>
        </w:rPr>
        <w:t xml:space="preserve">Campaña Meta:  </w:t>
      </w:r>
      <w:r>
        <w:rPr>
          <w:rFonts w:ascii="Calibri" w:cs="Calibri" w:eastAsia="Calibri" w:hAnsi="Calibri"/>
          <w:color w:val="1A1712"/>
          <w:sz w:val="21"/>
          <w:szCs w:val="21"/>
        </w:rPr>
        <w:t xml:space="preserve">LL_META_AR_Signup_2026-07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B655A"/>
          <w:sz w:val="21"/>
          <w:szCs w:val="21"/>
        </w:rPr>
        <w:t xml:space="preserve">Campaña TikTok:  </w:t>
      </w:r>
      <w:r>
        <w:rPr>
          <w:rFonts w:ascii="Calibri" w:cs="Calibri" w:eastAsia="Calibri" w:hAnsi="Calibri"/>
          <w:color w:val="1A1712"/>
          <w:sz w:val="21"/>
          <w:szCs w:val="21"/>
        </w:rPr>
        <w:t xml:space="preserve">LL_TT_AR_Signup_2026-07</w:t>
      </w:r>
    </w:p>
    <w:p>
      <w:pPr>
        <w:spacing w:after="12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Convención: marca_plataforma_país_objetivo_mes. Mantenerla también en conjuntos de anuncios y creatividades (ej. LL_META_AR_Signup_2026-07_Angulo1-Curiosidad) para poder comparar CPA por variante al cierre del mes.</w:t>
      </w:r>
    </w:p>
    <w:p>
      <w:pPr>
        <w:pStyle w:val="Heading1"/>
        <w:pBdr>
          <w:bottom w:val="single" w:color="EC5A2E" w:sz="8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1A1712"/>
          <w:sz w:val="32"/>
          <w:szCs w:val="32"/>
        </w:rPr>
        <w:t xml:space="preserve">4. Checklist — lo que falta cargar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Producir 3–4 piezas visuales/video por plataforma con los copys de este documento.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Cargar método de pago en Meta Business Manager y en TikTok Business Center.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Crear cuenta publicitaria + página de Facebook / cuenta de Instagram vinculada (Meta).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Crear campaña Meta: objetivo Ventas, conversión CompleteRegistration, presupuesto a nivel de campaña (Advantage Campaign Budget).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Crear campaña TikTok: objetivo Website Conversions, presupuesto a nivel de grupo de anuncios (piso más bajo), dejarla pausada hasta el día 15 si se sigue el plan secuencial (sección 5 de la guía).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2"/>
          <w:sz w:val="21"/>
          <w:szCs w:val="21"/>
        </w:rPr>
        <w:t xml:space="preserve">Definir fecha de arranque: Meta días 1–14 (USD 300, ~USD 21/día) → TikTok días 15–30 (USD 300, ~USD 19/día a nivel de grupo).</w:t>
      </w:r>
    </w:p>
    <w:p>
      <w:pPr>
        <w:pBdr>
          <w:top w:val="single" w:color="EDE9DF" w:sz="4" w:space="8"/>
        </w:pBdr>
        <w:spacing w:before="300"/>
      </w:pPr>
      <w:r>
        <w:rPr>
          <w:rFonts w:ascii="Calibri" w:cs="Calibri" w:eastAsia="Calibri" w:hAnsi="Calibri"/>
          <w:i/>
          <w:iCs/>
          <w:color w:val="6B655A"/>
          <w:sz w:val="17"/>
          <w:szCs w:val="17"/>
        </w:rPr>
        <w:t xml:space="preserve">Fuente: looklab-guia-campanas-meta-tiktok.pdf, secciones 3–7. Este documento no reemplaza la guía, la complementa con las piezas listas para pegar en cada plataforma.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2026-07-16T15:00:45.294Z</dcterms:created>
  <dcterms:modified xsi:type="dcterms:W3CDTF">2026-07-16T15:00:45.294Z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