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6"/>
          <w:szCs w:val="56"/>
        </w:rPr>
        <w:t xml:space="preserve">AI TRANSFORMATION</w:t>
      </w:r>
    </w:p>
    <w:p>
      <w:pPr>
        <w:spacing w:after="200"/>
        <w:jc w:val="center"/>
      </w:pPr>
      <w:r>
        <w:rPr>
          <w:rFonts w:ascii="Arial" w:cs="Arial" w:eastAsia="Arial" w:hAnsi="Arial"/>
          <w:b/>
          <w:bCs/>
          <w:color w:val="1B3A5C"/>
          <w:sz w:val="56"/>
          <w:szCs w:val="56"/>
        </w:rPr>
        <w:t xml:space="preserve">STRATEGY PLAYBOOK</w:t>
      </w:r>
    </w:p>
    <w:p>
      <w:pPr>
        <w:spacing w:after="400"/>
        <w:jc w:val="center"/>
      </w:pPr>
      <w:r>
        <w:rPr>
          <w:rFonts w:ascii="Arial" w:cs="Arial" w:eastAsia="Arial" w:hAnsi="Arial"/>
          <w:color w:val="2E7D8C"/>
          <w:sz w:val="28"/>
          <w:szCs w:val="28"/>
        </w:rPr>
        <w:t xml:space="preserve">21-Scenario Decision Analysis &amp; Master Strategy Brief</w:t>
      </w:r>
    </w:p>
    <w:p>
      <w:pPr>
        <w:spacing w:after="120"/>
        <w:jc w:val="center"/>
      </w:pPr>
      <w:r>
        <w:rPr>
          <w:rFonts w:ascii="Arial" w:cs="Arial" w:eastAsia="Arial" w:hAnsi="Arial"/>
          <w:color w:val="666666"/>
          <w:sz w:val="24"/>
          <w:szCs w:val="24"/>
        </w:rPr>
        <w:t xml:space="preserve">18-Month Enterprise Transformation Simulation</w:t>
      </w:r>
    </w:p>
    <w:p>
      <w:pPr>
        <w:spacing w:after="120"/>
        <w:jc w:val="center"/>
      </w:pPr>
      <w:r>
        <w:rPr>
          <w:rFonts w:ascii="Arial" w:cs="Arial" w:eastAsia="Arial" w:hAnsi="Arial"/>
          <w:color w:val="666666"/>
          <w:sz w:val="22"/>
          <w:szCs w:val="22"/>
        </w:rPr>
        <w:t xml:space="preserve">February 2026</w:t>
      </w:r>
    </w:p>
    <w:p>
      <w:r>
        <w:r>
          <w:br w:type="page"/>
        </w:r>
      </w:r>
    </w:p>
    <w:p>
      <w:pPr>
        <w:pStyle w:val="Heading1"/>
        <w:spacing w:before="120" w:after="80"/>
      </w:pPr>
      <w:r>
        <w:t xml:space="preserve">Executive Summary</w:t>
      </w:r>
    </w:p>
    <w:p>
      <w:pPr>
        <w:spacing w:after="120" w:line="276"/>
      </w:pPr>
      <w:r>
        <w:rPr>
          <w:rFonts w:ascii="Arial" w:cs="Arial" w:eastAsia="Arial" w:hAnsi="Arial"/>
          <w:sz w:val="22"/>
          <w:szCs w:val="22"/>
        </w:rPr>
        <w:t xml:space="preserve">This document provides a decision-by-decision analysis of a 21-scenario AI transformation simulation spanning 18 months across six phases: Foundation, Pilot, Scale, Optimize, Embed, and Deliver. Each scenario reflects a real inflection point encountered in enterprise AI transformations at professional services firms, consultancies, and Fortune 500 organisations.</w:t>
      </w:r>
    </w:p>
    <w:p>
      <w:pPr>
        <w:spacing w:after="120" w:line="276"/>
      </w:pPr>
      <w:r>
        <w:rPr>
          <w:rFonts w:ascii="Arial" w:cs="Arial" w:eastAsia="Arial" w:hAnsi="Arial"/>
          <w:sz w:val="22"/>
          <w:szCs w:val="22"/>
        </w:rPr>
        <w:t xml:space="preserve">The core thesis: AI transformation is a change management programme that happens to involve technology, not a technology programme that requires some change management. Organisations that invert this equation fail. The optimal path through these 21 decisions consistently favours pragmatic phasing over bold gestures, psychological safety over enforcement, transparency over spin, and institutional capability over individual heroics.</w:t>
      </w:r>
    </w:p>
    <w:p>
      <w:pPr>
        <w:spacing w:after="120" w:line="276"/>
      </w:pPr>
      <w:r>
        <w:rPr>
          <w:rFonts w:ascii="Arial" w:cs="Arial" w:eastAsia="Arial" w:hAnsi="Arial"/>
          <w:sz w:val="22"/>
          <w:szCs w:val="22"/>
        </w:rPr>
        <w:t xml:space="preserve">The five decisions where the transformation lives or dies are: Budget Allocation (Scenario 3), where under-investing in people dooms everything downstream; the AI Hallucination Incident (Scenario 10), where your credibility is either cemented or shattered; the ROI Reckoning (Scenario 13), where you earn or lose the next 12 months of runway; the Shadow AI Problem (Scenario 17), where you either harness organic adoption or drive it underground; and Succession Planning (Scenario 20), where you determine whether the transformation survives your departure.</w:t>
      </w:r>
    </w:p>
    <w:p>
      <w:pPr>
        <w:spacing w:after="120" w:line="276"/>
      </w:pPr>
      <w:r>
        <w:rPr>
          <w:rFonts w:ascii="Arial" w:cs="Arial" w:eastAsia="Arial" w:hAnsi="Arial"/>
          <w:b/>
          <w:bCs/>
          <w:sz w:val="22"/>
          <w:szCs w:val="22"/>
        </w:rPr>
        <w:t xml:space="preserve">For a hiring manager or board member reading this in two minutes: </w:t>
      </w:r>
      <w:r>
        <w:rPr>
          <w:rFonts w:ascii="Arial" w:cs="Arial" w:eastAsia="Arial" w:hAnsi="Arial"/>
          <w:sz w:val="22"/>
          <w:szCs w:val="22"/>
        </w:rPr>
        <w:t xml:space="preserve">the leader who succeeds at this transformation is not the one who makes the boldest moves. It is the one who sequences decisions correctly, builds coalition before mandate, treats every setback as a trust-building opportunity, and designs for their own obsolescence from day one.</w:t>
      </w:r>
    </w:p>
    <w:p>
      <w:r>
        <w:r>
          <w:br w:type="page"/>
        </w:r>
      </w:r>
    </w:p>
    <w:p>
      <w:pPr>
        <w:pStyle w:val="Heading1"/>
        <w:spacing w:before="120" w:after="80"/>
      </w:pPr>
      <w:r>
        <w:t xml:space="preserve">PHASE 1: FOUNDATION (Months 1–3)</w:t>
      </w:r>
    </w:p>
    <w:p>
      <w:pPr>
        <w:pStyle w:val="Heading2"/>
        <w:spacing w:before="120" w:after="80"/>
      </w:pPr>
      <w:r>
        <w:t xml:space="preserve">Scenario 1: The Mandate Meeting</w:t>
      </w:r>
    </w:p>
    <w:p>
      <w:pPr>
        <w:spacing w:after="120" w:line="276"/>
      </w:pPr>
      <w:r>
        <w:rPr>
          <w:rFonts w:ascii="Arial" w:cs="Arial" w:eastAsia="Arial" w:hAnsi="Arial"/>
          <w:b/>
          <w:bCs/>
          <w:sz w:val="22"/>
          <w:szCs w:val="22"/>
        </w:rPr>
        <w:t xml:space="preserve">Phase: </w:t>
      </w:r>
      <w:r>
        <w:rPr>
          <w:rFonts w:ascii="Arial" w:cs="Arial" w:eastAsia="Arial" w:hAnsi="Arial"/>
          <w:sz w:val="22"/>
          <w:szCs w:val="22"/>
        </w:rPr>
        <w:t xml:space="preserve">Foundation</w:t>
      </w:r>
    </w:p>
    <w:p>
      <w:pPr>
        <w:spacing w:after="120" w:line="276"/>
      </w:pPr>
      <w:r>
        <w:rPr>
          <w:rFonts w:ascii="Arial" w:cs="Arial" w:eastAsia="Arial" w:hAnsi="Arial"/>
          <w:b/>
          <w:bCs/>
          <w:sz w:val="22"/>
          <w:szCs w:val="22"/>
        </w:rPr>
        <w:t xml:space="preserve">Context: </w:t>
      </w:r>
      <w:r>
        <w:rPr>
          <w:rFonts w:ascii="Arial" w:cs="Arial" w:eastAsia="Arial" w:hAnsi="Arial"/>
          <w:sz w:val="22"/>
          <w:szCs w:val="22"/>
        </w:rPr>
        <w:t xml:space="preserve">First board presentation in 2 weeks. You must frame your entire approach to AI transformation for the C-suite.</w:t>
      </w:r>
    </w:p>
    <w:p>
      <w:pPr>
        <w:spacing w:before="80"/>
      </w:pPr>
    </w:p>
    <w:p>
      <w:pPr>
        <w:pStyle w:val="Heading3"/>
        <w:spacing w:before="120" w:after="80"/>
      </w:pPr>
      <w:r>
        <w:t xml:space="preserve">Option Analysis</w:t>
      </w:r>
    </w:p>
    <w:p>
      <w:pPr>
        <w:spacing w:after="120" w:line="276"/>
      </w:pPr>
      <w:r>
        <w:rPr>
          <w:rFonts w:ascii="Arial" w:cs="Arial" w:eastAsia="Arial" w:hAnsi="Arial"/>
          <w:b/>
          <w:bCs/>
          <w:sz w:val="22"/>
          <w:szCs w:val="22"/>
        </w:rPr>
        <w:t xml:space="preserve">Option A: </w:t>
      </w:r>
      <w:r>
        <w:rPr>
          <w:rFonts w:ascii="Arial" w:cs="Arial" w:eastAsia="Arial" w:hAnsi="Arial"/>
          <w:sz w:val="22"/>
          <w:szCs w:val="22"/>
        </w:rPr>
        <w:t xml:space="preserve">Lead with bold vision — ‘AI-first operations within 18 months.’ This is emotionally compelling and plays well in boardrooms that want to feel decisive. The risk is you’ve now set a binary success metric. You either hit ‘AI-first’ or you failed. It also signals to sceptics that you’re a true believer, not a pragmatist, which erodes trust with the operational middle who actually have to execute. Bold visions attract headlines; they rarely survive contact with procurement timelines and legacy system realities.</w:t>
      </w:r>
    </w:p>
    <w:p>
      <w:pPr>
        <w:spacing w:after="120" w:line="276"/>
      </w:pPr>
      <w:r>
        <w:rPr>
          <w:rFonts w:ascii="Arial" w:cs="Arial" w:eastAsia="Arial" w:hAnsi="Arial"/>
          <w:b/>
          <w:bCs/>
          <w:sz w:val="22"/>
          <w:szCs w:val="22"/>
        </w:rPr>
        <w:t xml:space="preserve">Option B: </w:t>
      </w:r>
      <w:r>
        <w:rPr>
          <w:rFonts w:ascii="Arial" w:cs="Arial" w:eastAsia="Arial" w:hAnsi="Arial"/>
          <w:sz w:val="22"/>
          <w:szCs w:val="22"/>
        </w:rPr>
        <w:t xml:space="preserve">Present a phased roadmap with quick wins in months 1–3. This is the move. It demonstrates strategic maturity: you understand sequencing, you’ve thought about proof points, and you’re managing board expectations while preserving optionality. Quick wins generate political capital. Political capital buys you time when things go wrong (and they will). This frames you as someone who delivers, not someone who declares.</w:t>
      </w:r>
    </w:p>
    <w:p>
      <w:pPr>
        <w:spacing w:after="120" w:line="276"/>
      </w:pPr>
      <w:r>
        <w:rPr>
          <w:rFonts w:ascii="Arial" w:cs="Arial" w:eastAsia="Arial" w:hAnsi="Arial"/>
          <w:b/>
          <w:bCs/>
          <w:sz w:val="22"/>
          <w:szCs w:val="22"/>
        </w:rPr>
        <w:t xml:space="preserve">Option C: </w:t>
      </w:r>
      <w:r>
        <w:rPr>
          <w:rFonts w:ascii="Arial" w:cs="Arial" w:eastAsia="Arial" w:hAnsi="Arial"/>
          <w:sz w:val="22"/>
          <w:szCs w:val="22"/>
        </w:rPr>
        <w:t xml:space="preserve">Commission a 6-week discovery audit before committing. Intellectually defensible but politically fatal. The C-suite gave you a mandate, not a research grant. Six weeks of audit signals indecision and burns the momentum that got you the role. By the time you report back, budget conversations have moved on and a competitor has announced something flashy. The only scenario where this works is if you genuinely have zero insight into the firm’s data maturity and tech stack, which should have been assessed during hiring.</w:t>
      </w:r>
    </w:p>
    <w:p>
      <w:pPr>
        <w:spacing w:before="80"/>
      </w:pPr>
    </w:p>
    <w:p>
      <w:pPr>
        <w:spacing w:after="120" w:line="276"/>
      </w:pPr>
      <w:r>
        <w:rPr>
          <w:rFonts w:ascii="Arial" w:cs="Arial" w:eastAsia="Arial" w:hAnsi="Arial"/>
          <w:b/>
          <w:bCs/>
          <w:sz w:val="22"/>
          <w:szCs w:val="22"/>
        </w:rPr>
        <w:t xml:space="preserve">Recommendation: </w:t>
      </w:r>
      <w:r>
        <w:rPr>
          <w:rFonts w:ascii="Arial" w:cs="Arial" w:eastAsia="Arial" w:hAnsi="Arial"/>
          <w:sz w:val="22"/>
          <w:szCs w:val="22"/>
        </w:rPr>
        <w:t xml:space="preserve">Option B. The phased roadmap. It lets you anchor the board on a realistic trajectory, buy credibility with early wins, and adjust course without losing face. Frame the quick wins as ‘proof of concept for scale,’ not as the end state. This keeps the ambition high while grounding the execution.</w:t>
      </w:r>
    </w:p>
    <w:p>
      <w:pPr>
        <w:spacing w:after="120" w:line="276"/>
      </w:pPr>
      <w:r>
        <w:rPr>
          <w:rFonts w:ascii="Arial" w:cs="Arial" w:eastAsia="Arial" w:hAnsi="Arial"/>
          <w:b/>
          <w:bCs/>
          <w:sz w:val="22"/>
          <w:szCs w:val="22"/>
        </w:rPr>
        <w:t xml:space="preserve">Conditional Override: </w:t>
      </w:r>
      <w:r>
        <w:rPr>
          <w:rFonts w:ascii="Arial" w:cs="Arial" w:eastAsia="Arial" w:hAnsi="Arial"/>
          <w:sz w:val="22"/>
          <w:szCs w:val="22"/>
        </w:rPr>
        <w:t xml:space="preserve">If you’re walking into a firm that has already done significant digital transformation and has mature data infrastructure, Option A becomes viable because you can credibly deliver on the bold timeline. Also, if you’re being brought in as a turnaround play where the board explicitly wants disruption, Option A’s signalling value matters more.</w:t>
      </w:r>
    </w:p>
    <w:p>
      <w:pPr>
        <w:spacing w:after="120" w:line="276"/>
      </w:pPr>
      <w:r>
        <w:rPr>
          <w:rFonts w:ascii="Arial" w:cs="Arial" w:eastAsia="Arial" w:hAnsi="Arial"/>
          <w:b/>
          <w:bCs/>
          <w:sz w:val="22"/>
          <w:szCs w:val="22"/>
        </w:rPr>
        <w:t xml:space="preserve">Hidden Risk: </w:t>
      </w:r>
      <w:r>
        <w:rPr>
          <w:rFonts w:ascii="Arial" w:cs="Arial" w:eastAsia="Arial" w:hAnsi="Arial"/>
          <w:sz w:val="22"/>
          <w:szCs w:val="22"/>
        </w:rPr>
        <w:t xml:space="preserve">The board will remember whatever you say in this meeting as the benchmark. If you say ‘AI-first in 18 months’ and deliver 60% adoption, you’ve failed by your own framing. If you say ‘phased transformation with measurable milestones’ and deliver 60%, you’re a success. The framing here literally determines whether the same outcome is perceived as triumph or failure.</w:t>
      </w:r>
    </w:p>
    <w:p>
      <w:pPr>
        <w:spacing w:after="120" w:line="276"/>
      </w:pPr>
      <w:r>
        <w:rPr>
          <w:rFonts w:ascii="Arial" w:cs="Arial" w:eastAsia="Arial" w:hAnsi="Arial"/>
          <w:b/>
          <w:bCs/>
          <w:sz w:val="22"/>
          <w:szCs w:val="22"/>
        </w:rPr>
        <w:t xml:space="preserve">Difficulty: </w:t>
      </w:r>
      <w:r>
        <w:rPr>
          <w:rFonts w:ascii="Arial" w:cs="Arial" w:eastAsia="Arial" w:hAnsi="Arial"/>
          <w:sz w:val="22"/>
          <w:szCs w:val="22"/>
        </w:rPr>
        <w:t xml:space="preserve">2/5 — Low. Most experienced leaders intuitively know B is the play. The trap is ego — the desire to be seen as visionary rather than competent.</w:t>
      </w:r>
    </w:p>
    <w:p>
      <w:pPr>
        <w:spacing w:before="120" w:after="120"/>
      </w:pPr>
      <w:r>
        <w:rPr>
          <w:rFonts w:ascii="Arial" w:cs="Arial" w:eastAsia="Arial" w:hAnsi="Arial"/>
          <w:color w:val="2E7D8C"/>
          <w:sz w:val="14"/>
          <w:szCs w:val="14"/>
        </w:rPr>
        <w:t xml:space="preserve">────────────────────────────────────────────────────────────────────────────────</w:t>
      </w:r>
    </w:p>
    <w:p>
      <w:pPr>
        <w:pStyle w:val="Heading2"/>
        <w:spacing w:before="120" w:after="80"/>
      </w:pPr>
      <w:r>
        <w:t xml:space="preserve">Scenario 2: Stakeholder Resistance</w:t>
      </w:r>
    </w:p>
    <w:p>
      <w:pPr>
        <w:spacing w:after="120" w:line="276"/>
      </w:pPr>
      <w:r>
        <w:rPr>
          <w:rFonts w:ascii="Arial" w:cs="Arial" w:eastAsia="Arial" w:hAnsi="Arial"/>
          <w:b/>
          <w:bCs/>
          <w:sz w:val="22"/>
          <w:szCs w:val="22"/>
        </w:rPr>
        <w:t xml:space="preserve">Phase: </w:t>
      </w:r>
      <w:r>
        <w:rPr>
          <w:rFonts w:ascii="Arial" w:cs="Arial" w:eastAsia="Arial" w:hAnsi="Arial"/>
          <w:sz w:val="22"/>
          <w:szCs w:val="22"/>
        </w:rPr>
        <w:t xml:space="preserve">Foundation</w:t>
      </w:r>
    </w:p>
    <w:p>
      <w:pPr>
        <w:spacing w:after="120" w:line="276"/>
      </w:pPr>
      <w:r>
        <w:rPr>
          <w:rFonts w:ascii="Arial" w:cs="Arial" w:eastAsia="Arial" w:hAnsi="Arial"/>
          <w:b/>
          <w:bCs/>
          <w:sz w:val="22"/>
          <w:szCs w:val="22"/>
        </w:rPr>
        <w:t xml:space="preserve">Context: </w:t>
      </w:r>
      <w:r>
        <w:rPr>
          <w:rFonts w:ascii="Arial" w:cs="Arial" w:eastAsia="Arial" w:hAnsi="Arial"/>
          <w:sz w:val="22"/>
          <w:szCs w:val="22"/>
        </w:rPr>
        <w:t xml:space="preserve">A powerful department head publicly dismisses AI at an all-hands meeting, calling it a tech fad.</w:t>
      </w:r>
    </w:p>
    <w:p>
      <w:pPr>
        <w:spacing w:before="80"/>
      </w:pPr>
    </w:p>
    <w:p>
      <w:pPr>
        <w:pStyle w:val="Heading3"/>
        <w:spacing w:before="120" w:after="80"/>
      </w:pPr>
      <w:r>
        <w:t xml:space="preserve">Option Analysis</w:t>
      </w:r>
    </w:p>
    <w:p>
      <w:pPr>
        <w:spacing w:after="120" w:line="276"/>
      </w:pPr>
      <w:r>
        <w:rPr>
          <w:rFonts w:ascii="Arial" w:cs="Arial" w:eastAsia="Arial" w:hAnsi="Arial"/>
          <w:b/>
          <w:bCs/>
          <w:sz w:val="22"/>
          <w:szCs w:val="22"/>
        </w:rPr>
        <w:t xml:space="preserve">Option A: </w:t>
      </w:r>
      <w:r>
        <w:rPr>
          <w:rFonts w:ascii="Arial" w:cs="Arial" w:eastAsia="Arial" w:hAnsi="Arial"/>
          <w:sz w:val="22"/>
          <w:szCs w:val="22"/>
        </w:rPr>
        <w:t xml:space="preserve">Acknowledge their concern and invite them to co-lead a pilot. This is the masterclass move. You’re doing three things simultaneously: validating their status (they matter enough to lead something), converting opposition into ownership (they now have skin in the game), and demonstrating to every observer that you handle dissent with grace, not force. If they accept, you’ve neutralised resistance and gained a credible internal advocate. If they decline, they’ve publicly refused to engage, which weakens their position.</w:t>
      </w:r>
    </w:p>
    <w:p>
      <w:pPr>
        <w:spacing w:after="120" w:line="276"/>
      </w:pPr>
      <w:r>
        <w:rPr>
          <w:rFonts w:ascii="Arial" w:cs="Arial" w:eastAsia="Arial" w:hAnsi="Arial"/>
          <w:b/>
          <w:bCs/>
          <w:sz w:val="22"/>
          <w:szCs w:val="22"/>
        </w:rPr>
        <w:t xml:space="preserve">Option B: </w:t>
      </w:r>
      <w:r>
        <w:rPr>
          <w:rFonts w:ascii="Arial" w:cs="Arial" w:eastAsia="Arial" w:hAnsi="Arial"/>
          <w:sz w:val="22"/>
          <w:szCs w:val="22"/>
        </w:rPr>
        <w:t xml:space="preserve">Present competitor data showing AI adoption rates and market impact. Rational, evidence-based, and ineffective. This person isn’t making an empirical claim; they’re making a political one. Responding with data frames this as an intellectual debate when it’s actually a power struggle. You’ll ‘win’ the argument and lose the relationship. They’ll become a quiet saboteur, which is far more dangerous than an open sceptic.</w:t>
      </w:r>
    </w:p>
    <w:p>
      <w:pPr>
        <w:spacing w:after="120" w:line="276"/>
      </w:pPr>
      <w:r>
        <w:rPr>
          <w:rFonts w:ascii="Arial" w:cs="Arial" w:eastAsia="Arial" w:hAnsi="Arial"/>
          <w:b/>
          <w:bCs/>
          <w:sz w:val="22"/>
          <w:szCs w:val="22"/>
        </w:rPr>
        <w:t xml:space="preserve">Option C: </w:t>
      </w:r>
      <w:r>
        <w:rPr>
          <w:rFonts w:ascii="Arial" w:cs="Arial" w:eastAsia="Arial" w:hAnsi="Arial"/>
          <w:sz w:val="22"/>
          <w:szCs w:val="22"/>
        </w:rPr>
        <w:t xml:space="preserve">Escalate to their superior to enforce alignment. Nuclear option. You might get compliance but you’ve made an enemy, signalled to the organisation that dissent gets punished, and taught everyone else to resist you quietly rather than openly. The only scenario where this is justified is if the person is actively undermining approved initiatives (not just voicing opinions) after multiple good-faith engagements.</w:t>
      </w:r>
    </w:p>
    <w:p>
      <w:pPr>
        <w:spacing w:before="80"/>
      </w:pPr>
    </w:p>
    <w:p>
      <w:pPr>
        <w:spacing w:after="120" w:line="276"/>
      </w:pPr>
      <w:r>
        <w:rPr>
          <w:rFonts w:ascii="Arial" w:cs="Arial" w:eastAsia="Arial" w:hAnsi="Arial"/>
          <w:b/>
          <w:bCs/>
          <w:sz w:val="22"/>
          <w:szCs w:val="22"/>
        </w:rPr>
        <w:t xml:space="preserve">Recommendation: </w:t>
      </w:r>
      <w:r>
        <w:rPr>
          <w:rFonts w:ascii="Arial" w:cs="Arial" w:eastAsia="Arial" w:hAnsi="Arial"/>
          <w:sz w:val="22"/>
          <w:szCs w:val="22"/>
        </w:rPr>
        <w:t xml:space="preserve">Option A, decisively. The co-leadership invitation is simultaneously generous and strategic. It works because it reframes the dynamic from ‘me vs. you’ to ‘us solving this together.’ In every transformation I’ve led, the converted sceptic becomes your most credible advocate because the organisation trusts them precisely because they’re not a technology enthusiast.</w:t>
      </w:r>
    </w:p>
    <w:p>
      <w:pPr>
        <w:spacing w:after="120" w:line="276"/>
      </w:pPr>
      <w:r>
        <w:rPr>
          <w:rFonts w:ascii="Arial" w:cs="Arial" w:eastAsia="Arial" w:hAnsi="Arial"/>
          <w:b/>
          <w:bCs/>
          <w:sz w:val="22"/>
          <w:szCs w:val="22"/>
        </w:rPr>
        <w:t xml:space="preserve">Conditional Override: </w:t>
      </w:r>
      <w:r>
        <w:rPr>
          <w:rFonts w:ascii="Arial" w:cs="Arial" w:eastAsia="Arial" w:hAnsi="Arial"/>
          <w:sz w:val="22"/>
          <w:szCs w:val="22"/>
        </w:rPr>
        <w:t xml:space="preserve">If this person is genuinely toxic — not merely sceptical but actively sabotaging work, poisoning team morale, or refusing all engagement after repeated invitations — then escalation (C) becomes necessary. But only after A has been tried and documented.</w:t>
      </w:r>
    </w:p>
    <w:p>
      <w:pPr>
        <w:spacing w:after="120" w:line="276"/>
      </w:pPr>
      <w:r>
        <w:rPr>
          <w:rFonts w:ascii="Arial" w:cs="Arial" w:eastAsia="Arial" w:hAnsi="Arial"/>
          <w:b/>
          <w:bCs/>
          <w:sz w:val="22"/>
          <w:szCs w:val="22"/>
        </w:rPr>
        <w:t xml:space="preserve">Hidden Risk: </w:t>
      </w:r>
      <w:r>
        <w:rPr>
          <w:rFonts w:ascii="Arial" w:cs="Arial" w:eastAsia="Arial" w:hAnsi="Arial"/>
          <w:sz w:val="22"/>
          <w:szCs w:val="22"/>
        </w:rPr>
        <w:t xml:space="preserve">The department head’s resistance is almost always a proxy for fear of irrelevance. If they’re a 20-year domain expert, AI feels like it devalues their expertise. The invitation to co-lead addresses the real fear (irrelevance) while the data approach (B) only addresses the stated objection (scepticism). Leaders who miss this distinction fight symptoms instead of causes.</w:t>
      </w:r>
    </w:p>
    <w:p>
      <w:pPr>
        <w:spacing w:after="120" w:line="276"/>
      </w:pPr>
      <w:r>
        <w:rPr>
          <w:rFonts w:ascii="Arial" w:cs="Arial" w:eastAsia="Arial" w:hAnsi="Arial"/>
          <w:b/>
          <w:bCs/>
          <w:sz w:val="22"/>
          <w:szCs w:val="22"/>
        </w:rPr>
        <w:t xml:space="preserve">Difficulty: </w:t>
      </w:r>
      <w:r>
        <w:rPr>
          <w:rFonts w:ascii="Arial" w:cs="Arial" w:eastAsia="Arial" w:hAnsi="Arial"/>
          <w:sz w:val="22"/>
          <w:szCs w:val="22"/>
        </w:rPr>
        <w:t xml:space="preserve">3/5 — Moderate. Requires genuine emotional intelligence and willingness to share credit. Most transformation leaders are selected for technical vision, not political finesse, which is exactly what this moment demands.</w:t>
      </w:r>
    </w:p>
    <w:p>
      <w:pPr>
        <w:spacing w:before="120" w:after="120"/>
      </w:pPr>
      <w:r>
        <w:rPr>
          <w:rFonts w:ascii="Arial" w:cs="Arial" w:eastAsia="Arial" w:hAnsi="Arial"/>
          <w:color w:val="2E7D8C"/>
          <w:sz w:val="14"/>
          <w:szCs w:val="14"/>
        </w:rPr>
        <w:t xml:space="preserve">────────────────────────────────────────────────────────────────────────────────</w:t>
      </w:r>
    </w:p>
    <w:p>
      <w:pPr>
        <w:pStyle w:val="Heading2"/>
        <w:spacing w:before="120" w:after="80"/>
      </w:pPr>
      <w:r>
        <w:t xml:space="preserve">Scenario 3: Budget Allocation</w:t>
      </w:r>
    </w:p>
    <w:p>
      <w:pPr>
        <w:spacing w:after="120" w:line="276"/>
      </w:pPr>
      <w:r>
        <w:rPr>
          <w:rFonts w:ascii="Arial" w:cs="Arial" w:eastAsia="Arial" w:hAnsi="Arial"/>
          <w:b/>
          <w:bCs/>
          <w:sz w:val="22"/>
          <w:szCs w:val="22"/>
        </w:rPr>
        <w:t xml:space="preserve">Phase: </w:t>
      </w:r>
      <w:r>
        <w:rPr>
          <w:rFonts w:ascii="Arial" w:cs="Arial" w:eastAsia="Arial" w:hAnsi="Arial"/>
          <w:sz w:val="22"/>
          <w:szCs w:val="22"/>
        </w:rPr>
        <w:t xml:space="preserve">Foundation</w:t>
      </w:r>
    </w:p>
    <w:p>
      <w:pPr>
        <w:spacing w:after="120" w:line="276"/>
      </w:pPr>
      <w:r>
        <w:rPr>
          <w:rFonts w:ascii="Arial" w:cs="Arial" w:eastAsia="Arial" w:hAnsi="Arial"/>
          <w:b/>
          <w:bCs/>
          <w:sz w:val="22"/>
          <w:szCs w:val="22"/>
        </w:rPr>
        <w:t xml:space="preserve">Context: </w:t>
      </w:r>
      <w:r>
        <w:rPr>
          <w:rFonts w:ascii="Arial" w:cs="Arial" w:eastAsia="Arial" w:hAnsi="Arial"/>
          <w:sz w:val="22"/>
          <w:szCs w:val="22"/>
        </w:rPr>
        <w:t xml:space="preserve">Finance has approved the transformation budget. You need to decide how to allocate across technology, training, and change management (or hiring).</w:t>
      </w:r>
    </w:p>
    <w:p>
      <w:pPr>
        <w:spacing w:before="80"/>
      </w:pPr>
    </w:p>
    <w:p>
      <w:pPr>
        <w:pStyle w:val="Heading3"/>
        <w:spacing w:before="120" w:after="80"/>
      </w:pPr>
      <w:r>
        <w:t xml:space="preserve">Option Analysis</w:t>
      </w:r>
    </w:p>
    <w:p>
      <w:pPr>
        <w:spacing w:after="120" w:line="276"/>
      </w:pPr>
      <w:r>
        <w:rPr>
          <w:rFonts w:ascii="Arial" w:cs="Arial" w:eastAsia="Arial" w:hAnsi="Arial"/>
          <w:b/>
          <w:bCs/>
          <w:sz w:val="22"/>
          <w:szCs w:val="22"/>
        </w:rPr>
        <w:t xml:space="preserve">Option A: </w:t>
      </w:r>
      <w:r>
        <w:rPr>
          <w:rFonts w:ascii="Arial" w:cs="Arial" w:eastAsia="Arial" w:hAnsi="Arial"/>
          <w:sz w:val="22"/>
          <w:szCs w:val="22"/>
        </w:rPr>
        <w:t xml:space="preserve">70% technology, 20% training, 10% change management. This is the default allocation most organisations make, and it’s the primary reason most AI transformations fail. You’ll have world-class tools that nobody uses. Shelfware. I’ve seen firms spend millions on Copilot licensing only to discover at month 9 that usage is under 15% because nobody was taught to integrate it into actual workflows. Technology without adoption is just an expense line.</w:t>
      </w:r>
    </w:p>
    <w:p>
      <w:pPr>
        <w:spacing w:after="120" w:line="276"/>
      </w:pPr>
      <w:r>
        <w:rPr>
          <w:rFonts w:ascii="Arial" w:cs="Arial" w:eastAsia="Arial" w:hAnsi="Arial"/>
          <w:b/>
          <w:bCs/>
          <w:sz w:val="22"/>
          <w:szCs w:val="22"/>
        </w:rPr>
        <w:t xml:space="preserve">Option B: </w:t>
      </w:r>
      <w:r>
        <w:rPr>
          <w:rFonts w:ascii="Arial" w:cs="Arial" w:eastAsia="Arial" w:hAnsi="Arial"/>
          <w:sz w:val="22"/>
          <w:szCs w:val="22"/>
        </w:rPr>
        <w:t xml:space="preserve">40% technology, 35% training and upskilling, 25% change management. This is the correct ratio for an enterprise that is serious about adoption, not just deployment. 40% on tech is enough to secure enterprise licenses and build core infrastructure. 35% on training means you can fund the AI Champions programme, build role-specific learning paths, and create a sustainable internal capability. 25% on change management means you can fund the comms, the stakeholder engagement, the workflow redesign, and the cultural interventions that actually drive adoption.</w:t>
      </w:r>
    </w:p>
    <w:p>
      <w:pPr>
        <w:spacing w:after="120" w:line="276"/>
      </w:pPr>
      <w:r>
        <w:rPr>
          <w:rFonts w:ascii="Arial" w:cs="Arial" w:eastAsia="Arial" w:hAnsi="Arial"/>
          <w:b/>
          <w:bCs/>
          <w:sz w:val="22"/>
          <w:szCs w:val="22"/>
        </w:rPr>
        <w:t xml:space="preserve">Option C: </w:t>
      </w:r>
      <w:r>
        <w:rPr>
          <w:rFonts w:ascii="Arial" w:cs="Arial" w:eastAsia="Arial" w:hAnsi="Arial"/>
          <w:sz w:val="22"/>
          <w:szCs w:val="22"/>
        </w:rPr>
        <w:t xml:space="preserve">30% tech, 20% training, 50% hiring AI specialists. Tempting in theory, catastrophic in practice. You’re creating a two-tier organisation: the AI specialists who ‘do AI’ and everyone else who watches. This doesn’t embed transformation; it creates a dependency. When those specialists leave (and at 40% salary premiums, they will), the capability walks out the door. The only version of this that works is if you’re building a dedicated AI product team for client-facing solutions, not internal transformation.</w:t>
      </w:r>
    </w:p>
    <w:p>
      <w:pPr>
        <w:spacing w:before="80"/>
      </w:pPr>
    </w:p>
    <w:p>
      <w:pPr>
        <w:spacing w:after="120" w:line="276"/>
      </w:pPr>
      <w:r>
        <w:rPr>
          <w:rFonts w:ascii="Arial" w:cs="Arial" w:eastAsia="Arial" w:hAnsi="Arial"/>
          <w:b/>
          <w:bCs/>
          <w:sz w:val="22"/>
          <w:szCs w:val="22"/>
        </w:rPr>
        <w:t xml:space="preserve">Recommendation: </w:t>
      </w:r>
      <w:r>
        <w:rPr>
          <w:rFonts w:ascii="Arial" w:cs="Arial" w:eastAsia="Arial" w:hAnsi="Arial"/>
          <w:sz w:val="22"/>
          <w:szCs w:val="22"/>
        </w:rPr>
        <w:t xml:space="preserve">Option B. The 40/35/25 split. This is the allocation that treats AI transformation as a people programme with a technology component, not the reverse. It’s the allocation that correlates with sustained adoption above 60% in every transformation I’ve been involved in.</w:t>
      </w:r>
    </w:p>
    <w:p>
      <w:pPr>
        <w:spacing w:after="120" w:line="276"/>
      </w:pPr>
      <w:r>
        <w:rPr>
          <w:rFonts w:ascii="Arial" w:cs="Arial" w:eastAsia="Arial" w:hAnsi="Arial"/>
          <w:b/>
          <w:bCs/>
          <w:sz w:val="22"/>
          <w:szCs w:val="22"/>
        </w:rPr>
        <w:t xml:space="preserve">Conditional Override: </w:t>
      </w:r>
      <w:r>
        <w:rPr>
          <w:rFonts w:ascii="Arial" w:cs="Arial" w:eastAsia="Arial" w:hAnsi="Arial"/>
          <w:sz w:val="22"/>
          <w:szCs w:val="22"/>
        </w:rPr>
        <w:t xml:space="preserve">If you’re in a highly technical organisation (software company, quant finance) where the workforce already has high AI literacy, you can shift toward 55/25/20 because the training and change management burden is lighter. If you’re in a deeply traditional firm (legacy law, certain government agencies), you may need to push change management even higher: 35/30/35.</w:t>
      </w:r>
    </w:p>
    <w:p>
      <w:pPr>
        <w:spacing w:after="120" w:line="276"/>
      </w:pPr>
      <w:r>
        <w:rPr>
          <w:rFonts w:ascii="Arial" w:cs="Arial" w:eastAsia="Arial" w:hAnsi="Arial"/>
          <w:b/>
          <w:bCs/>
          <w:sz w:val="22"/>
          <w:szCs w:val="22"/>
        </w:rPr>
        <w:t xml:space="preserve">Hidden Risk: </w:t>
      </w:r>
      <w:r>
        <w:rPr>
          <w:rFonts w:ascii="Arial" w:cs="Arial" w:eastAsia="Arial" w:hAnsi="Arial"/>
          <w:sz w:val="22"/>
          <w:szCs w:val="22"/>
        </w:rPr>
        <w:t xml:space="preserve">The budget allocation is the single most consequential decision in Phase 1 because it’s almost impossible to reallocate once committed. Vendor contracts are multi-year. Headcount budgets are annual. If you over-index on technology and under-index on adoption in month 3, you can’t easily course-correct in month 9 when adoption is stalling. The budget ratio is the transformation strategy, expressed in numbers.</w:t>
      </w:r>
    </w:p>
    <w:p>
      <w:pPr>
        <w:spacing w:after="120" w:line="276"/>
      </w:pPr>
      <w:r>
        <w:rPr>
          <w:rFonts w:ascii="Arial" w:cs="Arial" w:eastAsia="Arial" w:hAnsi="Arial"/>
          <w:b/>
          <w:bCs/>
          <w:sz w:val="22"/>
          <w:szCs w:val="22"/>
        </w:rPr>
        <w:t xml:space="preserve">Difficulty: </w:t>
      </w:r>
      <w:r>
        <w:rPr>
          <w:rFonts w:ascii="Arial" w:cs="Arial" w:eastAsia="Arial" w:hAnsi="Arial"/>
          <w:sz w:val="22"/>
          <w:szCs w:val="22"/>
        </w:rPr>
        <w:t xml:space="preserve">4/5 — High. This requires fighting the instinct of every CFO and CTO in the room, who will want to see the money going to ‘tangible’ technology assets rather than ‘soft’ training and change management.</w:t>
      </w:r>
    </w:p>
    <w:p>
      <w:pPr>
        <w:spacing w:before="120" w:after="120"/>
      </w:pPr>
      <w:r>
        <w:rPr>
          <w:rFonts w:ascii="Arial" w:cs="Arial" w:eastAsia="Arial" w:hAnsi="Arial"/>
          <w:color w:val="2E7D8C"/>
          <w:sz w:val="14"/>
          <w:szCs w:val="14"/>
        </w:rPr>
        <w:t xml:space="preserve">────────────────────────────────────────────────────────────────────────────────</w:t>
      </w:r>
    </w:p>
    <w:p>
      <w:pPr>
        <w:pStyle w:val="Heading2"/>
        <w:spacing w:before="120" w:after="80"/>
      </w:pPr>
      <w:r>
        <w:t xml:space="preserve">Scenario 4: Data Governance Crisis</w:t>
      </w:r>
    </w:p>
    <w:p>
      <w:pPr>
        <w:spacing w:after="120" w:line="276"/>
      </w:pPr>
      <w:r>
        <w:rPr>
          <w:rFonts w:ascii="Arial" w:cs="Arial" w:eastAsia="Arial" w:hAnsi="Arial"/>
          <w:b/>
          <w:bCs/>
          <w:sz w:val="22"/>
          <w:szCs w:val="22"/>
        </w:rPr>
        <w:t xml:space="preserve">Phase: </w:t>
      </w:r>
      <w:r>
        <w:rPr>
          <w:rFonts w:ascii="Arial" w:cs="Arial" w:eastAsia="Arial" w:hAnsi="Arial"/>
          <w:sz w:val="22"/>
          <w:szCs w:val="22"/>
        </w:rPr>
        <w:t xml:space="preserve">Foundation</w:t>
      </w:r>
    </w:p>
    <w:p>
      <w:pPr>
        <w:spacing w:after="120" w:line="276"/>
      </w:pPr>
      <w:r>
        <w:rPr>
          <w:rFonts w:ascii="Arial" w:cs="Arial" w:eastAsia="Arial" w:hAnsi="Arial"/>
          <w:b/>
          <w:bCs/>
          <w:sz w:val="22"/>
          <w:szCs w:val="22"/>
        </w:rPr>
        <w:t xml:space="preserve">Context: </w:t>
      </w:r>
      <w:r>
        <w:rPr>
          <w:rFonts w:ascii="Arial" w:cs="Arial" w:eastAsia="Arial" w:hAnsi="Arial"/>
          <w:sz w:val="22"/>
          <w:szCs w:val="22"/>
        </w:rPr>
        <w:t xml:space="preserve">Legal and compliance raise urgent concerns: client data cannot be processed by external AI without consent frameworks.</w:t>
      </w:r>
    </w:p>
    <w:p>
      <w:pPr>
        <w:spacing w:before="80"/>
      </w:pPr>
    </w:p>
    <w:p>
      <w:pPr>
        <w:pStyle w:val="Heading3"/>
        <w:spacing w:before="120" w:after="80"/>
      </w:pPr>
      <w:r>
        <w:t xml:space="preserve">Option Analysis</w:t>
      </w:r>
    </w:p>
    <w:p>
      <w:pPr>
        <w:spacing w:after="120" w:line="276"/>
      </w:pPr>
      <w:r>
        <w:rPr>
          <w:rFonts w:ascii="Arial" w:cs="Arial" w:eastAsia="Arial" w:hAnsi="Arial"/>
          <w:b/>
          <w:bCs/>
          <w:sz w:val="22"/>
          <w:szCs w:val="22"/>
        </w:rPr>
        <w:t xml:space="preserve">Option A: </w:t>
      </w:r>
      <w:r>
        <w:rPr>
          <w:rFonts w:ascii="Arial" w:cs="Arial" w:eastAsia="Arial" w:hAnsi="Arial"/>
          <w:sz w:val="22"/>
          <w:szCs w:val="22"/>
        </w:rPr>
        <w:t xml:space="preserve">Pause all AI pilots until a full governance framework is built. Legally safe, strategically devastating. A full governance framework takes 3–6 months in a professional services firm. You’ve just lost your entire Foundation phase to committee work. Momentum dies. Champions lose interest. The C-suite starts questioning whether you can deliver. In regulated industries (law, finance, healthcare), this pause can become permanent because governance perfectionism is infinite.</w:t>
      </w:r>
    </w:p>
    <w:p>
      <w:pPr>
        <w:spacing w:after="120" w:line="276"/>
      </w:pPr>
      <w:r>
        <w:rPr>
          <w:rFonts w:ascii="Arial" w:cs="Arial" w:eastAsia="Arial" w:hAnsi="Arial"/>
          <w:b/>
          <w:bCs/>
          <w:sz w:val="22"/>
          <w:szCs w:val="22"/>
        </w:rPr>
        <w:t xml:space="preserve">Option B: </w:t>
      </w:r>
      <w:r>
        <w:rPr>
          <w:rFonts w:ascii="Arial" w:cs="Arial" w:eastAsia="Arial" w:hAnsi="Arial"/>
          <w:sz w:val="22"/>
          <w:szCs w:val="22"/>
        </w:rPr>
        <w:t xml:space="preserve">Deploy AI on non-sensitive internal data first, build governance in parallel. This is the sweet spot. There is an enormous amount of non-client-facing work — internal documents, meeting notes, email drafting, research summaries, knowledge management — that poses minimal data risk. By deploying here first, you maintain momentum, generate visible wins, and buy time for the governance framework to mature. The parallel governance workstream gets real-world use cases to test against, which actually produces better governance than theoretical frameworks built in isolation.</w:t>
      </w:r>
    </w:p>
    <w:p>
      <w:pPr>
        <w:spacing w:after="120" w:line="276"/>
      </w:pPr>
      <w:r>
        <w:rPr>
          <w:rFonts w:ascii="Arial" w:cs="Arial" w:eastAsia="Arial" w:hAnsi="Arial"/>
          <w:b/>
          <w:bCs/>
          <w:sz w:val="22"/>
          <w:szCs w:val="22"/>
        </w:rPr>
        <w:t xml:space="preserve">Option C: </w:t>
      </w:r>
      <w:r>
        <w:rPr>
          <w:rFonts w:ascii="Arial" w:cs="Arial" w:eastAsia="Arial" w:hAnsi="Arial"/>
          <w:sz w:val="22"/>
          <w:szCs w:val="22"/>
        </w:rPr>
        <w:t xml:space="preserve">Push ahead with anonymised data and address governance reactively. Reckless. Anonymisation is harder than most technologists believe, particularly with professional services data where the context itself can be identifying. One data incident and you’ve not only lost the transformation, you’ve potentially created a regulatory and reputational crisis. The ‘address reactively’ part is what regulators and clients will quote back to you in the worst possible meeting.</w:t>
      </w:r>
    </w:p>
    <w:p>
      <w:pPr>
        <w:spacing w:before="80"/>
      </w:pPr>
    </w:p>
    <w:p>
      <w:pPr>
        <w:spacing w:after="120" w:line="276"/>
      </w:pPr>
      <w:r>
        <w:rPr>
          <w:rFonts w:ascii="Arial" w:cs="Arial" w:eastAsia="Arial" w:hAnsi="Arial"/>
          <w:b/>
          <w:bCs/>
          <w:sz w:val="22"/>
          <w:szCs w:val="22"/>
        </w:rPr>
        <w:t xml:space="preserve">Recommendation: </w:t>
      </w:r>
      <w:r>
        <w:rPr>
          <w:rFonts w:ascii="Arial" w:cs="Arial" w:eastAsia="Arial" w:hAnsi="Arial"/>
          <w:sz w:val="22"/>
          <w:szCs w:val="22"/>
        </w:rPr>
        <w:t xml:space="preserve">Option B. Deploy on internal data while building governance in parallel. This is pragmatic risk management: you’re not ignoring the problem, but you’re not letting it paralyse you either. Frame it to the compliance team as ‘building governance on real use cases’ rather than ‘moving before we’re ready.’</w:t>
      </w:r>
    </w:p>
    <w:p>
      <w:pPr>
        <w:spacing w:after="120" w:line="276"/>
      </w:pPr>
      <w:r>
        <w:rPr>
          <w:rFonts w:ascii="Arial" w:cs="Arial" w:eastAsia="Arial" w:hAnsi="Arial"/>
          <w:b/>
          <w:bCs/>
          <w:sz w:val="22"/>
          <w:szCs w:val="22"/>
        </w:rPr>
        <w:t xml:space="preserve">Conditional Override: </w:t>
      </w:r>
      <w:r>
        <w:rPr>
          <w:rFonts w:ascii="Arial" w:cs="Arial" w:eastAsia="Arial" w:hAnsi="Arial"/>
          <w:sz w:val="22"/>
          <w:szCs w:val="22"/>
        </w:rPr>
        <w:t xml:space="preserve">If you’re in a sector where any AI processing of any data (including internal) is subject to regulatory scrutiny — certain financial services, defence, healthcare — then Option A becomes the only defensible choice, but you need to compress the governance timeline to 4–6 weeks for an MVP framework, not a comprehensive one.</w:t>
      </w:r>
    </w:p>
    <w:p>
      <w:pPr>
        <w:spacing w:after="120" w:line="276"/>
      </w:pPr>
      <w:r>
        <w:rPr>
          <w:rFonts w:ascii="Arial" w:cs="Arial" w:eastAsia="Arial" w:hAnsi="Arial"/>
          <w:b/>
          <w:bCs/>
          <w:sz w:val="22"/>
          <w:szCs w:val="22"/>
        </w:rPr>
        <w:t xml:space="preserve">Hidden Risk: </w:t>
      </w:r>
      <w:r>
        <w:rPr>
          <w:rFonts w:ascii="Arial" w:cs="Arial" w:eastAsia="Arial" w:hAnsi="Arial"/>
          <w:sz w:val="22"/>
          <w:szCs w:val="22"/>
        </w:rPr>
        <w:t xml:space="preserve">Governance frameworks built in isolation from real use cases are always either too restrictive (killing legitimate use) or too permissive (missing actual risks). The parallel approach in B produces better governance because compliance teams can see how AI actually interacts with data rather than theorising about it. The hidden risk of Option A isn’t just delay — it’s that the resulting framework will be disconnected from operational reality.</w:t>
      </w:r>
    </w:p>
    <w:p>
      <w:pPr>
        <w:spacing w:after="120" w:line="276"/>
      </w:pPr>
      <w:r>
        <w:rPr>
          <w:rFonts w:ascii="Arial" w:cs="Arial" w:eastAsia="Arial" w:hAnsi="Arial"/>
          <w:b/>
          <w:bCs/>
          <w:sz w:val="22"/>
          <w:szCs w:val="22"/>
        </w:rPr>
        <w:t xml:space="preserve">Difficulty: </w:t>
      </w:r>
      <w:r>
        <w:rPr>
          <w:rFonts w:ascii="Arial" w:cs="Arial" w:eastAsia="Arial" w:hAnsi="Arial"/>
          <w:sz w:val="22"/>
          <w:szCs w:val="22"/>
        </w:rPr>
        <w:t xml:space="preserve">3/5 — Moderate. The right answer is clear but requires skill in managing the compliance team’s (legitimate) anxieties while maintaining momentum. The relationship between the AI lead and the General Counsel is one of the most important in the entire transformation.</w:t>
      </w:r>
    </w:p>
    <w:p>
      <w:pPr>
        <w:spacing w:before="120" w:after="120"/>
      </w:pPr>
      <w:r>
        <w:rPr>
          <w:rFonts w:ascii="Arial" w:cs="Arial" w:eastAsia="Arial" w:hAnsi="Arial"/>
          <w:color w:val="2E7D8C"/>
          <w:sz w:val="14"/>
          <w:szCs w:val="14"/>
        </w:rPr>
        <w:t xml:space="preserve">────────────────────────────────────────────────────────────────────────────────</w:t>
      </w:r>
    </w:p>
    <w:p>
      <w:r>
        <w:r>
          <w:br w:type="page"/>
        </w:r>
      </w:r>
    </w:p>
    <w:p>
      <w:pPr>
        <w:pStyle w:val="Heading1"/>
        <w:spacing w:before="120" w:after="80"/>
      </w:pPr>
      <w:r>
        <w:t xml:space="preserve">PHASE 2: PILOT (Months 4–6)</w:t>
      </w:r>
    </w:p>
    <w:p>
      <w:pPr>
        <w:pStyle w:val="Heading2"/>
        <w:spacing w:before="120" w:after="80"/>
      </w:pPr>
      <w:r>
        <w:t xml:space="preserve">Scenario 5: Pilot Selection Dilemma</w:t>
      </w:r>
    </w:p>
    <w:p>
      <w:pPr>
        <w:spacing w:after="120" w:line="276"/>
      </w:pPr>
      <w:r>
        <w:rPr>
          <w:rFonts w:ascii="Arial" w:cs="Arial" w:eastAsia="Arial" w:hAnsi="Arial"/>
          <w:b/>
          <w:bCs/>
          <w:sz w:val="22"/>
          <w:szCs w:val="22"/>
        </w:rPr>
        <w:t xml:space="preserve">Phase: </w:t>
      </w:r>
      <w:r>
        <w:rPr>
          <w:rFonts w:ascii="Arial" w:cs="Arial" w:eastAsia="Arial" w:hAnsi="Arial"/>
          <w:sz w:val="22"/>
          <w:szCs w:val="22"/>
        </w:rPr>
        <w:t xml:space="preserve">Pilot</w:t>
      </w:r>
    </w:p>
    <w:p>
      <w:pPr>
        <w:spacing w:after="120" w:line="276"/>
      </w:pPr>
      <w:r>
        <w:rPr>
          <w:rFonts w:ascii="Arial" w:cs="Arial" w:eastAsia="Arial" w:hAnsi="Arial"/>
          <w:b/>
          <w:bCs/>
          <w:sz w:val="22"/>
          <w:szCs w:val="22"/>
        </w:rPr>
        <w:t xml:space="preserve">Context: </w:t>
      </w:r>
      <w:r>
        <w:rPr>
          <w:rFonts w:ascii="Arial" w:cs="Arial" w:eastAsia="Arial" w:hAnsi="Arial"/>
          <w:sz w:val="22"/>
          <w:szCs w:val="22"/>
        </w:rPr>
        <w:t xml:space="preserve">You need to choose which department gets the first high-visibility AI pilot.</w:t>
      </w:r>
    </w:p>
    <w:p>
      <w:pPr>
        <w:spacing w:before="80"/>
      </w:pPr>
    </w:p>
    <w:p>
      <w:pPr>
        <w:pStyle w:val="Heading3"/>
        <w:spacing w:before="120" w:after="80"/>
      </w:pPr>
      <w:r>
        <w:t xml:space="preserve">Option Analysis</w:t>
      </w:r>
    </w:p>
    <w:p>
      <w:pPr>
        <w:spacing w:after="120" w:line="276"/>
      </w:pPr>
      <w:r>
        <w:rPr>
          <w:rFonts w:ascii="Arial" w:cs="Arial" w:eastAsia="Arial" w:hAnsi="Arial"/>
          <w:b/>
          <w:bCs/>
          <w:sz w:val="22"/>
          <w:szCs w:val="22"/>
        </w:rPr>
        <w:t xml:space="preserve">Option A: </w:t>
      </w:r>
      <w:r>
        <w:rPr>
          <w:rFonts w:ascii="Arial" w:cs="Arial" w:eastAsia="Arial" w:hAnsi="Arial"/>
          <w:sz w:val="22"/>
          <w:szCs w:val="22"/>
        </w:rPr>
        <w:t xml:space="preserve">The most enthusiastic team. Enthusiasm guarantees engagement but not impact. If the enthusiastic team is a small, non-critical function, a successful pilot there won’t convince sceptics in revenue-generating departments. ‘Great, the marketing team likes ChatGPT’ is not the proof point that moves a managing partner. However, enthusiasm dramatically reduces execution risk — the pilot is much more likely to succeed, which matters when you need early wins.</w:t>
      </w:r>
    </w:p>
    <w:p>
      <w:pPr>
        <w:spacing w:after="120" w:line="276"/>
      </w:pPr>
      <w:r>
        <w:rPr>
          <w:rFonts w:ascii="Arial" w:cs="Arial" w:eastAsia="Arial" w:hAnsi="Arial"/>
          <w:b/>
          <w:bCs/>
          <w:sz w:val="22"/>
          <w:szCs w:val="22"/>
        </w:rPr>
        <w:t xml:space="preserve">Option B: </w:t>
      </w:r>
      <w:r>
        <w:rPr>
          <w:rFonts w:ascii="Arial" w:cs="Arial" w:eastAsia="Arial" w:hAnsi="Arial"/>
          <w:sz w:val="22"/>
          <w:szCs w:val="22"/>
        </w:rPr>
        <w:t xml:space="preserve">The department with the biggest efficiency gap. Maximum potential impact but maximum execution risk. The department with the biggest gap is usually the one with the worst processes, the most change fatigue, and the least capacity to absorb new tools. A failed pilot here doesn’t just fail — it becomes ammunition for every sceptic in the organisation. High risk, high reward.</w:t>
      </w:r>
    </w:p>
    <w:p>
      <w:pPr>
        <w:spacing w:after="120" w:line="276"/>
      </w:pPr>
      <w:r>
        <w:rPr>
          <w:rFonts w:ascii="Arial" w:cs="Arial" w:eastAsia="Arial" w:hAnsi="Arial"/>
          <w:b/>
          <w:bCs/>
          <w:sz w:val="22"/>
          <w:szCs w:val="22"/>
        </w:rPr>
        <w:t xml:space="preserve">Option C: </w:t>
      </w:r>
      <w:r>
        <w:rPr>
          <w:rFonts w:ascii="Arial" w:cs="Arial" w:eastAsia="Arial" w:hAnsi="Arial"/>
          <w:sz w:val="22"/>
          <w:szCs w:val="22"/>
        </w:rPr>
        <w:t xml:space="preserve">Run parallel pilots across three departments simultaneously. Intellectually appealing but operationally dangerous. You’re splitting your support resources, your attention, and your capacity to troubleshoot across three workstreams in the phase where hands-on support matters most. If two succeed and one fails, the failure narrative dominates. If all three produce mediocre results because of stretched resources, you’ve proven nothing.</w:t>
      </w:r>
    </w:p>
    <w:p>
      <w:pPr>
        <w:spacing w:before="80"/>
      </w:pPr>
    </w:p>
    <w:p>
      <w:pPr>
        <w:spacing w:after="120" w:line="276"/>
      </w:pPr>
      <w:r>
        <w:rPr>
          <w:rFonts w:ascii="Arial" w:cs="Arial" w:eastAsia="Arial" w:hAnsi="Arial"/>
          <w:b/>
          <w:bCs/>
          <w:sz w:val="22"/>
          <w:szCs w:val="22"/>
        </w:rPr>
        <w:t xml:space="preserve">Recommendation: </w:t>
      </w:r>
      <w:r>
        <w:rPr>
          <w:rFonts w:ascii="Arial" w:cs="Arial" w:eastAsia="Arial" w:hAnsi="Arial"/>
          <w:sz w:val="22"/>
          <w:szCs w:val="22"/>
        </w:rPr>
        <w:t xml:space="preserve">Option A, but with a critical condition: the enthusiastic team must be in a function that the rest of the organisation respects and that touches real work. Ideal candidates are a mid-size practice group in a law firm, a client delivery team in consulting, or an operations function that directly supports revenue. You need a success story that sceptics can’t dismiss as trivial.</w:t>
      </w:r>
    </w:p>
    <w:p>
      <w:pPr>
        <w:spacing w:after="120" w:line="276"/>
      </w:pPr>
      <w:r>
        <w:rPr>
          <w:rFonts w:ascii="Arial" w:cs="Arial" w:eastAsia="Arial" w:hAnsi="Arial"/>
          <w:b/>
          <w:bCs/>
          <w:sz w:val="22"/>
          <w:szCs w:val="22"/>
        </w:rPr>
        <w:t xml:space="preserve">Conditional Override: </w:t>
      </w:r>
      <w:r>
        <w:rPr>
          <w:rFonts w:ascii="Arial" w:cs="Arial" w:eastAsia="Arial" w:hAnsi="Arial"/>
          <w:sz w:val="22"/>
          <w:szCs w:val="22"/>
        </w:rPr>
        <w:t xml:space="preserve">If you have a genuinely strong implementation team with capacity to run two parallel pilots with dedicated support for each, option C (at two, not three departments) becomes viable. The key constraint is whether you can provide intensive support to each pilot simultaneously.</w:t>
      </w:r>
    </w:p>
    <w:p>
      <w:pPr>
        <w:spacing w:after="120" w:line="276"/>
      </w:pPr>
      <w:r>
        <w:rPr>
          <w:rFonts w:ascii="Arial" w:cs="Arial" w:eastAsia="Arial" w:hAnsi="Arial"/>
          <w:b/>
          <w:bCs/>
          <w:sz w:val="22"/>
          <w:szCs w:val="22"/>
        </w:rPr>
        <w:t xml:space="preserve">Hidden Risk: </w:t>
      </w:r>
      <w:r>
        <w:rPr>
          <w:rFonts w:ascii="Arial" w:cs="Arial" w:eastAsia="Arial" w:hAnsi="Arial"/>
          <w:sz w:val="22"/>
          <w:szCs w:val="22"/>
        </w:rPr>
        <w:t xml:space="preserve">The pilot isn’t really a technology test. You already know the tools work. The pilot is a political test: can you generate a success story that is credible enough to justify scaling? Every decision about pilot selection should be made through this lens. Choose the team where success is most likely AND most transferable.</w:t>
      </w:r>
    </w:p>
    <w:p>
      <w:pPr>
        <w:spacing w:after="120" w:line="276"/>
      </w:pPr>
      <w:r>
        <w:rPr>
          <w:rFonts w:ascii="Arial" w:cs="Arial" w:eastAsia="Arial" w:hAnsi="Arial"/>
          <w:b/>
          <w:bCs/>
          <w:sz w:val="22"/>
          <w:szCs w:val="22"/>
        </w:rPr>
        <w:t xml:space="preserve">Difficulty: </w:t>
      </w:r>
      <w:r>
        <w:rPr>
          <w:rFonts w:ascii="Arial" w:cs="Arial" w:eastAsia="Arial" w:hAnsi="Arial"/>
          <w:sz w:val="22"/>
          <w:szCs w:val="22"/>
        </w:rPr>
        <w:t xml:space="preserve">3/5 — Moderate. The temptation to be ambitious (C) or strategic (B) is strong. The discipline to choose the path with the highest probability of a credible win requires resisting both.</w:t>
      </w:r>
    </w:p>
    <w:p>
      <w:pPr>
        <w:spacing w:before="120" w:after="120"/>
      </w:pPr>
      <w:r>
        <w:rPr>
          <w:rFonts w:ascii="Arial" w:cs="Arial" w:eastAsia="Arial" w:hAnsi="Arial"/>
          <w:color w:val="2E7D8C"/>
          <w:sz w:val="14"/>
          <w:szCs w:val="14"/>
        </w:rPr>
        <w:t xml:space="preserve">────────────────────────────────────────────────────────────────────────────────</w:t>
      </w:r>
    </w:p>
    <w:p>
      <w:pPr>
        <w:pStyle w:val="Heading2"/>
        <w:spacing w:before="120" w:after="80"/>
      </w:pPr>
      <w:r>
        <w:t xml:space="preserve">Scenario 6: The Vendor Pitch Storm</w:t>
      </w:r>
    </w:p>
    <w:p>
      <w:pPr>
        <w:spacing w:after="120" w:line="276"/>
      </w:pPr>
      <w:r>
        <w:rPr>
          <w:rFonts w:ascii="Arial" w:cs="Arial" w:eastAsia="Arial" w:hAnsi="Arial"/>
          <w:b/>
          <w:bCs/>
          <w:sz w:val="22"/>
          <w:szCs w:val="22"/>
        </w:rPr>
        <w:t xml:space="preserve">Phase: </w:t>
      </w:r>
      <w:r>
        <w:rPr>
          <w:rFonts w:ascii="Arial" w:cs="Arial" w:eastAsia="Arial" w:hAnsi="Arial"/>
          <w:sz w:val="22"/>
          <w:szCs w:val="22"/>
        </w:rPr>
        <w:t xml:space="preserve">Pilot</w:t>
      </w:r>
    </w:p>
    <w:p>
      <w:pPr>
        <w:spacing w:after="120" w:line="276"/>
      </w:pPr>
      <w:r>
        <w:rPr>
          <w:rFonts w:ascii="Arial" w:cs="Arial" w:eastAsia="Arial" w:hAnsi="Arial"/>
          <w:b/>
          <w:bCs/>
          <w:sz w:val="22"/>
          <w:szCs w:val="22"/>
        </w:rPr>
        <w:t xml:space="preserve">Context: </w:t>
      </w:r>
      <w:r>
        <w:rPr>
          <w:rFonts w:ascii="Arial" w:cs="Arial" w:eastAsia="Arial" w:hAnsi="Arial"/>
          <w:sz w:val="22"/>
          <w:szCs w:val="22"/>
        </w:rPr>
        <w:t xml:space="preserve">Five AI vendors competing for your primary contract: two market leaders, two startups, one existing partner.</w:t>
      </w:r>
    </w:p>
    <w:p>
      <w:pPr>
        <w:spacing w:before="80"/>
      </w:pPr>
    </w:p>
    <w:p>
      <w:pPr>
        <w:pStyle w:val="Heading3"/>
        <w:spacing w:before="120" w:after="80"/>
      </w:pPr>
      <w:r>
        <w:t xml:space="preserve">Option Analysis</w:t>
      </w:r>
    </w:p>
    <w:p>
      <w:pPr>
        <w:spacing w:after="120" w:line="276"/>
      </w:pPr>
      <w:r>
        <w:rPr>
          <w:rFonts w:ascii="Arial" w:cs="Arial" w:eastAsia="Arial" w:hAnsi="Arial"/>
          <w:b/>
          <w:bCs/>
          <w:sz w:val="22"/>
          <w:szCs w:val="22"/>
        </w:rPr>
        <w:t xml:space="preserve">Option A: </w:t>
      </w:r>
      <w:r>
        <w:rPr>
          <w:rFonts w:ascii="Arial" w:cs="Arial" w:eastAsia="Arial" w:hAnsi="Arial"/>
          <w:sz w:val="22"/>
          <w:szCs w:val="22"/>
        </w:rPr>
        <w:t xml:space="preserve">Market leader — proven at scale, premium price. You’re buying safety and reliability. Enterprise SLAs, proven integrations, support infrastructure. The cost premium is real but the risk reduction is significant. In a professional services firm where downtime or data incidents have outsized reputational impact, the reliability premium is often worth paying. The downside: market leaders innovate slowly and their enterprise sales teams will lock you into multi-year contracts that reduce flexibility.</w:t>
      </w:r>
    </w:p>
    <w:p>
      <w:pPr>
        <w:spacing w:after="120" w:line="276"/>
      </w:pPr>
      <w:r>
        <w:rPr>
          <w:rFonts w:ascii="Arial" w:cs="Arial" w:eastAsia="Arial" w:hAnsi="Arial"/>
          <w:b/>
          <w:bCs/>
          <w:sz w:val="22"/>
          <w:szCs w:val="22"/>
        </w:rPr>
        <w:t xml:space="preserve">Option B: </w:t>
      </w:r>
      <w:r>
        <w:rPr>
          <w:rFonts w:ascii="Arial" w:cs="Arial" w:eastAsia="Arial" w:hAnsi="Arial"/>
          <w:sz w:val="22"/>
          <w:szCs w:val="22"/>
        </w:rPr>
        <w:t xml:space="preserve">Innovative startup — cutting-edge, unproven at scale. The technology might be genuinely superior, but ‘might’ is the operative word. Startups pivot, get acquired, or go under. Their support infrastructure is thin. Their enterprise readiness is often cosmetic. One firm I worked with bet on a promising AI startup that was acquired six months later; the product was sunset within a year. That said, startups offer partnership dynamics that market leaders don’t — they’ll build features for you.</w:t>
      </w:r>
    </w:p>
    <w:p>
      <w:pPr>
        <w:spacing w:after="120" w:line="276"/>
      </w:pPr>
      <w:r>
        <w:rPr>
          <w:rFonts w:ascii="Arial" w:cs="Arial" w:eastAsia="Arial" w:hAnsi="Arial"/>
          <w:b/>
          <w:bCs/>
          <w:sz w:val="22"/>
          <w:szCs w:val="22"/>
        </w:rPr>
        <w:t xml:space="preserve">Option C: </w:t>
      </w:r>
      <w:r>
        <w:rPr>
          <w:rFonts w:ascii="Arial" w:cs="Arial" w:eastAsia="Arial" w:hAnsi="Arial"/>
          <w:sz w:val="22"/>
          <w:szCs w:val="22"/>
        </w:rPr>
        <w:t xml:space="preserve">Multi-vendor strategy — best-of-breed for each use case. The strategically correct answer in most cases, but the hardest to execute. You get optimal tools for each workflow but you inherit integration complexity, multiple vendor relationships, inconsistent user experiences, and higher total management overhead. This works well when you have strong internal technical capability to manage the ecosystem. It fails when the AI team is small and already stretched.</w:t>
      </w:r>
    </w:p>
    <w:p>
      <w:pPr>
        <w:spacing w:before="80"/>
      </w:pPr>
    </w:p>
    <w:p>
      <w:pPr>
        <w:spacing w:after="120" w:line="276"/>
      </w:pPr>
      <w:r>
        <w:rPr>
          <w:rFonts w:ascii="Arial" w:cs="Arial" w:eastAsia="Arial" w:hAnsi="Arial"/>
          <w:b/>
          <w:bCs/>
          <w:sz w:val="22"/>
          <w:szCs w:val="22"/>
        </w:rPr>
        <w:t xml:space="preserve">Recommendation: </w:t>
      </w:r>
      <w:r>
        <w:rPr>
          <w:rFonts w:ascii="Arial" w:cs="Arial" w:eastAsia="Arial" w:hAnsi="Arial"/>
          <w:sz w:val="22"/>
          <w:szCs w:val="22"/>
        </w:rPr>
        <w:t xml:space="preserve">Option C, the multi-vendor strategy, but with a primary platform anchor. In practice this means: choose a market leader (A) as your core platform for 70% of use cases, and selectively layer in best-of-breed tools for specific high-value workflows. This gives you the reliability of a platform with the innovation of specialists. One enterprise agreement, two or three targeted supplements.</w:t>
      </w:r>
    </w:p>
    <w:p>
      <w:pPr>
        <w:spacing w:after="120" w:line="276"/>
      </w:pPr>
      <w:r>
        <w:rPr>
          <w:rFonts w:ascii="Arial" w:cs="Arial" w:eastAsia="Arial" w:hAnsi="Arial"/>
          <w:b/>
          <w:bCs/>
          <w:sz w:val="22"/>
          <w:szCs w:val="22"/>
        </w:rPr>
        <w:t xml:space="preserve">Conditional Override: </w:t>
      </w:r>
      <w:r>
        <w:rPr>
          <w:rFonts w:ascii="Arial" w:cs="Arial" w:eastAsia="Arial" w:hAnsi="Arial"/>
          <w:sz w:val="22"/>
          <w:szCs w:val="22"/>
        </w:rPr>
        <w:t xml:space="preserve">If budget is severely constrained or the internal team lacks vendor management capacity, go pure Option A. A single market leader with enterprise support reduces complexity to a level a lean team can manage. If you’re in an innovation-led firm (tech company, R&amp;D-heavy) with strong internal engineering, a more aggressive multi-vendor approach tilted toward startups (B+C) makes sense.</w:t>
      </w:r>
    </w:p>
    <w:p>
      <w:pPr>
        <w:spacing w:after="120" w:line="276"/>
      </w:pPr>
      <w:r>
        <w:rPr>
          <w:rFonts w:ascii="Arial" w:cs="Arial" w:eastAsia="Arial" w:hAnsi="Arial"/>
          <w:b/>
          <w:bCs/>
          <w:sz w:val="22"/>
          <w:szCs w:val="22"/>
        </w:rPr>
        <w:t xml:space="preserve">Hidden Risk: </w:t>
      </w:r>
      <w:r>
        <w:rPr>
          <w:rFonts w:ascii="Arial" w:cs="Arial" w:eastAsia="Arial" w:hAnsi="Arial"/>
          <w:sz w:val="22"/>
          <w:szCs w:val="22"/>
        </w:rPr>
        <w:t xml:space="preserve">Vendor lock-in is the risk everyone talks about. The risk most people miss is vendor sprawl — 18 months from now, different departments are using different tools, nothing integrates, and you’ve created a shadow IT problem at the enterprise level. A ‘multi-vendor strategy’ without a clear primary platform becomes ungovernable.</w:t>
      </w:r>
    </w:p>
    <w:p>
      <w:pPr>
        <w:spacing w:after="120" w:line="276"/>
      </w:pPr>
      <w:r>
        <w:rPr>
          <w:rFonts w:ascii="Arial" w:cs="Arial" w:eastAsia="Arial" w:hAnsi="Arial"/>
          <w:b/>
          <w:bCs/>
          <w:sz w:val="22"/>
          <w:szCs w:val="22"/>
        </w:rPr>
        <w:t xml:space="preserve">Difficulty: </w:t>
      </w:r>
      <w:r>
        <w:rPr>
          <w:rFonts w:ascii="Arial" w:cs="Arial" w:eastAsia="Arial" w:hAnsi="Arial"/>
          <w:sz w:val="22"/>
          <w:szCs w:val="22"/>
        </w:rPr>
        <w:t xml:space="preserve">3/5 — Moderate. Procurement politics, existing partner relationships, and vendor lobbying make this messier in practice than the logic suggests. The CTO will have opinions, the existing partner will leverage relationships, and the CFO will fixate on per-seat costs.</w:t>
      </w:r>
    </w:p>
    <w:p>
      <w:pPr>
        <w:spacing w:before="120" w:after="120"/>
      </w:pPr>
      <w:r>
        <w:rPr>
          <w:rFonts w:ascii="Arial" w:cs="Arial" w:eastAsia="Arial" w:hAnsi="Arial"/>
          <w:color w:val="2E7D8C"/>
          <w:sz w:val="14"/>
          <w:szCs w:val="14"/>
        </w:rPr>
        <w:t xml:space="preserve">────────────────────────────────────────────────────────────────────────────────</w:t>
      </w:r>
    </w:p>
    <w:p>
      <w:pPr>
        <w:pStyle w:val="Heading2"/>
        <w:spacing w:before="120" w:after="80"/>
      </w:pPr>
      <w:r>
        <w:t xml:space="preserve">Scenario 7: The Quick Win</w:t>
      </w:r>
    </w:p>
    <w:p>
      <w:pPr>
        <w:spacing w:after="120" w:line="276"/>
      </w:pPr>
      <w:r>
        <w:rPr>
          <w:rFonts w:ascii="Arial" w:cs="Arial" w:eastAsia="Arial" w:hAnsi="Arial"/>
          <w:b/>
          <w:bCs/>
          <w:sz w:val="22"/>
          <w:szCs w:val="22"/>
        </w:rPr>
        <w:t xml:space="preserve">Phase: </w:t>
      </w:r>
      <w:r>
        <w:rPr>
          <w:rFonts w:ascii="Arial" w:cs="Arial" w:eastAsia="Arial" w:hAnsi="Arial"/>
          <w:sz w:val="22"/>
          <w:szCs w:val="22"/>
        </w:rPr>
        <w:t xml:space="preserve">Pilot</w:t>
      </w:r>
    </w:p>
    <w:p>
      <w:pPr>
        <w:spacing w:after="120" w:line="276"/>
      </w:pPr>
      <w:r>
        <w:rPr>
          <w:rFonts w:ascii="Arial" w:cs="Arial" w:eastAsia="Arial" w:hAnsi="Arial"/>
          <w:b/>
          <w:bCs/>
          <w:sz w:val="22"/>
          <w:szCs w:val="22"/>
        </w:rPr>
        <w:t xml:space="preserve">Context: </w:t>
      </w:r>
      <w:r>
        <w:rPr>
          <w:rFonts w:ascii="Arial" w:cs="Arial" w:eastAsia="Arial" w:hAnsi="Arial"/>
          <w:sz w:val="22"/>
          <w:szCs w:val="22"/>
        </w:rPr>
        <w:t xml:space="preserve">An AI tool identifies that meeting scheduling and email drafting alone could save 12,000 hours per year. How do you communicate this?</w:t>
      </w:r>
    </w:p>
    <w:p>
      <w:pPr>
        <w:spacing w:before="80"/>
      </w:pPr>
    </w:p>
    <w:p>
      <w:pPr>
        <w:pStyle w:val="Heading3"/>
        <w:spacing w:before="120" w:after="80"/>
      </w:pPr>
      <w:r>
        <w:t xml:space="preserve">Option Analysis</w:t>
      </w:r>
    </w:p>
    <w:p>
      <w:pPr>
        <w:spacing w:after="120" w:line="276"/>
      </w:pPr>
      <w:r>
        <w:rPr>
          <w:rFonts w:ascii="Arial" w:cs="Arial" w:eastAsia="Arial" w:hAnsi="Arial"/>
          <w:b/>
          <w:bCs/>
          <w:sz w:val="22"/>
          <w:szCs w:val="22"/>
        </w:rPr>
        <w:t xml:space="preserve">Option A: </w:t>
      </w:r>
      <w:r>
        <w:rPr>
          <w:rFonts w:ascii="Arial" w:cs="Arial" w:eastAsia="Arial" w:hAnsi="Arial"/>
          <w:sz w:val="22"/>
          <w:szCs w:val="22"/>
        </w:rPr>
        <w:t xml:space="preserve">Announce company-wide as proof of AI value. Dangerous for two reasons. First, it invites scrutiny from people who will challenge the methodology (and hour-savings calculations are always soft). Second, and more critically, it frames AI value in terms of hours saved, which every employee correctly interprets as ‘our jobs are at risk.’ You’ve just turned your own success metric into an existential threat narrative. Adoption will crater as people realise that ‘efficiency’ is a euphemism for headcount reduction.</w:t>
      </w:r>
    </w:p>
    <w:p>
      <w:pPr>
        <w:spacing w:after="120" w:line="276"/>
      </w:pPr>
      <w:r>
        <w:rPr>
          <w:rFonts w:ascii="Arial" w:cs="Arial" w:eastAsia="Arial" w:hAnsi="Arial"/>
          <w:b/>
          <w:bCs/>
          <w:sz w:val="22"/>
          <w:szCs w:val="22"/>
        </w:rPr>
        <w:t xml:space="preserve">Option B: </w:t>
      </w:r>
      <w:r>
        <w:rPr>
          <w:rFonts w:ascii="Arial" w:cs="Arial" w:eastAsia="Arial" w:hAnsi="Arial"/>
          <w:sz w:val="22"/>
          <w:szCs w:val="22"/>
        </w:rPr>
        <w:t xml:space="preserve">Share selectively with leadership, let results speak. Safe but wastes political capital. You have a tangible proof point and you’re not using it. Results don’t ‘speak for themselves’ in large organisations — they get interpreted, reframed, and attributed to other factors. Without proactive communication, you lose control of the narrative.</w:t>
      </w:r>
    </w:p>
    <w:p>
      <w:pPr>
        <w:spacing w:after="120" w:line="276"/>
      </w:pPr>
      <w:r>
        <w:rPr>
          <w:rFonts w:ascii="Arial" w:cs="Arial" w:eastAsia="Arial" w:hAnsi="Arial"/>
          <w:b/>
          <w:bCs/>
          <w:sz w:val="22"/>
          <w:szCs w:val="22"/>
        </w:rPr>
        <w:t xml:space="preserve">Option C: </w:t>
      </w:r>
      <w:r>
        <w:rPr>
          <w:rFonts w:ascii="Arial" w:cs="Arial" w:eastAsia="Arial" w:hAnsi="Arial"/>
          <w:sz w:val="22"/>
          <w:szCs w:val="22"/>
        </w:rPr>
        <w:t xml:space="preserve">Reframe as ‘12,000 hours redirected to higher-value work.’ This is the only framing that works. It communicates the same magnitude of impact while fundamentally changing what it means. ‘Hours saved’ = threat. ‘Hours redirected to client work, strategic thinking, business development’ = opportunity. This framing also pre-empts the headcount reduction question by explicitly answering it: these hours go back to people, not to a spreadsheet.</w:t>
      </w:r>
    </w:p>
    <w:p>
      <w:pPr>
        <w:spacing w:before="80"/>
      </w:pPr>
    </w:p>
    <w:p>
      <w:pPr>
        <w:spacing w:after="120" w:line="276"/>
      </w:pPr>
      <w:r>
        <w:rPr>
          <w:rFonts w:ascii="Arial" w:cs="Arial" w:eastAsia="Arial" w:hAnsi="Arial"/>
          <w:b/>
          <w:bCs/>
          <w:sz w:val="22"/>
          <w:szCs w:val="22"/>
        </w:rPr>
        <w:t xml:space="preserve">Recommendation: </w:t>
      </w:r>
      <w:r>
        <w:rPr>
          <w:rFonts w:ascii="Arial" w:cs="Arial" w:eastAsia="Arial" w:hAnsi="Arial"/>
          <w:sz w:val="22"/>
          <w:szCs w:val="22"/>
        </w:rPr>
        <w:t xml:space="preserve">Option C. The reframing. This isn’t spin; it’s strategic communication. The framing of AI value determines whether the organisation experiences the transformation as empowering or threatening. Get this wrong and no amount of technical excellence will overcome the adoption resistance.</w:t>
      </w:r>
    </w:p>
    <w:p>
      <w:pPr>
        <w:spacing w:after="120" w:line="276"/>
      </w:pPr>
      <w:r>
        <w:rPr>
          <w:rFonts w:ascii="Arial" w:cs="Arial" w:eastAsia="Arial" w:hAnsi="Arial"/>
          <w:b/>
          <w:bCs/>
          <w:sz w:val="22"/>
          <w:szCs w:val="22"/>
        </w:rPr>
        <w:t xml:space="preserve">Conditional Override: </w:t>
      </w:r>
      <w:r>
        <w:rPr>
          <w:rFonts w:ascii="Arial" w:cs="Arial" w:eastAsia="Arial" w:hAnsi="Arial"/>
          <w:sz w:val="22"/>
          <w:szCs w:val="22"/>
        </w:rPr>
        <w:t xml:space="preserve">If your organisation is explicitly undergoing a cost-cutting exercise and the board has communicated headcount targets, then Option B (selective leadership sharing with the hours-saved metric) is appropriate because that’s the metric leadership is evaluating. But in a growth or transformation context, C is always the move.</w:t>
      </w:r>
    </w:p>
    <w:p>
      <w:pPr>
        <w:spacing w:after="120" w:line="276"/>
      </w:pPr>
      <w:r>
        <w:rPr>
          <w:rFonts w:ascii="Arial" w:cs="Arial" w:eastAsia="Arial" w:hAnsi="Arial"/>
          <w:b/>
          <w:bCs/>
          <w:sz w:val="22"/>
          <w:szCs w:val="22"/>
        </w:rPr>
        <w:t xml:space="preserve">Hidden Risk: </w:t>
      </w:r>
      <w:r>
        <w:rPr>
          <w:rFonts w:ascii="Arial" w:cs="Arial" w:eastAsia="Arial" w:hAnsi="Arial"/>
          <w:sz w:val="22"/>
          <w:szCs w:val="22"/>
        </w:rPr>
        <w:t xml:space="preserve">The way you frame the first visible success sets the template for how the organisation understands AI value for the rest of the transformation. If the first story is about hours saved, every subsequent success will be measured in the same terms, and every team will be calculating whether ‘efficiency gains’ means their role is next. This is extremely difficult to undo once established.</w:t>
      </w:r>
    </w:p>
    <w:p>
      <w:pPr>
        <w:spacing w:after="120" w:line="276"/>
      </w:pPr>
      <w:r>
        <w:rPr>
          <w:rFonts w:ascii="Arial" w:cs="Arial" w:eastAsia="Arial" w:hAnsi="Arial"/>
          <w:b/>
          <w:bCs/>
          <w:sz w:val="22"/>
          <w:szCs w:val="22"/>
        </w:rPr>
        <w:t xml:space="preserve">Difficulty: </w:t>
      </w:r>
      <w:r>
        <w:rPr>
          <w:rFonts w:ascii="Arial" w:cs="Arial" w:eastAsia="Arial" w:hAnsi="Arial"/>
          <w:sz w:val="22"/>
          <w:szCs w:val="22"/>
        </w:rPr>
        <w:t xml:space="preserve">2/5 — Low-moderate. The right answer is fairly clear, but many transformation leaders default to the hours-saved metric because it’s what the CFO wants to hear. The discipline to reframe requires confidence that you can sell the value story differently.</w:t>
      </w:r>
    </w:p>
    <w:p>
      <w:pPr>
        <w:spacing w:before="120" w:after="120"/>
      </w:pPr>
      <w:r>
        <w:rPr>
          <w:rFonts w:ascii="Arial" w:cs="Arial" w:eastAsia="Arial" w:hAnsi="Arial"/>
          <w:color w:val="2E7D8C"/>
          <w:sz w:val="14"/>
          <w:szCs w:val="14"/>
        </w:rPr>
        <w:t xml:space="preserve">────────────────────────────────────────────────────────────────────────────────</w:t>
      </w:r>
    </w:p>
    <w:p>
      <w:pPr>
        <w:pStyle w:val="Heading2"/>
        <w:spacing w:before="120" w:after="80"/>
      </w:pPr>
      <w:r>
        <w:t xml:space="preserve">Scenario 8: Training Approach</w:t>
      </w:r>
    </w:p>
    <w:p>
      <w:pPr>
        <w:spacing w:after="120" w:line="276"/>
      </w:pPr>
      <w:r>
        <w:rPr>
          <w:rFonts w:ascii="Arial" w:cs="Arial" w:eastAsia="Arial" w:hAnsi="Arial"/>
          <w:b/>
          <w:bCs/>
          <w:sz w:val="22"/>
          <w:szCs w:val="22"/>
        </w:rPr>
        <w:t xml:space="preserve">Phase: </w:t>
      </w:r>
      <w:r>
        <w:rPr>
          <w:rFonts w:ascii="Arial" w:cs="Arial" w:eastAsia="Arial" w:hAnsi="Arial"/>
          <w:sz w:val="22"/>
          <w:szCs w:val="22"/>
        </w:rPr>
        <w:t xml:space="preserve">Pilot</w:t>
      </w:r>
    </w:p>
    <w:p>
      <w:pPr>
        <w:spacing w:after="120" w:line="276"/>
      </w:pPr>
      <w:r>
        <w:rPr>
          <w:rFonts w:ascii="Arial" w:cs="Arial" w:eastAsia="Arial" w:hAnsi="Arial"/>
          <w:b/>
          <w:bCs/>
          <w:sz w:val="22"/>
          <w:szCs w:val="22"/>
        </w:rPr>
        <w:t xml:space="preserve">Context: </w:t>
      </w:r>
      <w:r>
        <w:rPr>
          <w:rFonts w:ascii="Arial" w:cs="Arial" w:eastAsia="Arial" w:hAnsi="Arial"/>
          <w:sz w:val="22"/>
          <w:szCs w:val="22"/>
        </w:rPr>
        <w:t xml:space="preserve">Your pilot teams need training on new AI tools. How do you approach the learning curve?</w:t>
      </w:r>
    </w:p>
    <w:p>
      <w:pPr>
        <w:spacing w:before="80"/>
      </w:pPr>
    </w:p>
    <w:p>
      <w:pPr>
        <w:pStyle w:val="Heading3"/>
        <w:spacing w:before="120" w:after="80"/>
      </w:pPr>
      <w:r>
        <w:t xml:space="preserve">Option Analysis</w:t>
      </w:r>
    </w:p>
    <w:p>
      <w:pPr>
        <w:spacing w:after="120" w:line="276"/>
      </w:pPr>
      <w:r>
        <w:rPr>
          <w:rFonts w:ascii="Arial" w:cs="Arial" w:eastAsia="Arial" w:hAnsi="Arial"/>
          <w:b/>
          <w:bCs/>
          <w:sz w:val="22"/>
          <w:szCs w:val="22"/>
        </w:rPr>
        <w:t xml:space="preserve">Option A: </w:t>
      </w:r>
      <w:r>
        <w:rPr>
          <w:rFonts w:ascii="Arial" w:cs="Arial" w:eastAsia="Arial" w:hAnsi="Arial"/>
          <w:sz w:val="22"/>
          <w:szCs w:val="22"/>
        </w:rPr>
        <w:t xml:space="preserve">Mandatory 2-day intensive workshop. Produces a spike of awareness followed by a cliff of retention. Adults don’t learn enterprise tools in classroom settings; they learn by doing, in context, with support. A 2-day workshop for AI tools is like a 2-day workshop for Excel: you’ll remember how to open it and type something, but actual proficiency comes from repeated application to real work. The mandatory nature also creates resentment among people who already feel confident and boredom among people who aren’t ready.</w:t>
      </w:r>
    </w:p>
    <w:p>
      <w:pPr>
        <w:spacing w:after="120" w:line="276"/>
      </w:pPr>
      <w:r>
        <w:rPr>
          <w:rFonts w:ascii="Arial" w:cs="Arial" w:eastAsia="Arial" w:hAnsi="Arial"/>
          <w:b/>
          <w:bCs/>
          <w:sz w:val="22"/>
          <w:szCs w:val="22"/>
        </w:rPr>
        <w:t xml:space="preserve">Option B: </w:t>
      </w:r>
      <w:r>
        <w:rPr>
          <w:rFonts w:ascii="Arial" w:cs="Arial" w:eastAsia="Arial" w:hAnsi="Arial"/>
          <w:sz w:val="22"/>
          <w:szCs w:val="22"/>
        </w:rPr>
        <w:t xml:space="preserve">AI Champions programme — train power users who mentor peers. The proven model. You invest deeply in 10–15% of the organisation who are naturally inclined toward the tools, give them advanced training and explicit recognition, and they become the distributed support network. This works because peer learning is more effective than centralised training, the champions have contextual knowledge of their team’s workflows, and it’s scalable. The champion network also becomes your feedback loop and early warning system.</w:t>
      </w:r>
    </w:p>
    <w:p>
      <w:pPr>
        <w:spacing w:after="120" w:line="276"/>
      </w:pPr>
      <w:r>
        <w:rPr>
          <w:rFonts w:ascii="Arial" w:cs="Arial" w:eastAsia="Arial" w:hAnsi="Arial"/>
          <w:b/>
          <w:bCs/>
          <w:sz w:val="22"/>
          <w:szCs w:val="22"/>
        </w:rPr>
        <w:t xml:space="preserve">Option C: </w:t>
      </w:r>
      <w:r>
        <w:rPr>
          <w:rFonts w:ascii="Arial" w:cs="Arial" w:eastAsia="Arial" w:hAnsi="Arial"/>
          <w:sz w:val="22"/>
          <w:szCs w:val="22"/>
        </w:rPr>
        <w:t xml:space="preserve">Self-paced online modules with optional drop-in clinics. Low-cost, high-flexibility, poor outcomes. Completion rates for self-paced enterprise learning are typically 15–25%. The people who need training most are the ones who won’t do optional modules. You end up widening the gap between enthusiasts (who complete everything) and resistors (who complete nothing). The drop-in clinics help but only reach people who self-select in.</w:t>
      </w:r>
    </w:p>
    <w:p>
      <w:pPr>
        <w:spacing w:before="80"/>
      </w:pPr>
    </w:p>
    <w:p>
      <w:pPr>
        <w:spacing w:after="120" w:line="276"/>
      </w:pPr>
      <w:r>
        <w:rPr>
          <w:rFonts w:ascii="Arial" w:cs="Arial" w:eastAsia="Arial" w:hAnsi="Arial"/>
          <w:b/>
          <w:bCs/>
          <w:sz w:val="22"/>
          <w:szCs w:val="22"/>
        </w:rPr>
        <w:t xml:space="preserve">Recommendation: </w:t>
      </w:r>
      <w:r>
        <w:rPr>
          <w:rFonts w:ascii="Arial" w:cs="Arial" w:eastAsia="Arial" w:hAnsi="Arial"/>
          <w:sz w:val="22"/>
          <w:szCs w:val="22"/>
        </w:rPr>
        <w:t xml:space="preserve">Option B. The AI Champions programme. It’s the only approach that creates sustainable, contextual, peer-driven learning. Supplement with short reference materials (C-style modules as a resource, not a primary method) and occasional hands-on workshops (A-style but 90 minutes, not 2 days) for new tool rollouts.</w:t>
      </w:r>
    </w:p>
    <w:p>
      <w:pPr>
        <w:spacing w:after="120" w:line="276"/>
      </w:pPr>
      <w:r>
        <w:rPr>
          <w:rFonts w:ascii="Arial" w:cs="Arial" w:eastAsia="Arial" w:hAnsi="Arial"/>
          <w:b/>
          <w:bCs/>
          <w:sz w:val="22"/>
          <w:szCs w:val="22"/>
        </w:rPr>
        <w:t xml:space="preserve">Conditional Override: </w:t>
      </w:r>
      <w:r>
        <w:rPr>
          <w:rFonts w:ascii="Arial" w:cs="Arial" w:eastAsia="Arial" w:hAnsi="Arial"/>
          <w:sz w:val="22"/>
          <w:szCs w:val="22"/>
        </w:rPr>
        <w:t xml:space="preserve">For a geographically distributed organisation where in-person champion networks are impractical, a hybrid of B and C works: virtual champions programme with robust self-paced content and scheduled virtual practice sessions. For very small organisations (under 100 people), Option A (compressed to a half-day) can work because you can provide individual attention.</w:t>
      </w:r>
    </w:p>
    <w:p>
      <w:pPr>
        <w:spacing w:after="120" w:line="276"/>
      </w:pPr>
      <w:r>
        <w:rPr>
          <w:rFonts w:ascii="Arial" w:cs="Arial" w:eastAsia="Arial" w:hAnsi="Arial"/>
          <w:b/>
          <w:bCs/>
          <w:sz w:val="22"/>
          <w:szCs w:val="22"/>
        </w:rPr>
        <w:t xml:space="preserve">Hidden Risk: </w:t>
      </w:r>
      <w:r>
        <w:rPr>
          <w:rFonts w:ascii="Arial" w:cs="Arial" w:eastAsia="Arial" w:hAnsi="Arial"/>
          <w:sz w:val="22"/>
          <w:szCs w:val="22"/>
        </w:rPr>
        <w:t xml:space="preserve">The Champions programme creates a secondary risk: dependency on champions. If your champions burn out, leave, or lose interest, the support structure collapses. You need to build a cohort of champions, not a handful. Plan for 1 champion per 15–20 users, and rotate the role to prevent fatigue and spread capability.</w:t>
      </w:r>
    </w:p>
    <w:p>
      <w:pPr>
        <w:spacing w:after="120" w:line="276"/>
      </w:pPr>
      <w:r>
        <w:rPr>
          <w:rFonts w:ascii="Arial" w:cs="Arial" w:eastAsia="Arial" w:hAnsi="Arial"/>
          <w:b/>
          <w:bCs/>
          <w:sz w:val="22"/>
          <w:szCs w:val="22"/>
        </w:rPr>
        <w:t xml:space="preserve">Difficulty: </w:t>
      </w:r>
      <w:r>
        <w:rPr>
          <w:rFonts w:ascii="Arial" w:cs="Arial" w:eastAsia="Arial" w:hAnsi="Arial"/>
          <w:sz w:val="22"/>
          <w:szCs w:val="22"/>
        </w:rPr>
        <w:t xml:space="preserve">2/5 — Low-moderate. The Champions model is well-established in change management. The difficulty is in execution: selecting the right champions, giving them enough time and recognition, and maintaining the programme through the inevitable mid-transformation energy dip.</w:t>
      </w:r>
    </w:p>
    <w:p>
      <w:pPr>
        <w:spacing w:before="120" w:after="120"/>
      </w:pPr>
      <w:r>
        <w:rPr>
          <w:rFonts w:ascii="Arial" w:cs="Arial" w:eastAsia="Arial" w:hAnsi="Arial"/>
          <w:color w:val="2E7D8C"/>
          <w:sz w:val="14"/>
          <w:szCs w:val="14"/>
        </w:rPr>
        <w:t xml:space="preserve">────────────────────────────────────────────────────────────────────────────────</w:t>
      </w:r>
    </w:p>
    <w:p>
      <w:r>
        <w:r>
          <w:br w:type="page"/>
        </w:r>
      </w:r>
    </w:p>
    <w:p>
      <w:pPr>
        <w:pStyle w:val="Heading1"/>
        <w:spacing w:before="120" w:after="80"/>
      </w:pPr>
      <w:r>
        <w:t xml:space="preserve">PHASE 3: SCALE (Months 7–9)</w:t>
      </w:r>
    </w:p>
    <w:p>
      <w:pPr>
        <w:pStyle w:val="Heading2"/>
        <w:spacing w:before="120" w:after="80"/>
      </w:pPr>
      <w:r>
        <w:t xml:space="preserve">Scenario 9: Scaling Decision</w:t>
      </w:r>
    </w:p>
    <w:p>
      <w:pPr>
        <w:spacing w:after="120" w:line="276"/>
      </w:pPr>
      <w:r>
        <w:rPr>
          <w:rFonts w:ascii="Arial" w:cs="Arial" w:eastAsia="Arial" w:hAnsi="Arial"/>
          <w:b/>
          <w:bCs/>
          <w:sz w:val="22"/>
          <w:szCs w:val="22"/>
        </w:rPr>
        <w:t xml:space="preserve">Phase: </w:t>
      </w:r>
      <w:r>
        <w:rPr>
          <w:rFonts w:ascii="Arial" w:cs="Arial" w:eastAsia="Arial" w:hAnsi="Arial"/>
          <w:sz w:val="22"/>
          <w:szCs w:val="22"/>
        </w:rPr>
        <w:t xml:space="preserve">Scale</w:t>
      </w:r>
    </w:p>
    <w:p>
      <w:pPr>
        <w:spacing w:after="120" w:line="276"/>
      </w:pPr>
      <w:r>
        <w:rPr>
          <w:rFonts w:ascii="Arial" w:cs="Arial" w:eastAsia="Arial" w:hAnsi="Arial"/>
          <w:b/>
          <w:bCs/>
          <w:sz w:val="22"/>
          <w:szCs w:val="22"/>
        </w:rPr>
        <w:t xml:space="preserve">Context: </w:t>
      </w:r>
      <w:r>
        <w:rPr>
          <w:rFonts w:ascii="Arial" w:cs="Arial" w:eastAsia="Arial" w:hAnsi="Arial"/>
          <w:sz w:val="22"/>
          <w:szCs w:val="22"/>
        </w:rPr>
        <w:t xml:space="preserve">Pilot showed 40% efficiency gains. The CEO wants to roll out across all departments immediately.</w:t>
      </w:r>
    </w:p>
    <w:p>
      <w:pPr>
        <w:spacing w:before="80"/>
      </w:pPr>
    </w:p>
    <w:p>
      <w:pPr>
        <w:pStyle w:val="Heading3"/>
        <w:spacing w:before="120" w:after="80"/>
      </w:pPr>
      <w:r>
        <w:t xml:space="preserve">Option Analysis</w:t>
      </w:r>
    </w:p>
    <w:p>
      <w:pPr>
        <w:spacing w:after="120" w:line="276"/>
      </w:pPr>
      <w:r>
        <w:rPr>
          <w:rFonts w:ascii="Arial" w:cs="Arial" w:eastAsia="Arial" w:hAnsi="Arial"/>
          <w:b/>
          <w:bCs/>
          <w:sz w:val="22"/>
          <w:szCs w:val="22"/>
        </w:rPr>
        <w:t xml:space="preserve">Option A: </w:t>
      </w:r>
      <w:r>
        <w:rPr>
          <w:rFonts w:ascii="Arial" w:cs="Arial" w:eastAsia="Arial" w:hAnsi="Arial"/>
          <w:sz w:val="22"/>
          <w:szCs w:val="22"/>
        </w:rPr>
        <w:t xml:space="preserve">Agree and scale now. The CEO’s instinct is understandable but wrong. 40% gains in a pilot with hand-picked enthusiasts, dedicated support, and high attention is not predictive of 40% gains across departments with different cultures, workflows, and levels of readiness. Scaling before readiness produces a wave of mediocre deployments, help desk overload, and the dangerous narrative that ‘it doesn’t work for our department.’ Once a department concludes AI doesn’t work for them, it takes years to re-engage them.</w:t>
      </w:r>
    </w:p>
    <w:p>
      <w:pPr>
        <w:spacing w:after="120" w:line="276"/>
      </w:pPr>
      <w:r>
        <w:rPr>
          <w:rFonts w:ascii="Arial" w:cs="Arial" w:eastAsia="Arial" w:hAnsi="Arial"/>
          <w:b/>
          <w:bCs/>
          <w:sz w:val="22"/>
          <w:szCs w:val="22"/>
        </w:rPr>
        <w:t xml:space="preserve">Option B: </w:t>
      </w:r>
      <w:r>
        <w:rPr>
          <w:rFonts w:ascii="Arial" w:cs="Arial" w:eastAsia="Arial" w:hAnsi="Arial"/>
          <w:sz w:val="22"/>
          <w:szCs w:val="22"/>
        </w:rPr>
        <w:t xml:space="preserve">Propose a staged 3-month rollout, department by department. Correct answer. You maintain momentum (satisfying the CEO’s urgency) while controlling quality. Each department gets a dedicated onboarding sequence, customised training, and local support before the next one begins. The staged approach also lets you incorporate lessons from each rollout into the next one — a learning loop that improves execution as you go.</w:t>
      </w:r>
    </w:p>
    <w:p>
      <w:pPr>
        <w:spacing w:after="120" w:line="276"/>
      </w:pPr>
      <w:r>
        <w:rPr>
          <w:rFonts w:ascii="Arial" w:cs="Arial" w:eastAsia="Arial" w:hAnsi="Arial"/>
          <w:b/>
          <w:bCs/>
          <w:sz w:val="22"/>
          <w:szCs w:val="22"/>
        </w:rPr>
        <w:t xml:space="preserve">Option C: </w:t>
      </w:r>
      <w:r>
        <w:rPr>
          <w:rFonts w:ascii="Arial" w:cs="Arial" w:eastAsia="Arial" w:hAnsi="Arial"/>
          <w:sz w:val="22"/>
          <w:szCs w:val="22"/>
        </w:rPr>
        <w:t xml:space="preserve">Push back — request 2 more months of pilot data. Analytically defensible but politically tone-deaf. The CEO just told you the pilot was a success and they want to move. Asking for more data sounds like you lack confidence in your own results. You’re also burning the goodwill that a successful pilot generated. The moment of maximum executive enthusiasm is the moment to convert that energy into a scaled commitment, not to request more study time.</w:t>
      </w:r>
    </w:p>
    <w:p>
      <w:pPr>
        <w:spacing w:before="80"/>
      </w:pPr>
    </w:p>
    <w:p>
      <w:pPr>
        <w:spacing w:after="120" w:line="276"/>
      </w:pPr>
      <w:r>
        <w:rPr>
          <w:rFonts w:ascii="Arial" w:cs="Arial" w:eastAsia="Arial" w:hAnsi="Arial"/>
          <w:b/>
          <w:bCs/>
          <w:sz w:val="22"/>
          <w:szCs w:val="22"/>
        </w:rPr>
        <w:t xml:space="preserve">Recommendation: </w:t>
      </w:r>
      <w:r>
        <w:rPr>
          <w:rFonts w:ascii="Arial" w:cs="Arial" w:eastAsia="Arial" w:hAnsi="Arial"/>
          <w:sz w:val="22"/>
          <w:szCs w:val="22"/>
        </w:rPr>
        <w:t xml:space="preserve">Option B. The staged rollout. Frame it to the CEO not as ‘slowing down’ but as ‘scaling smart.’ Present a 3-month rollout calendar that shows aggressive movement (satisfying their urgency) with built-in quality gates (protecting outcomes). The key phrase: ‘We can go fast or we can go fast and stick. I recommend the second.’</w:t>
      </w:r>
    </w:p>
    <w:p>
      <w:pPr>
        <w:spacing w:after="120" w:line="276"/>
      </w:pPr>
      <w:r>
        <w:rPr>
          <w:rFonts w:ascii="Arial" w:cs="Arial" w:eastAsia="Arial" w:hAnsi="Arial"/>
          <w:b/>
          <w:bCs/>
          <w:sz w:val="22"/>
          <w:szCs w:val="22"/>
        </w:rPr>
        <w:t xml:space="preserve">Conditional Override: </w:t>
      </w:r>
      <w:r>
        <w:rPr>
          <w:rFonts w:ascii="Arial" w:cs="Arial" w:eastAsia="Arial" w:hAnsi="Arial"/>
          <w:sz w:val="22"/>
          <w:szCs w:val="22"/>
        </w:rPr>
        <w:t xml:space="preserve">If the organisation is relatively homogeneous (similar workflows, culture, and capability across departments), Option A becomes more viable because the pilot conditions are more representative of the broader organisation. This is rare in professional services but more common in manufacturing or operations-heavy businesses.</w:t>
      </w:r>
    </w:p>
    <w:p>
      <w:pPr>
        <w:spacing w:after="120" w:line="276"/>
      </w:pPr>
      <w:r>
        <w:rPr>
          <w:rFonts w:ascii="Arial" w:cs="Arial" w:eastAsia="Arial" w:hAnsi="Arial"/>
          <w:b/>
          <w:bCs/>
          <w:sz w:val="22"/>
          <w:szCs w:val="22"/>
        </w:rPr>
        <w:t xml:space="preserve">Hidden Risk: </w:t>
      </w:r>
      <w:r>
        <w:rPr>
          <w:rFonts w:ascii="Arial" w:cs="Arial" w:eastAsia="Arial" w:hAnsi="Arial"/>
          <w:sz w:val="22"/>
          <w:szCs w:val="22"/>
        </w:rPr>
        <w:t xml:space="preserve">The speed of scaling directly determines whether efficiency gains persist or evaporate. The pilot’s 40% was partly a Hawthorne effect — people perform better when they’re being watched and supported. Without that support infrastructure at scale, gains typically regress to 15–20%. The hidden risk of scaling too fast isn’t failure; it’s mediocrity that looks like success to leadership but never compounds into real transformation.</w:t>
      </w:r>
    </w:p>
    <w:p>
      <w:pPr>
        <w:spacing w:after="120" w:line="276"/>
      </w:pPr>
      <w:r>
        <w:rPr>
          <w:rFonts w:ascii="Arial" w:cs="Arial" w:eastAsia="Arial" w:hAnsi="Arial"/>
          <w:b/>
          <w:bCs/>
          <w:sz w:val="22"/>
          <w:szCs w:val="22"/>
        </w:rPr>
        <w:t xml:space="preserve">Difficulty: </w:t>
      </w:r>
      <w:r>
        <w:rPr>
          <w:rFonts w:ascii="Arial" w:cs="Arial" w:eastAsia="Arial" w:hAnsi="Arial"/>
          <w:sz w:val="22"/>
          <w:szCs w:val="22"/>
        </w:rPr>
        <w:t xml:space="preserve">4/5 — High. This is a direct negotiation with the CEO where you need to redirect their enthusiasm without dampening it. Saying ‘yes but’ to a CEO takes both confidence and political skill.</w:t>
      </w:r>
    </w:p>
    <w:p>
      <w:pPr>
        <w:spacing w:before="120" w:after="120"/>
      </w:pPr>
      <w:r>
        <w:rPr>
          <w:rFonts w:ascii="Arial" w:cs="Arial" w:eastAsia="Arial" w:hAnsi="Arial"/>
          <w:color w:val="2E7D8C"/>
          <w:sz w:val="14"/>
          <w:szCs w:val="14"/>
        </w:rPr>
        <w:t xml:space="preserve">────────────────────────────────────────────────────────────────────────────────</w:t>
      </w:r>
    </w:p>
    <w:p>
      <w:pPr>
        <w:pStyle w:val="Heading2"/>
        <w:spacing w:before="120" w:after="80"/>
      </w:pPr>
      <w:r>
        <w:t xml:space="preserve">Scenario 10: The AI Hallucination Incident</w:t>
      </w:r>
    </w:p>
    <w:p>
      <w:pPr>
        <w:spacing w:after="120" w:line="276"/>
      </w:pPr>
      <w:r>
        <w:rPr>
          <w:rFonts w:ascii="Arial" w:cs="Arial" w:eastAsia="Arial" w:hAnsi="Arial"/>
          <w:b/>
          <w:bCs/>
          <w:sz w:val="22"/>
          <w:szCs w:val="22"/>
        </w:rPr>
        <w:t xml:space="preserve">Phase: </w:t>
      </w:r>
      <w:r>
        <w:rPr>
          <w:rFonts w:ascii="Arial" w:cs="Arial" w:eastAsia="Arial" w:hAnsi="Arial"/>
          <w:sz w:val="22"/>
          <w:szCs w:val="22"/>
        </w:rPr>
        <w:t xml:space="preserve">Scale</w:t>
      </w:r>
    </w:p>
    <w:p>
      <w:pPr>
        <w:spacing w:after="120" w:line="276"/>
      </w:pPr>
      <w:r>
        <w:rPr>
          <w:rFonts w:ascii="Arial" w:cs="Arial" w:eastAsia="Arial" w:hAnsi="Arial"/>
          <w:b/>
          <w:bCs/>
          <w:sz w:val="22"/>
          <w:szCs w:val="22"/>
        </w:rPr>
        <w:t xml:space="preserve">Context: </w:t>
      </w:r>
      <w:r>
        <w:rPr>
          <w:rFonts w:ascii="Arial" w:cs="Arial" w:eastAsia="Arial" w:hAnsi="Arial"/>
          <w:sz w:val="22"/>
          <w:szCs w:val="22"/>
        </w:rPr>
        <w:t xml:space="preserve">An AI tool generates a document with fabricated citations or incorrect data. A client notices before your team does.</w:t>
      </w:r>
    </w:p>
    <w:p>
      <w:pPr>
        <w:spacing w:before="80"/>
      </w:pPr>
    </w:p>
    <w:p>
      <w:pPr>
        <w:pStyle w:val="Heading3"/>
        <w:spacing w:before="120" w:after="80"/>
      </w:pPr>
      <w:r>
        <w:t xml:space="preserve">Option Analysis</w:t>
      </w:r>
    </w:p>
    <w:p>
      <w:pPr>
        <w:spacing w:after="120" w:line="276"/>
      </w:pPr>
      <w:r>
        <w:rPr>
          <w:rFonts w:ascii="Arial" w:cs="Arial" w:eastAsia="Arial" w:hAnsi="Arial"/>
          <w:b/>
          <w:bCs/>
          <w:sz w:val="22"/>
          <w:szCs w:val="22"/>
        </w:rPr>
        <w:t xml:space="preserve">Option A: </w:t>
      </w:r>
      <w:r>
        <w:rPr>
          <w:rFonts w:ascii="Arial" w:cs="Arial" w:eastAsia="Arial" w:hAnsi="Arial"/>
          <w:sz w:val="22"/>
          <w:szCs w:val="22"/>
        </w:rPr>
        <w:t xml:space="preserve">Full transparency — notify stakeholders, publish review, add guardrails. The right answer, and the hardest to execute. Transparency here serves multiple strategic purposes: it demonstrates integrity to the client, it establishes your credibility as someone who prioritises quality over optics, and it creates the political permission to implement the guardrails you probably already knew were needed. The short-term pain (embarrassment, difficult conversations) is dramatically outweighed by the long-term trust.</w:t>
      </w:r>
    </w:p>
    <w:p>
      <w:pPr>
        <w:spacing w:after="120" w:line="276"/>
      </w:pPr>
      <w:r>
        <w:rPr>
          <w:rFonts w:ascii="Arial" w:cs="Arial" w:eastAsia="Arial" w:hAnsi="Arial"/>
          <w:b/>
          <w:bCs/>
          <w:sz w:val="22"/>
          <w:szCs w:val="22"/>
        </w:rPr>
        <w:t xml:space="preserve">Option B: </w:t>
      </w:r>
      <w:r>
        <w:rPr>
          <w:rFonts w:ascii="Arial" w:cs="Arial" w:eastAsia="Arial" w:hAnsi="Arial"/>
          <w:sz w:val="22"/>
          <w:szCs w:val="22"/>
        </w:rPr>
        <w:t xml:space="preserve">Fix it quietly, add human review checkpoints, brief only leadership. Tempting. And it works right up until the moment the client mentions it externally, a journalist picks it up, or a second incident occurs and someone discovers you knew about the pattern. The cover-up is always worse than the crime, particularly with AI where the public and regulatory sensitivity is already high. Briefing only leadership also creates liability for the leaders you brief if the information later becomes public.</w:t>
      </w:r>
    </w:p>
    <w:p>
      <w:pPr>
        <w:spacing w:after="120" w:line="276"/>
      </w:pPr>
      <w:r>
        <w:rPr>
          <w:rFonts w:ascii="Arial" w:cs="Arial" w:eastAsia="Arial" w:hAnsi="Arial"/>
          <w:b/>
          <w:bCs/>
          <w:sz w:val="22"/>
          <w:szCs w:val="22"/>
        </w:rPr>
        <w:t xml:space="preserve">Option C: </w:t>
      </w:r>
      <w:r>
        <w:rPr>
          <w:rFonts w:ascii="Arial" w:cs="Arial" w:eastAsia="Arial" w:hAnsi="Arial"/>
          <w:sz w:val="22"/>
          <w:szCs w:val="22"/>
        </w:rPr>
        <w:t xml:space="preserve">Turn it into a company-wide ‘Responsible AI’ initiative. This is a sophisticated version of Option A with a strategic overlay. You’re not just disclosing; you’re converting a crisis into a structural improvement. But this only works if it’s built on the foundation of Option A’s transparency. Without genuine disclosure and remediation, a ‘Responsible AI’ initiative looks like a PR response to a quality failure.</w:t>
      </w:r>
    </w:p>
    <w:p>
      <w:pPr>
        <w:spacing w:before="80"/>
      </w:pPr>
    </w:p>
    <w:p>
      <w:pPr>
        <w:spacing w:after="120" w:line="276"/>
      </w:pPr>
      <w:r>
        <w:rPr>
          <w:rFonts w:ascii="Arial" w:cs="Arial" w:eastAsia="Arial" w:hAnsi="Arial"/>
          <w:b/>
          <w:bCs/>
          <w:sz w:val="22"/>
          <w:szCs w:val="22"/>
        </w:rPr>
        <w:t xml:space="preserve">Recommendation: </w:t>
      </w:r>
      <w:r>
        <w:rPr>
          <w:rFonts w:ascii="Arial" w:cs="Arial" w:eastAsia="Arial" w:hAnsi="Arial"/>
          <w:sz w:val="22"/>
          <w:szCs w:val="22"/>
        </w:rPr>
        <w:t xml:space="preserve">Option A first, then evolve into C. Be transparent immediately. Run a proper incident review. Implement human-in-the-loop review for all client-facing AI outputs. Then, once the immediate crisis is handled, use the momentum to launch a broader Responsible AI framework that includes audit trails, review protocols, and quality standards. The sequence matters: credibility first, structure second.</w:t>
      </w:r>
    </w:p>
    <w:p>
      <w:pPr>
        <w:spacing w:after="120" w:line="276"/>
      </w:pPr>
      <w:r>
        <w:rPr>
          <w:rFonts w:ascii="Arial" w:cs="Arial" w:eastAsia="Arial" w:hAnsi="Arial"/>
          <w:b/>
          <w:bCs/>
          <w:sz w:val="22"/>
          <w:szCs w:val="22"/>
        </w:rPr>
        <w:t xml:space="preserve">Conditional Override: </w:t>
      </w:r>
      <w:r>
        <w:rPr>
          <w:rFonts w:ascii="Arial" w:cs="Arial" w:eastAsia="Arial" w:hAnsi="Arial"/>
          <w:sz w:val="22"/>
          <w:szCs w:val="22"/>
        </w:rPr>
        <w:t xml:space="preserve">If the incident was minor, genuinely caught early, and the client relationship is strong enough to absorb it informally, a lighter-touch version of A (direct conversation with the client, internal fix, no public announcement) can suffice. The key question is: if this became public tomorrow, would our response look proportionate and responsible?</w:t>
      </w:r>
    </w:p>
    <w:p>
      <w:pPr>
        <w:spacing w:after="120" w:line="276"/>
      </w:pPr>
      <w:r>
        <w:rPr>
          <w:rFonts w:ascii="Arial" w:cs="Arial" w:eastAsia="Arial" w:hAnsi="Arial"/>
          <w:b/>
          <w:bCs/>
          <w:sz w:val="22"/>
          <w:szCs w:val="22"/>
        </w:rPr>
        <w:t xml:space="preserve">Hidden Risk: </w:t>
      </w:r>
      <w:r>
        <w:rPr>
          <w:rFonts w:ascii="Arial" w:cs="Arial" w:eastAsia="Arial" w:hAnsi="Arial"/>
          <w:sz w:val="22"/>
          <w:szCs w:val="22"/>
        </w:rPr>
        <w:t xml:space="preserve">This incident is the transformation’s defining moment. Not the pilot success, not the efficiency numbers. This. How you handle the first visible AI failure determines whether the organisation develops a healthy, transparent relationship with AI risk or a fearful, defensive one. Leaders who handle this well build transformations that survive. Leaders who minimise it create cultures where people hide AI errors, which guarantees a much worse incident later.</w:t>
      </w:r>
    </w:p>
    <w:p>
      <w:pPr>
        <w:spacing w:after="120" w:line="276"/>
      </w:pPr>
      <w:r>
        <w:rPr>
          <w:rFonts w:ascii="Arial" w:cs="Arial" w:eastAsia="Arial" w:hAnsi="Arial"/>
          <w:b/>
          <w:bCs/>
          <w:sz w:val="22"/>
          <w:szCs w:val="22"/>
        </w:rPr>
        <w:t xml:space="preserve">Difficulty: </w:t>
      </w:r>
      <w:r>
        <w:rPr>
          <w:rFonts w:ascii="Arial" w:cs="Arial" w:eastAsia="Arial" w:hAnsi="Arial"/>
          <w:sz w:val="22"/>
          <w:szCs w:val="22"/>
        </w:rPr>
        <w:t xml:space="preserve">5/5 — Maximum difficulty. You’re making a decision under pressure, with incomplete information, that has legal, reputational, and relationship implications. Your instinct to protect the programme will fight your knowledge that transparency is right. Every stakeholder around you will be counselling caution and minimisation.</w:t>
      </w:r>
    </w:p>
    <w:p>
      <w:pPr>
        <w:spacing w:before="120" w:after="120"/>
      </w:pPr>
      <w:r>
        <w:rPr>
          <w:rFonts w:ascii="Arial" w:cs="Arial" w:eastAsia="Arial" w:hAnsi="Arial"/>
          <w:color w:val="2E7D8C"/>
          <w:sz w:val="14"/>
          <w:szCs w:val="14"/>
        </w:rPr>
        <w:t xml:space="preserve">────────────────────────────────────────────────────────────────────────────────</w:t>
      </w:r>
    </w:p>
    <w:p>
      <w:pPr>
        <w:pStyle w:val="Heading2"/>
        <w:spacing w:before="120" w:after="80"/>
      </w:pPr>
      <w:r>
        <w:t xml:space="preserve">Scenario 11: Integration Headache</w:t>
      </w:r>
    </w:p>
    <w:p>
      <w:pPr>
        <w:spacing w:after="120" w:line="276"/>
      </w:pPr>
      <w:r>
        <w:rPr>
          <w:rFonts w:ascii="Arial" w:cs="Arial" w:eastAsia="Arial" w:hAnsi="Arial"/>
          <w:b/>
          <w:bCs/>
          <w:sz w:val="22"/>
          <w:szCs w:val="22"/>
        </w:rPr>
        <w:t xml:space="preserve">Phase: </w:t>
      </w:r>
      <w:r>
        <w:rPr>
          <w:rFonts w:ascii="Arial" w:cs="Arial" w:eastAsia="Arial" w:hAnsi="Arial"/>
          <w:sz w:val="22"/>
          <w:szCs w:val="22"/>
        </w:rPr>
        <w:t xml:space="preserve">Scale</w:t>
      </w:r>
    </w:p>
    <w:p>
      <w:pPr>
        <w:spacing w:after="120" w:line="276"/>
      </w:pPr>
      <w:r>
        <w:rPr>
          <w:rFonts w:ascii="Arial" w:cs="Arial" w:eastAsia="Arial" w:hAnsi="Arial"/>
          <w:b/>
          <w:bCs/>
          <w:sz w:val="22"/>
          <w:szCs w:val="22"/>
        </w:rPr>
        <w:t xml:space="preserve">Context: </w:t>
      </w:r>
      <w:r>
        <w:rPr>
          <w:rFonts w:ascii="Arial" w:cs="Arial" w:eastAsia="Arial" w:hAnsi="Arial"/>
          <w:sz w:val="22"/>
          <w:szCs w:val="22"/>
        </w:rPr>
        <w:t xml:space="preserve">AI tools are not talking to legacy systems. Data lives in silos. IT estimates 6 months and significant cost for full integration.</w:t>
      </w:r>
    </w:p>
    <w:p>
      <w:pPr>
        <w:spacing w:before="80"/>
      </w:pPr>
    </w:p>
    <w:p>
      <w:pPr>
        <w:pStyle w:val="Heading3"/>
        <w:spacing w:before="120" w:after="80"/>
      </w:pPr>
      <w:r>
        <w:t xml:space="preserve">Option Analysis</w:t>
      </w:r>
    </w:p>
    <w:p>
      <w:pPr>
        <w:spacing w:after="120" w:line="276"/>
      </w:pPr>
      <w:r>
        <w:rPr>
          <w:rFonts w:ascii="Arial" w:cs="Arial" w:eastAsia="Arial" w:hAnsi="Arial"/>
          <w:b/>
          <w:bCs/>
          <w:sz w:val="22"/>
          <w:szCs w:val="22"/>
        </w:rPr>
        <w:t xml:space="preserve">Option A: </w:t>
      </w:r>
      <w:r>
        <w:rPr>
          <w:rFonts w:ascii="Arial" w:cs="Arial" w:eastAsia="Arial" w:hAnsi="Arial"/>
          <w:sz w:val="22"/>
          <w:szCs w:val="22"/>
        </w:rPr>
        <w:t xml:space="preserve">Invest in full integration. The ‘right’ answer that is almost always wrong right now. Full integration is a 6-month project that competes for the same budget and attention as your scaling effort. It will consume your IT team, delay other workstreams, and produce nothing visible to the business until it’s complete. Six months of invisible infrastructure work while the transformation is supposed to be demonstrating value is a recipe for losing executive sponsorship.</w:t>
      </w:r>
    </w:p>
    <w:p>
      <w:pPr>
        <w:spacing w:after="120" w:line="276"/>
      </w:pPr>
      <w:r>
        <w:rPr>
          <w:rFonts w:ascii="Arial" w:cs="Arial" w:eastAsia="Arial" w:hAnsi="Arial"/>
          <w:b/>
          <w:bCs/>
          <w:sz w:val="22"/>
          <w:szCs w:val="22"/>
        </w:rPr>
        <w:t xml:space="preserve">Option B: </w:t>
      </w:r>
      <w:r>
        <w:rPr>
          <w:rFonts w:ascii="Arial" w:cs="Arial" w:eastAsia="Arial" w:hAnsi="Arial"/>
          <w:sz w:val="22"/>
          <w:szCs w:val="22"/>
        </w:rPr>
        <w:t xml:space="preserve">Build lightweight API bridges for critical workflows only. The pragmatic choice. Identify the 3–5 integrations that matter most (the ones blocking the highest-value use cases), build targeted connectors for those, and defer the rest. This follows the Pareto principle: 20% of integrations unlock 80% of value. Lightweight bridges can be built in 4–6 weeks, maintain momentum, and prove the integration approach before committing to full investment.</w:t>
      </w:r>
    </w:p>
    <w:p>
      <w:pPr>
        <w:spacing w:after="120" w:line="276"/>
      </w:pPr>
      <w:r>
        <w:rPr>
          <w:rFonts w:ascii="Arial" w:cs="Arial" w:eastAsia="Arial" w:hAnsi="Arial"/>
          <w:b/>
          <w:bCs/>
          <w:sz w:val="22"/>
          <w:szCs w:val="22"/>
        </w:rPr>
        <w:t xml:space="preserve">Option C: </w:t>
      </w:r>
      <w:r>
        <w:rPr>
          <w:rFonts w:ascii="Arial" w:cs="Arial" w:eastAsia="Arial" w:hAnsi="Arial"/>
          <w:sz w:val="22"/>
          <w:szCs w:val="22"/>
        </w:rPr>
        <w:t xml:space="preserve">Accept manual workarounds for now, revisit later. Sounds like procrastination but has a defensible logic: if the manual workarounds are tolerable and the AI tools are still delivering value despite the friction, you preserve budget and capacity for activities that directly drive adoption. The risk is that ‘later’ never comes and the workarounds become permanent, creating a brittle system that breaks at scale.</w:t>
      </w:r>
    </w:p>
    <w:p>
      <w:pPr>
        <w:spacing w:before="80"/>
      </w:pPr>
    </w:p>
    <w:p>
      <w:pPr>
        <w:spacing w:after="120" w:line="276"/>
      </w:pPr>
      <w:r>
        <w:rPr>
          <w:rFonts w:ascii="Arial" w:cs="Arial" w:eastAsia="Arial" w:hAnsi="Arial"/>
          <w:b/>
          <w:bCs/>
          <w:sz w:val="22"/>
          <w:szCs w:val="22"/>
        </w:rPr>
        <w:t xml:space="preserve">Recommendation: </w:t>
      </w:r>
      <w:r>
        <w:rPr>
          <w:rFonts w:ascii="Arial" w:cs="Arial" w:eastAsia="Arial" w:hAnsi="Arial"/>
          <w:sz w:val="22"/>
          <w:szCs w:val="22"/>
        </w:rPr>
        <w:t xml:space="preserve">Option B. Lightweight API bridges for critical workflows. This is the scaling-phase answer. Full integration (A) is an Embed-phase or post-transformation investment. The key is being explicit about what this is: a deliberate, temporary architecture that solves today’s blocking issues while creating the bridge to a permanent solution.</w:t>
      </w:r>
    </w:p>
    <w:p>
      <w:pPr>
        <w:spacing w:after="120" w:line="276"/>
      </w:pPr>
      <w:r>
        <w:rPr>
          <w:rFonts w:ascii="Arial" w:cs="Arial" w:eastAsia="Arial" w:hAnsi="Arial"/>
          <w:b/>
          <w:bCs/>
          <w:sz w:val="22"/>
          <w:szCs w:val="22"/>
        </w:rPr>
        <w:t xml:space="preserve">Conditional Override: </w:t>
      </w:r>
      <w:r>
        <w:rPr>
          <w:rFonts w:ascii="Arial" w:cs="Arial" w:eastAsia="Arial" w:hAnsi="Arial"/>
          <w:sz w:val="22"/>
          <w:szCs w:val="22"/>
        </w:rPr>
        <w:t xml:space="preserve">If your legacy systems are genuinely on a decommission timeline (already planned platform migration in the next 12–18 months), Option C becomes rational — why integrate with systems you’re about to replace? If the integration gaps are causing data quality issues that undermine AI output reliability (not just inconvenience), Option A becomes urgent.</w:t>
      </w:r>
    </w:p>
    <w:p>
      <w:pPr>
        <w:spacing w:after="120" w:line="276"/>
      </w:pPr>
      <w:r>
        <w:rPr>
          <w:rFonts w:ascii="Arial" w:cs="Arial" w:eastAsia="Arial" w:hAnsi="Arial"/>
          <w:b/>
          <w:bCs/>
          <w:sz w:val="22"/>
          <w:szCs w:val="22"/>
        </w:rPr>
        <w:t xml:space="preserve">Hidden Risk: </w:t>
      </w:r>
      <w:r>
        <w:rPr>
          <w:rFonts w:ascii="Arial" w:cs="Arial" w:eastAsia="Arial" w:hAnsi="Arial"/>
          <w:sz w:val="22"/>
          <w:szCs w:val="22"/>
        </w:rPr>
        <w:t xml:space="preserve">Technical debt from integration shortcuts compounds. Every API bridge you build is a connector you’ll eventually need to replace or maintain. If you build 10 lightweight bridges in Phase 3 and never come back to do proper integration, you’ve created a maintenance burden that will haunt the organisation for years. The bridge strategy only works if you explicitly plan and budget for replacement.</w:t>
      </w:r>
    </w:p>
    <w:p>
      <w:pPr>
        <w:spacing w:after="120" w:line="276"/>
      </w:pPr>
      <w:r>
        <w:rPr>
          <w:rFonts w:ascii="Arial" w:cs="Arial" w:eastAsia="Arial" w:hAnsi="Arial"/>
          <w:b/>
          <w:bCs/>
          <w:sz w:val="22"/>
          <w:szCs w:val="22"/>
        </w:rPr>
        <w:t xml:space="preserve">Difficulty: </w:t>
      </w:r>
      <w:r>
        <w:rPr>
          <w:rFonts w:ascii="Arial" w:cs="Arial" w:eastAsia="Arial" w:hAnsi="Arial"/>
          <w:sz w:val="22"/>
          <w:szCs w:val="22"/>
        </w:rPr>
        <w:t xml:space="preserve">3/5 — Moderate. The right answer is clear, but IT organisations often resist ‘temporary’ solutions because they correctly anticipate getting stuck maintaining them permanently. You need IT’s trust that the permanent investment is coming.</w:t>
      </w:r>
    </w:p>
    <w:p>
      <w:pPr>
        <w:spacing w:before="120" w:after="120"/>
      </w:pPr>
      <w:r>
        <w:rPr>
          <w:rFonts w:ascii="Arial" w:cs="Arial" w:eastAsia="Arial" w:hAnsi="Arial"/>
          <w:color w:val="2E7D8C"/>
          <w:sz w:val="14"/>
          <w:szCs w:val="14"/>
        </w:rPr>
        <w:t xml:space="preserve">────────────────────────────────────────────────────────────────────────────────</w:t>
      </w:r>
    </w:p>
    <w:p>
      <w:pPr>
        <w:pStyle w:val="Heading2"/>
        <w:spacing w:before="120" w:after="80"/>
      </w:pPr>
      <w:r>
        <w:t xml:space="preserve">Scenario 12: Talent War</w:t>
      </w:r>
    </w:p>
    <w:p>
      <w:pPr>
        <w:spacing w:after="120" w:line="276"/>
      </w:pPr>
      <w:r>
        <w:rPr>
          <w:rFonts w:ascii="Arial" w:cs="Arial" w:eastAsia="Arial" w:hAnsi="Arial"/>
          <w:b/>
          <w:bCs/>
          <w:sz w:val="22"/>
          <w:szCs w:val="22"/>
        </w:rPr>
        <w:t xml:space="preserve">Phase: </w:t>
      </w:r>
      <w:r>
        <w:rPr>
          <w:rFonts w:ascii="Arial" w:cs="Arial" w:eastAsia="Arial" w:hAnsi="Arial"/>
          <w:sz w:val="22"/>
          <w:szCs w:val="22"/>
        </w:rPr>
        <w:t xml:space="preserve">Scale</w:t>
      </w:r>
    </w:p>
    <w:p>
      <w:pPr>
        <w:spacing w:after="120" w:line="276"/>
      </w:pPr>
      <w:r>
        <w:rPr>
          <w:rFonts w:ascii="Arial" w:cs="Arial" w:eastAsia="Arial" w:hAnsi="Arial"/>
          <w:b/>
          <w:bCs/>
          <w:sz w:val="22"/>
          <w:szCs w:val="22"/>
        </w:rPr>
        <w:t xml:space="preserve">Context: </w:t>
      </w:r>
      <w:r>
        <w:rPr>
          <w:rFonts w:ascii="Arial" w:cs="Arial" w:eastAsia="Arial" w:hAnsi="Arial"/>
          <w:sz w:val="22"/>
          <w:szCs w:val="22"/>
        </w:rPr>
        <w:t xml:space="preserve">Your best AI champion just got a 40% pay raise offer from a competitor. Two other key members are being headhunted.</w:t>
      </w:r>
    </w:p>
    <w:p>
      <w:pPr>
        <w:spacing w:before="80"/>
      </w:pPr>
    </w:p>
    <w:p>
      <w:pPr>
        <w:pStyle w:val="Heading3"/>
        <w:spacing w:before="120" w:after="80"/>
      </w:pPr>
      <w:r>
        <w:t xml:space="preserve">Option Analysis</w:t>
      </w:r>
    </w:p>
    <w:p>
      <w:pPr>
        <w:spacing w:after="120" w:line="276"/>
      </w:pPr>
      <w:r>
        <w:rPr>
          <w:rFonts w:ascii="Arial" w:cs="Arial" w:eastAsia="Arial" w:hAnsi="Arial"/>
          <w:b/>
          <w:bCs/>
          <w:sz w:val="22"/>
          <w:szCs w:val="22"/>
        </w:rPr>
        <w:t xml:space="preserve">Option A: </w:t>
      </w:r>
      <w:r>
        <w:rPr>
          <w:rFonts w:ascii="Arial" w:cs="Arial" w:eastAsia="Arial" w:hAnsi="Arial"/>
          <w:sz w:val="22"/>
          <w:szCs w:val="22"/>
        </w:rPr>
        <w:t xml:space="preserve">Match the offer and create retention packages for the AI team. The instinctive response, and sometimes necessary, but it creates a dangerous precedent. If the market knows that AI talent at your firm can extract 40% raises by getting external offers, every AI team member will be shopping for offers within six months. You’re also creating a pay equity issue that will surface when non-AI colleagues discover the disparity.</w:t>
      </w:r>
    </w:p>
    <w:p>
      <w:pPr>
        <w:spacing w:after="120" w:line="276"/>
      </w:pPr>
      <w:r>
        <w:rPr>
          <w:rFonts w:ascii="Arial" w:cs="Arial" w:eastAsia="Arial" w:hAnsi="Arial"/>
          <w:b/>
          <w:bCs/>
          <w:sz w:val="22"/>
          <w:szCs w:val="22"/>
        </w:rPr>
        <w:t xml:space="preserve">Option B: </w:t>
      </w:r>
      <w:r>
        <w:rPr>
          <w:rFonts w:ascii="Arial" w:cs="Arial" w:eastAsia="Arial" w:hAnsi="Arial"/>
          <w:sz w:val="22"/>
          <w:szCs w:val="22"/>
        </w:rPr>
        <w:t xml:space="preserve">Counter with promotion, equity, and ‘Head of AI Innovation’ title. More sophisticated than A because it offers currency beyond cash: status, scope, career trajectory. For senior talent, these often matter more than salary because they create market value that exceeds the pay bump. The risk is title inflation — if ‘Head of AI Innovation’ isn’t a real role with real authority, your star will see through it within 3 months.</w:t>
      </w:r>
    </w:p>
    <w:p>
      <w:pPr>
        <w:spacing w:after="120" w:line="276"/>
      </w:pPr>
      <w:r>
        <w:rPr>
          <w:rFonts w:ascii="Arial" w:cs="Arial" w:eastAsia="Arial" w:hAnsi="Arial"/>
          <w:b/>
          <w:bCs/>
          <w:sz w:val="22"/>
          <w:szCs w:val="22"/>
        </w:rPr>
        <w:t xml:space="preserve">Option C: </w:t>
      </w:r>
      <w:r>
        <w:rPr>
          <w:rFonts w:ascii="Arial" w:cs="Arial" w:eastAsia="Arial" w:hAnsi="Arial"/>
          <w:sz w:val="22"/>
          <w:szCs w:val="22"/>
        </w:rPr>
        <w:t xml:space="preserve">Let them go, promote from within. Counterintuitive but sometimes correct. If your transformation is dependent on a single person, you have a structural problem, not a talent problem. Promoting from within demonstrates that the organisation builds capability broadly, not in individuals. It also creates advancement opportunities that improve retention for the remaining team. The obvious risk: the replacement isn’t ready, and you lose 3–6 months of momentum during the transition.</w:t>
      </w:r>
    </w:p>
    <w:p>
      <w:pPr>
        <w:spacing w:before="80"/>
      </w:pPr>
    </w:p>
    <w:p>
      <w:pPr>
        <w:spacing w:after="120" w:line="276"/>
      </w:pPr>
      <w:r>
        <w:rPr>
          <w:rFonts w:ascii="Arial" w:cs="Arial" w:eastAsia="Arial" w:hAnsi="Arial"/>
          <w:b/>
          <w:bCs/>
          <w:sz w:val="22"/>
          <w:szCs w:val="22"/>
        </w:rPr>
        <w:t xml:space="preserve">Recommendation: </w:t>
      </w:r>
      <w:r>
        <w:rPr>
          <w:rFonts w:ascii="Arial" w:cs="Arial" w:eastAsia="Arial" w:hAnsi="Arial"/>
          <w:sz w:val="22"/>
          <w:szCs w:val="22"/>
        </w:rPr>
        <w:t xml:space="preserve">Option B, but only if the role is real. Create a genuine leadership position with budget, authority, and direct executive access. Pair it with a retention package that vests over 18–24 months to lock in the commitment through the critical transformation period. The title alone won’t work; the role must come with substance.</w:t>
      </w:r>
    </w:p>
    <w:p>
      <w:pPr>
        <w:spacing w:after="120" w:line="276"/>
      </w:pPr>
      <w:r>
        <w:rPr>
          <w:rFonts w:ascii="Arial" w:cs="Arial" w:eastAsia="Arial" w:hAnsi="Arial"/>
          <w:b/>
          <w:bCs/>
          <w:sz w:val="22"/>
          <w:szCs w:val="22"/>
        </w:rPr>
        <w:t xml:space="preserve">Conditional Override: </w:t>
      </w:r>
      <w:r>
        <w:rPr>
          <w:rFonts w:ascii="Arial" w:cs="Arial" w:eastAsia="Arial" w:hAnsi="Arial"/>
          <w:sz w:val="22"/>
          <w:szCs w:val="22"/>
        </w:rPr>
        <w:t xml:space="preserve">If the person is genuinely irreplaceable in the short term and you’re in a critical phase (months 7–9 of scaling), Option A becomes the pragmatic choice — match the offer, add retention provisions, and use the time bought to build bench strength. If you’re further along (months 13+) and have a capable deputy, Option C can be a bold but defensible move that proves the transformation isn’t person-dependent.</w:t>
      </w:r>
    </w:p>
    <w:p>
      <w:pPr>
        <w:spacing w:after="120" w:line="276"/>
      </w:pPr>
      <w:r>
        <w:rPr>
          <w:rFonts w:ascii="Arial" w:cs="Arial" w:eastAsia="Arial" w:hAnsi="Arial"/>
          <w:b/>
          <w:bCs/>
          <w:sz w:val="22"/>
          <w:szCs w:val="22"/>
        </w:rPr>
        <w:t xml:space="preserve">Hidden Risk: </w:t>
      </w:r>
      <w:r>
        <w:rPr>
          <w:rFonts w:ascii="Arial" w:cs="Arial" w:eastAsia="Arial" w:hAnsi="Arial"/>
          <w:sz w:val="22"/>
          <w:szCs w:val="22"/>
        </w:rPr>
        <w:t xml:space="preserve">The real threat isn’t losing one person. It’s the signal their departure sends. If your best AI person leaves, it tells the market, the organisation, and the remaining team that the transformation isn’t compelling enough to retain top talent. The retention decision is as much about optics and morale as it is about capability. Also: if you’re losing AI talent consistently, the problem is usually your operating model (not enough autonomy, too much bureaucracy), not your compensation.</w:t>
      </w:r>
    </w:p>
    <w:p>
      <w:pPr>
        <w:spacing w:after="120" w:line="276"/>
      </w:pPr>
      <w:r>
        <w:rPr>
          <w:rFonts w:ascii="Arial" w:cs="Arial" w:eastAsia="Arial" w:hAnsi="Arial"/>
          <w:b/>
          <w:bCs/>
          <w:sz w:val="22"/>
          <w:szCs w:val="22"/>
        </w:rPr>
        <w:t xml:space="preserve">Difficulty: </w:t>
      </w:r>
      <w:r>
        <w:rPr>
          <w:rFonts w:ascii="Arial" w:cs="Arial" w:eastAsia="Arial" w:hAnsi="Arial"/>
          <w:sz w:val="22"/>
          <w:szCs w:val="22"/>
        </w:rPr>
        <w:t xml:space="preserve">4/5 — High. Talent decisions are emotional and time-pressured. You’re making an irreversible choice with incomplete information about the person’s motivations and the replacement pipeline’s readiness.</w:t>
      </w:r>
    </w:p>
    <w:p>
      <w:pPr>
        <w:spacing w:before="120" w:after="120"/>
      </w:pPr>
      <w:r>
        <w:rPr>
          <w:rFonts w:ascii="Arial" w:cs="Arial" w:eastAsia="Arial" w:hAnsi="Arial"/>
          <w:color w:val="2E7D8C"/>
          <w:sz w:val="14"/>
          <w:szCs w:val="14"/>
        </w:rPr>
        <w:t xml:space="preserve">────────────────────────────────────────────────────────────────────────────────</w:t>
      </w:r>
    </w:p>
    <w:p>
      <w:r>
        <w:r>
          <w:br w:type="page"/>
        </w:r>
      </w:r>
    </w:p>
    <w:p>
      <w:pPr>
        <w:pStyle w:val="Heading1"/>
        <w:spacing w:before="120" w:after="80"/>
      </w:pPr>
      <w:r>
        <w:t xml:space="preserve">PHASE 4: OPTIMIZE (Months 10–12)</w:t>
      </w:r>
    </w:p>
    <w:p>
      <w:pPr>
        <w:pStyle w:val="Heading2"/>
        <w:spacing w:before="120" w:after="80"/>
      </w:pPr>
      <w:r>
        <w:t xml:space="preserve">Scenario 13: The ROI Reckoning</w:t>
      </w:r>
    </w:p>
    <w:p>
      <w:pPr>
        <w:spacing w:after="120" w:line="276"/>
      </w:pPr>
      <w:r>
        <w:rPr>
          <w:rFonts w:ascii="Arial" w:cs="Arial" w:eastAsia="Arial" w:hAnsi="Arial"/>
          <w:b/>
          <w:bCs/>
          <w:sz w:val="22"/>
          <w:szCs w:val="22"/>
        </w:rPr>
        <w:t xml:space="preserve">Phase: </w:t>
      </w:r>
      <w:r>
        <w:rPr>
          <w:rFonts w:ascii="Arial" w:cs="Arial" w:eastAsia="Arial" w:hAnsi="Arial"/>
          <w:sz w:val="22"/>
          <w:szCs w:val="22"/>
        </w:rPr>
        <w:t xml:space="preserve">Optimize</w:t>
      </w:r>
    </w:p>
    <w:p>
      <w:pPr>
        <w:spacing w:after="120" w:line="276"/>
      </w:pPr>
      <w:r>
        <w:rPr>
          <w:rFonts w:ascii="Arial" w:cs="Arial" w:eastAsia="Arial" w:hAnsi="Arial"/>
          <w:b/>
          <w:bCs/>
          <w:sz w:val="22"/>
          <w:szCs w:val="22"/>
        </w:rPr>
        <w:t xml:space="preserve">Context: </w:t>
      </w:r>
      <w:r>
        <w:rPr>
          <w:rFonts w:ascii="Arial" w:cs="Arial" w:eastAsia="Arial" w:hAnsi="Arial"/>
          <w:sz w:val="22"/>
          <w:szCs w:val="22"/>
        </w:rPr>
        <w:t xml:space="preserve">12 months in. CFO wants hard numbers. Efficiency gains are strong but adoption is uneven.</w:t>
      </w:r>
    </w:p>
    <w:p>
      <w:pPr>
        <w:spacing w:before="80"/>
      </w:pPr>
    </w:p>
    <w:p>
      <w:pPr>
        <w:pStyle w:val="Heading3"/>
        <w:spacing w:before="120" w:after="80"/>
      </w:pPr>
      <w:r>
        <w:t xml:space="preserve">Option Analysis</w:t>
      </w:r>
    </w:p>
    <w:p>
      <w:pPr>
        <w:spacing w:after="120" w:line="276"/>
      </w:pPr>
      <w:r>
        <w:rPr>
          <w:rFonts w:ascii="Arial" w:cs="Arial" w:eastAsia="Arial" w:hAnsi="Arial"/>
          <w:b/>
          <w:bCs/>
          <w:sz w:val="22"/>
          <w:szCs w:val="22"/>
        </w:rPr>
        <w:t xml:space="preserve">Option A: </w:t>
      </w:r>
      <w:r>
        <w:rPr>
          <w:rFonts w:ascii="Arial" w:cs="Arial" w:eastAsia="Arial" w:hAnsi="Arial"/>
          <w:sz w:val="22"/>
          <w:szCs w:val="22"/>
        </w:rPr>
        <w:t xml:space="preserve">Lead with success stories and ROI from top-performing teams. Cherry-picking. The CFO will see through it, or a board member will ask ‘what about the other departments?’ and you’ll be caught presenting an incomplete picture. Even if you survive the meeting, you’ve burned trust with the finance function, which is the stakeholder you need most for continued investment.</w:t>
      </w:r>
    </w:p>
    <w:p>
      <w:pPr>
        <w:spacing w:after="120" w:line="276"/>
      </w:pPr>
      <w:r>
        <w:rPr>
          <w:rFonts w:ascii="Arial" w:cs="Arial" w:eastAsia="Arial" w:hAnsi="Arial"/>
          <w:b/>
          <w:bCs/>
          <w:sz w:val="22"/>
          <w:szCs w:val="22"/>
        </w:rPr>
        <w:t xml:space="preserve">Option B: </w:t>
      </w:r>
      <w:r>
        <w:rPr>
          <w:rFonts w:ascii="Arial" w:cs="Arial" w:eastAsia="Arial" w:hAnsi="Arial"/>
          <w:sz w:val="22"/>
          <w:szCs w:val="22"/>
        </w:rPr>
        <w:t xml:space="preserve">Present the full picture — wins, gaps, and a course-correction plan. The only credible approach. Lead with the aggregate impact (total hours redirected, cost avoidance, productivity gains). Acknowledge the adoption gap honestly. Present a specific plan to close it, with timelines and milestones. This framing says: ‘I know what’s working, I know what isn’t, and I have a plan.’ CFOs respect this because it mirrors how they manage their own function.</w:t>
      </w:r>
    </w:p>
    <w:p>
      <w:pPr>
        <w:spacing w:after="120" w:line="276"/>
      </w:pPr>
      <w:r>
        <w:rPr>
          <w:rFonts w:ascii="Arial" w:cs="Arial" w:eastAsia="Arial" w:hAnsi="Arial"/>
          <w:b/>
          <w:bCs/>
          <w:sz w:val="22"/>
          <w:szCs w:val="22"/>
        </w:rPr>
        <w:t xml:space="preserve">Option C: </w:t>
      </w:r>
      <w:r>
        <w:rPr>
          <w:rFonts w:ascii="Arial" w:cs="Arial" w:eastAsia="Arial" w:hAnsi="Arial"/>
          <w:sz w:val="22"/>
          <w:szCs w:val="22"/>
        </w:rPr>
        <w:t xml:space="preserve">Request a 3-month extension before reporting. Career-limiting move. You’re 12 months into an 18-month programme and you’re asking for more time before reporting results? This signals either that the results are bad and you’re hiding them, or that you lack the analytical capability to measure your own programme. Either interpretation is fatal.</w:t>
      </w:r>
    </w:p>
    <w:p>
      <w:pPr>
        <w:spacing w:before="80"/>
      </w:pPr>
    </w:p>
    <w:p>
      <w:pPr>
        <w:spacing w:after="120" w:line="276"/>
      </w:pPr>
      <w:r>
        <w:rPr>
          <w:rFonts w:ascii="Arial" w:cs="Arial" w:eastAsia="Arial" w:hAnsi="Arial"/>
          <w:b/>
          <w:bCs/>
          <w:sz w:val="22"/>
          <w:szCs w:val="22"/>
        </w:rPr>
        <w:t xml:space="preserve">Recommendation: </w:t>
      </w:r>
      <w:r>
        <w:rPr>
          <w:rFonts w:ascii="Arial" w:cs="Arial" w:eastAsia="Arial" w:hAnsi="Arial"/>
          <w:sz w:val="22"/>
          <w:szCs w:val="22"/>
        </w:rPr>
        <w:t xml:space="preserve">Option B. The full picture with course correction. Structure the presentation as: (1) here is the impact we have delivered (quantified), (2) here is where adoption is lagging and why (diagnosed), (3) here is the specific plan to close the gap in months 13–18 (actionable). The CFO isn’t expecting perfection; they’re expecting competence and honesty.</w:t>
      </w:r>
    </w:p>
    <w:p>
      <w:pPr>
        <w:spacing w:after="120" w:line="276"/>
      </w:pPr>
      <w:r>
        <w:rPr>
          <w:rFonts w:ascii="Arial" w:cs="Arial" w:eastAsia="Arial" w:hAnsi="Arial"/>
          <w:b/>
          <w:bCs/>
          <w:sz w:val="22"/>
          <w:szCs w:val="22"/>
        </w:rPr>
        <w:t xml:space="preserve">Conditional Override: </w:t>
      </w:r>
      <w:r>
        <w:rPr>
          <w:rFonts w:ascii="Arial" w:cs="Arial" w:eastAsia="Arial" w:hAnsi="Arial"/>
          <w:sz w:val="22"/>
          <w:szCs w:val="22"/>
        </w:rPr>
        <w:t xml:space="preserve">If your results are genuinely terrible (under 10% adoption, no measurable impact), Option B still applies but the course-correction plan needs to be more radical — potentially including a strategic pivot, team changes, or scope reduction. The worst thing you can do is present bad results and the same strategy.</w:t>
      </w:r>
    </w:p>
    <w:p>
      <w:pPr>
        <w:spacing w:after="120" w:line="276"/>
      </w:pPr>
      <w:r>
        <w:rPr>
          <w:rFonts w:ascii="Arial" w:cs="Arial" w:eastAsia="Arial" w:hAnsi="Arial"/>
          <w:b/>
          <w:bCs/>
          <w:sz w:val="22"/>
          <w:szCs w:val="22"/>
        </w:rPr>
        <w:t xml:space="preserve">Hidden Risk: </w:t>
      </w:r>
      <w:r>
        <w:rPr>
          <w:rFonts w:ascii="Arial" w:cs="Arial" w:eastAsia="Arial" w:hAnsi="Arial"/>
          <w:sz w:val="22"/>
          <w:szCs w:val="22"/>
        </w:rPr>
        <w:t xml:space="preserve">The ROI reckoning is not about the numbers. It’s about trust. The CFO is evaluating whether you are a credible steward of the organisation’s investment. Leaders who present selectively (A) get caught eventually. Leaders who present honestly (B) get the benefit of the doubt and the continued investment needed to fix what isn’t working. The CFO meeting is a trust test disguised as a performance review.</w:t>
      </w:r>
    </w:p>
    <w:p>
      <w:pPr>
        <w:spacing w:after="120" w:line="276"/>
      </w:pPr>
      <w:r>
        <w:rPr>
          <w:rFonts w:ascii="Arial" w:cs="Arial" w:eastAsia="Arial" w:hAnsi="Arial"/>
          <w:b/>
          <w:bCs/>
          <w:sz w:val="22"/>
          <w:szCs w:val="22"/>
        </w:rPr>
        <w:t xml:space="preserve">Difficulty: </w:t>
      </w:r>
      <w:r>
        <w:rPr>
          <w:rFonts w:ascii="Arial" w:cs="Arial" w:eastAsia="Arial" w:hAnsi="Arial"/>
          <w:sz w:val="22"/>
          <w:szCs w:val="22"/>
        </w:rPr>
        <w:t xml:space="preserve">4/5 — High. Presenting a mixed picture requires confidence and vulnerability. The temptation to lead with the best numbers is intense, especially if your role depends on demonstrating success.</w:t>
      </w:r>
    </w:p>
    <w:p>
      <w:pPr>
        <w:spacing w:before="120" w:after="120"/>
      </w:pPr>
      <w:r>
        <w:rPr>
          <w:rFonts w:ascii="Arial" w:cs="Arial" w:eastAsia="Arial" w:hAnsi="Arial"/>
          <w:color w:val="2E7D8C"/>
          <w:sz w:val="14"/>
          <w:szCs w:val="14"/>
        </w:rPr>
        <w:t xml:space="preserve">────────────────────────────────────────────────────────────────────────────────</w:t>
      </w:r>
    </w:p>
    <w:p>
      <w:pPr>
        <w:pStyle w:val="Heading2"/>
        <w:spacing w:before="120" w:after="80"/>
      </w:pPr>
      <w:r>
        <w:t xml:space="preserve">Scenario 14: Culture Clash</w:t>
      </w:r>
    </w:p>
    <w:p>
      <w:pPr>
        <w:spacing w:after="120" w:line="276"/>
      </w:pPr>
      <w:r>
        <w:rPr>
          <w:rFonts w:ascii="Arial" w:cs="Arial" w:eastAsia="Arial" w:hAnsi="Arial"/>
          <w:b/>
          <w:bCs/>
          <w:sz w:val="22"/>
          <w:szCs w:val="22"/>
        </w:rPr>
        <w:t xml:space="preserve">Phase: </w:t>
      </w:r>
      <w:r>
        <w:rPr>
          <w:rFonts w:ascii="Arial" w:cs="Arial" w:eastAsia="Arial" w:hAnsi="Arial"/>
          <w:sz w:val="22"/>
          <w:szCs w:val="22"/>
        </w:rPr>
        <w:t xml:space="preserve">Optimize</w:t>
      </w:r>
    </w:p>
    <w:p>
      <w:pPr>
        <w:spacing w:after="120" w:line="276"/>
      </w:pPr>
      <w:r>
        <w:rPr>
          <w:rFonts w:ascii="Arial" w:cs="Arial" w:eastAsia="Arial" w:hAnsi="Arial"/>
          <w:b/>
          <w:bCs/>
          <w:sz w:val="22"/>
          <w:szCs w:val="22"/>
        </w:rPr>
        <w:t xml:space="preserve">Context: </w:t>
      </w:r>
      <w:r>
        <w:rPr>
          <w:rFonts w:ascii="Arial" w:cs="Arial" w:eastAsia="Arial" w:hAnsi="Arial"/>
          <w:sz w:val="22"/>
          <w:szCs w:val="22"/>
        </w:rPr>
        <w:t xml:space="preserve">Junior staff love AI tools and are 3x more productive. Senior staff resist and their output quality is declining as they avoid the tools.</w:t>
      </w:r>
    </w:p>
    <w:p>
      <w:pPr>
        <w:spacing w:before="80"/>
      </w:pPr>
    </w:p>
    <w:p>
      <w:pPr>
        <w:pStyle w:val="Heading3"/>
        <w:spacing w:before="120" w:after="80"/>
      </w:pPr>
      <w:r>
        <w:t xml:space="preserve">Option Analysis</w:t>
      </w:r>
    </w:p>
    <w:p>
      <w:pPr>
        <w:spacing w:after="120" w:line="276"/>
      </w:pPr>
      <w:r>
        <w:rPr>
          <w:rFonts w:ascii="Arial" w:cs="Arial" w:eastAsia="Arial" w:hAnsi="Arial"/>
          <w:b/>
          <w:bCs/>
          <w:sz w:val="22"/>
          <w:szCs w:val="22"/>
        </w:rPr>
        <w:t xml:space="preserve">Option A: </w:t>
      </w:r>
      <w:r>
        <w:rPr>
          <w:rFonts w:ascii="Arial" w:cs="Arial" w:eastAsia="Arial" w:hAnsi="Arial"/>
          <w:sz w:val="22"/>
          <w:szCs w:val="22"/>
        </w:rPr>
        <w:t xml:space="preserve">Reverse-mentoring pairs — juniors teach seniors, seniors share domain expertise. This is the elegant answer because it respects both groups. It positions seniors as domain experts (preserving their status) while creating a structured mechanism for skill transfer. It also builds relationships across levels that serve the organisation beyond AI adoption. The risk is that some senior people will experience being ‘taught by juniors’ as humiliating, regardless of how it’s framed. Selection and framing are everything.</w:t>
      </w:r>
    </w:p>
    <w:p>
      <w:pPr>
        <w:spacing w:after="120" w:line="276"/>
      </w:pPr>
      <w:r>
        <w:rPr>
          <w:rFonts w:ascii="Arial" w:cs="Arial" w:eastAsia="Arial" w:hAnsi="Arial"/>
          <w:b/>
          <w:bCs/>
          <w:sz w:val="22"/>
          <w:szCs w:val="22"/>
        </w:rPr>
        <w:t xml:space="preserve">Option B: </w:t>
      </w:r>
      <w:r>
        <w:rPr>
          <w:rFonts w:ascii="Arial" w:cs="Arial" w:eastAsia="Arial" w:hAnsi="Arial"/>
          <w:sz w:val="22"/>
          <w:szCs w:val="22"/>
        </w:rPr>
        <w:t xml:space="preserve">Make AI tool usage a performance metric for all staff. The nuclear option. It works in the sense that compliance will increase. But forced adoption without genuine capability building produces resentment, poor-quality outputs, and metric gaming (‘I opened the tool’ counts as usage even if output was discarded). In professional services, where senior people control client relationships and revenue, mandating tool usage risks a talent exodus at the level you can least afford to lose.</w:t>
      </w:r>
    </w:p>
    <w:p>
      <w:pPr>
        <w:spacing w:after="120" w:line="276"/>
      </w:pPr>
      <w:r>
        <w:rPr>
          <w:rFonts w:ascii="Arial" w:cs="Arial" w:eastAsia="Arial" w:hAnsi="Arial"/>
          <w:b/>
          <w:bCs/>
          <w:sz w:val="22"/>
          <w:szCs w:val="22"/>
        </w:rPr>
        <w:t xml:space="preserve">Option C: </w:t>
      </w:r>
      <w:r>
        <w:rPr>
          <w:rFonts w:ascii="Arial" w:cs="Arial" w:eastAsia="Arial" w:hAnsi="Arial"/>
          <w:sz w:val="22"/>
          <w:szCs w:val="22"/>
        </w:rPr>
        <w:t xml:space="preserve">Separate workflows — AI-enhanced for adopters, traditional for others. Sounds tolerant and pragmatic. In reality, you’re creating a permanent two-tier organisation. The AI-enhanced tier will be faster, cheaper, and increasingly preferred by clients and leadership. The traditional tier becomes a sunset group. This isn’t a solution; it’s a slow-motion layoff with extra steps. It also sends the message that AI adoption is optional, which undermines the entire transformation.</w:t>
      </w:r>
    </w:p>
    <w:p>
      <w:pPr>
        <w:spacing w:before="80"/>
      </w:pPr>
    </w:p>
    <w:p>
      <w:pPr>
        <w:spacing w:after="120" w:line="276"/>
      </w:pPr>
      <w:r>
        <w:rPr>
          <w:rFonts w:ascii="Arial" w:cs="Arial" w:eastAsia="Arial" w:hAnsi="Arial"/>
          <w:b/>
          <w:bCs/>
          <w:sz w:val="22"/>
          <w:szCs w:val="22"/>
        </w:rPr>
        <w:t xml:space="preserve">Recommendation: </w:t>
      </w:r>
      <w:r>
        <w:rPr>
          <w:rFonts w:ascii="Arial" w:cs="Arial" w:eastAsia="Arial" w:hAnsi="Arial"/>
          <w:sz w:val="22"/>
          <w:szCs w:val="22"/>
        </w:rPr>
        <w:t xml:space="preserve">Option A. Reverse-mentoring, implemented carefully. Pair senior and junior staff who already have good working relationships. Frame it as ‘mutual skill exchange’ rather than ‘AI training.’ Give senior staff agency: let them choose their use cases, their pace, and their mentoring partner. Supplement with executive coaching for the most resistant (and most critical) senior leaders.</w:t>
      </w:r>
    </w:p>
    <w:p>
      <w:pPr>
        <w:spacing w:after="120" w:line="276"/>
      </w:pPr>
      <w:r>
        <w:rPr>
          <w:rFonts w:ascii="Arial" w:cs="Arial" w:eastAsia="Arial" w:hAnsi="Arial"/>
          <w:b/>
          <w:bCs/>
          <w:sz w:val="22"/>
          <w:szCs w:val="22"/>
        </w:rPr>
        <w:t xml:space="preserve">Conditional Override: </w:t>
      </w:r>
      <w:r>
        <w:rPr>
          <w:rFonts w:ascii="Arial" w:cs="Arial" w:eastAsia="Arial" w:hAnsi="Arial"/>
          <w:sz w:val="22"/>
          <w:szCs w:val="22"/>
        </w:rPr>
        <w:t xml:space="preserve">If the organisation’s culture is very hierarchical and reverse-mentoring would be perceived as deeply inappropriate, a modified approach works: create ‘AI masterclasses’ delivered by external facilitators at the senior level, removing the internal status dynamics. If time pressure is extreme and adoption gaps are threatening transformation timelines, Option B can be introduced as one of several metrics (not the only one) in the next performance cycle.</w:t>
      </w:r>
    </w:p>
    <w:p>
      <w:pPr>
        <w:spacing w:after="120" w:line="276"/>
      </w:pPr>
      <w:r>
        <w:rPr>
          <w:rFonts w:ascii="Arial" w:cs="Arial" w:eastAsia="Arial" w:hAnsi="Arial"/>
          <w:b/>
          <w:bCs/>
          <w:sz w:val="22"/>
          <w:szCs w:val="22"/>
        </w:rPr>
        <w:t xml:space="preserve">Hidden Risk: </w:t>
      </w:r>
      <w:r>
        <w:rPr>
          <w:rFonts w:ascii="Arial" w:cs="Arial" w:eastAsia="Arial" w:hAnsi="Arial"/>
          <w:sz w:val="22"/>
          <w:szCs w:val="22"/>
        </w:rPr>
        <w:t xml:space="preserve">Senior resistance to AI is rarely about the technology. It’s about identity. A partner who has spent 25 years developing expertise in contract drafting feels genuinely threatened when a junior associate produces comparable work in a quarter of the time using AI. The transformation leader who treats this as a ‘skills gap’ will fail. The one who treats it as an ‘identity challenge’ and addresses the underlying fear of obsolescence will succeed.</w:t>
      </w:r>
    </w:p>
    <w:p>
      <w:pPr>
        <w:spacing w:after="120" w:line="276"/>
      </w:pPr>
      <w:r>
        <w:rPr>
          <w:rFonts w:ascii="Arial" w:cs="Arial" w:eastAsia="Arial" w:hAnsi="Arial"/>
          <w:b/>
          <w:bCs/>
          <w:sz w:val="22"/>
          <w:szCs w:val="22"/>
        </w:rPr>
        <w:t xml:space="preserve">Difficulty: </w:t>
      </w:r>
      <w:r>
        <w:rPr>
          <w:rFonts w:ascii="Arial" w:cs="Arial" w:eastAsia="Arial" w:hAnsi="Arial"/>
          <w:sz w:val="22"/>
          <w:szCs w:val="22"/>
        </w:rPr>
        <w:t xml:space="preserve">4/5 — High. This is one of the most emotionally charged decisions in the transformation because it touches identity, status, and career security for the most powerful people in the organisation.</w:t>
      </w:r>
    </w:p>
    <w:p>
      <w:pPr>
        <w:spacing w:before="120" w:after="120"/>
      </w:pPr>
      <w:r>
        <w:rPr>
          <w:rFonts w:ascii="Arial" w:cs="Arial" w:eastAsia="Arial" w:hAnsi="Arial"/>
          <w:color w:val="2E7D8C"/>
          <w:sz w:val="14"/>
          <w:szCs w:val="14"/>
        </w:rPr>
        <w:t xml:space="preserve">────────────────────────────────────────────────────────────────────────────────</w:t>
      </w:r>
    </w:p>
    <w:p>
      <w:pPr>
        <w:pStyle w:val="Heading2"/>
        <w:spacing w:before="120" w:after="80"/>
      </w:pPr>
      <w:r>
        <w:t xml:space="preserve">Scenario 15: Regulatory Shockwave</w:t>
      </w:r>
    </w:p>
    <w:p>
      <w:pPr>
        <w:spacing w:after="120" w:line="276"/>
      </w:pPr>
      <w:r>
        <w:rPr>
          <w:rFonts w:ascii="Arial" w:cs="Arial" w:eastAsia="Arial" w:hAnsi="Arial"/>
          <w:b/>
          <w:bCs/>
          <w:sz w:val="22"/>
          <w:szCs w:val="22"/>
        </w:rPr>
        <w:t xml:space="preserve">Phase: </w:t>
      </w:r>
      <w:r>
        <w:rPr>
          <w:rFonts w:ascii="Arial" w:cs="Arial" w:eastAsia="Arial" w:hAnsi="Arial"/>
          <w:sz w:val="22"/>
          <w:szCs w:val="22"/>
        </w:rPr>
        <w:t xml:space="preserve">Optimize</w:t>
      </w:r>
    </w:p>
    <w:p>
      <w:pPr>
        <w:spacing w:after="120" w:line="276"/>
      </w:pPr>
      <w:r>
        <w:rPr>
          <w:rFonts w:ascii="Arial" w:cs="Arial" w:eastAsia="Arial" w:hAnsi="Arial"/>
          <w:b/>
          <w:bCs/>
          <w:sz w:val="22"/>
          <w:szCs w:val="22"/>
        </w:rPr>
        <w:t xml:space="preserve">Context: </w:t>
      </w:r>
      <w:r>
        <w:rPr>
          <w:rFonts w:ascii="Arial" w:cs="Arial" w:eastAsia="Arial" w:hAnsi="Arial"/>
          <w:sz w:val="22"/>
          <w:szCs w:val="22"/>
        </w:rPr>
        <w:t xml:space="preserve">New AI regulations require full audit trails for all AI-assisted decisions. Your current setup lacks this capability.</w:t>
      </w:r>
    </w:p>
    <w:p>
      <w:pPr>
        <w:spacing w:before="80"/>
      </w:pPr>
    </w:p>
    <w:p>
      <w:pPr>
        <w:pStyle w:val="Heading3"/>
        <w:spacing w:before="120" w:after="80"/>
      </w:pPr>
      <w:r>
        <w:t xml:space="preserve">Option Analysis</w:t>
      </w:r>
    </w:p>
    <w:p>
      <w:pPr>
        <w:spacing w:after="120" w:line="276"/>
      </w:pPr>
      <w:r>
        <w:rPr>
          <w:rFonts w:ascii="Arial" w:cs="Arial" w:eastAsia="Arial" w:hAnsi="Arial"/>
          <w:b/>
          <w:bCs/>
          <w:sz w:val="22"/>
          <w:szCs w:val="22"/>
        </w:rPr>
        <w:t xml:space="preserve">Option A: </w:t>
      </w:r>
      <w:r>
        <w:rPr>
          <w:rFonts w:ascii="Arial" w:cs="Arial" w:eastAsia="Arial" w:hAnsi="Arial"/>
          <w:sz w:val="22"/>
          <w:szCs w:val="22"/>
        </w:rPr>
        <w:t xml:space="preserve">Pause AI in regulated workflows, retrofit audit capabilities. Legally defensible but operationally disruptive. Depending on how much of your workflow is ‘regulated,’ this could mean pausing 30–80% of AI usage. The momentum loss at month 10–12, right when you need to demonstrate scaling success, could be transformation-ending.</w:t>
      </w:r>
    </w:p>
    <w:p>
      <w:pPr>
        <w:spacing w:after="120" w:line="276"/>
      </w:pPr>
      <w:r>
        <w:rPr>
          <w:rFonts w:ascii="Arial" w:cs="Arial" w:eastAsia="Arial" w:hAnsi="Arial"/>
          <w:b/>
          <w:bCs/>
          <w:sz w:val="22"/>
          <w:szCs w:val="22"/>
        </w:rPr>
        <w:t xml:space="preserve">Option B: </w:t>
      </w:r>
      <w:r>
        <w:rPr>
          <w:rFonts w:ascii="Arial" w:cs="Arial" w:eastAsia="Arial" w:hAnsi="Arial"/>
          <w:sz w:val="22"/>
          <w:szCs w:val="22"/>
        </w:rPr>
        <w:t xml:space="preserve">Implement audit logging on critical workflows now, others before the compliance deadline. The pragmatic, risk-tiered approach. Focus immediate effort on the highest-risk workflows (client-facing, regulated, decision-critical). Build audit capability there first, then cascade to lower-risk areas before the deadline. This demonstrates compliance intent to regulators while preserving operational momentum.</w:t>
      </w:r>
    </w:p>
    <w:p>
      <w:pPr>
        <w:spacing w:after="120" w:line="276"/>
      </w:pPr>
      <w:r>
        <w:rPr>
          <w:rFonts w:ascii="Arial" w:cs="Arial" w:eastAsia="Arial" w:hAnsi="Arial"/>
          <w:b/>
          <w:bCs/>
          <w:sz w:val="22"/>
          <w:szCs w:val="22"/>
        </w:rPr>
        <w:t xml:space="preserve">Option C: </w:t>
      </w:r>
      <w:r>
        <w:rPr>
          <w:rFonts w:ascii="Arial" w:cs="Arial" w:eastAsia="Arial" w:hAnsi="Arial"/>
          <w:sz w:val="22"/>
          <w:szCs w:val="22"/>
        </w:rPr>
        <w:t xml:space="preserve">Lobby the industry body for an extended compliance timeline. You should do this in parallel with B, but not instead of B. Lobbying alone is a gamble — you’re betting your compliance posture on an outcome you don’t control. Even if the timeline is extended, you still need the capability eventually. Starting now is better than starting later.</w:t>
      </w:r>
    </w:p>
    <w:p>
      <w:pPr>
        <w:spacing w:before="80"/>
      </w:pPr>
    </w:p>
    <w:p>
      <w:pPr>
        <w:spacing w:after="120" w:line="276"/>
      </w:pPr>
      <w:r>
        <w:rPr>
          <w:rFonts w:ascii="Arial" w:cs="Arial" w:eastAsia="Arial" w:hAnsi="Arial"/>
          <w:b/>
          <w:bCs/>
          <w:sz w:val="22"/>
          <w:szCs w:val="22"/>
        </w:rPr>
        <w:t xml:space="preserve">Recommendation: </w:t>
      </w:r>
      <w:r>
        <w:rPr>
          <w:rFonts w:ascii="Arial" w:cs="Arial" w:eastAsia="Arial" w:hAnsi="Arial"/>
          <w:sz w:val="22"/>
          <w:szCs w:val="22"/>
        </w:rPr>
        <w:t xml:space="preserve">Option B, with C as a parallel workstream. Implement risk-tiered audit logging immediately, starting with the most regulated workflows. Simultaneously engage with industry bodies to shape the regulatory framework and advocate for reasonable implementation timelines. This positions you as proactively compliant rather than reactively scrambling.</w:t>
      </w:r>
    </w:p>
    <w:p>
      <w:pPr>
        <w:spacing w:after="120" w:line="276"/>
      </w:pPr>
      <w:r>
        <w:rPr>
          <w:rFonts w:ascii="Arial" w:cs="Arial" w:eastAsia="Arial" w:hAnsi="Arial"/>
          <w:b/>
          <w:bCs/>
          <w:sz w:val="22"/>
          <w:szCs w:val="22"/>
        </w:rPr>
        <w:t xml:space="preserve">Conditional Override: </w:t>
      </w:r>
      <w:r>
        <w:rPr>
          <w:rFonts w:ascii="Arial" w:cs="Arial" w:eastAsia="Arial" w:hAnsi="Arial"/>
          <w:sz w:val="22"/>
          <w:szCs w:val="22"/>
        </w:rPr>
        <w:t xml:space="preserve">If the regulation has criminal penalties for non-compliance (not just fines), Option A becomes necessary for any workflows that are unambiguously in scope. In that case, compress the audit retrofit timeline as aggressively as possible and frame the pause as a ‘compliance upgrade sprint’ rather than a retreat.</w:t>
      </w:r>
    </w:p>
    <w:p>
      <w:pPr>
        <w:spacing w:after="120" w:line="276"/>
      </w:pPr>
      <w:r>
        <w:rPr>
          <w:rFonts w:ascii="Arial" w:cs="Arial" w:eastAsia="Arial" w:hAnsi="Arial"/>
          <w:b/>
          <w:bCs/>
          <w:sz w:val="22"/>
          <w:szCs w:val="22"/>
        </w:rPr>
        <w:t xml:space="preserve">Hidden Risk: </w:t>
      </w:r>
      <w:r>
        <w:rPr>
          <w:rFonts w:ascii="Arial" w:cs="Arial" w:eastAsia="Arial" w:hAnsi="Arial"/>
          <w:sz w:val="22"/>
          <w:szCs w:val="22"/>
        </w:rPr>
        <w:t xml:space="preserve">Regulatory shocks are often the trigger that converts voluntary AI governance into mandatory infrastructure. Most organisations discover during this moment that their AI usage is far less documented than they believed. The hidden risk isn’t the regulation itself; it’s discovering how little visibility you actually have into how AI is being used across the organisation. This discovery can be more destabilising than the regulation.</w:t>
      </w:r>
    </w:p>
    <w:p>
      <w:pPr>
        <w:spacing w:after="120" w:line="276"/>
      </w:pPr>
      <w:r>
        <w:rPr>
          <w:rFonts w:ascii="Arial" w:cs="Arial" w:eastAsia="Arial" w:hAnsi="Arial"/>
          <w:b/>
          <w:bCs/>
          <w:sz w:val="22"/>
          <w:szCs w:val="22"/>
        </w:rPr>
        <w:t xml:space="preserve">Difficulty: </w:t>
      </w:r>
      <w:r>
        <w:rPr>
          <w:rFonts w:ascii="Arial" w:cs="Arial" w:eastAsia="Arial" w:hAnsi="Arial"/>
          <w:sz w:val="22"/>
          <w:szCs w:val="22"/>
        </w:rPr>
        <w:t xml:space="preserve">4/5 — High. This requires rapid technical implementation, regulatory interpretation, and stakeholder management simultaneously. The timeline is externally imposed and non-negotiable, which removes the flexibility that makes other decisions manageable.</w:t>
      </w:r>
    </w:p>
    <w:p>
      <w:pPr>
        <w:spacing w:before="120" w:after="120"/>
      </w:pPr>
      <w:r>
        <w:rPr>
          <w:rFonts w:ascii="Arial" w:cs="Arial" w:eastAsia="Arial" w:hAnsi="Arial"/>
          <w:color w:val="2E7D8C"/>
          <w:sz w:val="14"/>
          <w:szCs w:val="14"/>
        </w:rPr>
        <w:t xml:space="preserve">────────────────────────────────────────────────────────────────────────────────</w:t>
      </w:r>
    </w:p>
    <w:p>
      <w:r>
        <w:r>
          <w:br w:type="page"/>
        </w:r>
      </w:r>
    </w:p>
    <w:p>
      <w:pPr>
        <w:pStyle w:val="Heading1"/>
        <w:spacing w:before="120" w:after="80"/>
      </w:pPr>
      <w:r>
        <w:t xml:space="preserve">PHASE 5: EMBED (Months 13–15)</w:t>
      </w:r>
    </w:p>
    <w:p>
      <w:pPr>
        <w:pStyle w:val="Heading2"/>
        <w:spacing w:before="120" w:after="80"/>
      </w:pPr>
      <w:r>
        <w:t xml:space="preserve">Scenario 16: The Competitor Leapfrog</w:t>
      </w:r>
    </w:p>
    <w:p>
      <w:pPr>
        <w:spacing w:after="120" w:line="276"/>
      </w:pPr>
      <w:r>
        <w:rPr>
          <w:rFonts w:ascii="Arial" w:cs="Arial" w:eastAsia="Arial" w:hAnsi="Arial"/>
          <w:b/>
          <w:bCs/>
          <w:sz w:val="22"/>
          <w:szCs w:val="22"/>
        </w:rPr>
        <w:t xml:space="preserve">Phase: </w:t>
      </w:r>
      <w:r>
        <w:rPr>
          <w:rFonts w:ascii="Arial" w:cs="Arial" w:eastAsia="Arial" w:hAnsi="Arial"/>
          <w:sz w:val="22"/>
          <w:szCs w:val="22"/>
        </w:rPr>
        <w:t xml:space="preserve">Embed</w:t>
      </w:r>
    </w:p>
    <w:p>
      <w:pPr>
        <w:spacing w:after="120" w:line="276"/>
      </w:pPr>
      <w:r>
        <w:rPr>
          <w:rFonts w:ascii="Arial" w:cs="Arial" w:eastAsia="Arial" w:hAnsi="Arial"/>
          <w:b/>
          <w:bCs/>
          <w:sz w:val="22"/>
          <w:szCs w:val="22"/>
        </w:rPr>
        <w:t xml:space="preserve">Context: </w:t>
      </w:r>
      <w:r>
        <w:rPr>
          <w:rFonts w:ascii="Arial" w:cs="Arial" w:eastAsia="Arial" w:hAnsi="Arial"/>
          <w:sz w:val="22"/>
          <w:szCs w:val="22"/>
        </w:rPr>
        <w:t xml:space="preserve">A major competitor announces 80% AI adoption and markets ‘AI-native’ services. Your board is nervous.</w:t>
      </w:r>
    </w:p>
    <w:p>
      <w:pPr>
        <w:spacing w:before="80"/>
      </w:pPr>
    </w:p>
    <w:p>
      <w:pPr>
        <w:pStyle w:val="Heading3"/>
        <w:spacing w:before="120" w:after="80"/>
      </w:pPr>
      <w:r>
        <w:t xml:space="preserve">Option Analysis</w:t>
      </w:r>
    </w:p>
    <w:p>
      <w:pPr>
        <w:spacing w:after="120" w:line="276"/>
      </w:pPr>
      <w:r>
        <w:rPr>
          <w:rFonts w:ascii="Arial" w:cs="Arial" w:eastAsia="Arial" w:hAnsi="Arial"/>
          <w:b/>
          <w:bCs/>
          <w:sz w:val="22"/>
          <w:szCs w:val="22"/>
        </w:rPr>
        <w:t xml:space="preserve">Option A: </w:t>
      </w:r>
      <w:r>
        <w:rPr>
          <w:rFonts w:ascii="Arial" w:cs="Arial" w:eastAsia="Arial" w:hAnsi="Arial"/>
          <w:sz w:val="22"/>
          <w:szCs w:val="22"/>
        </w:rPr>
        <w:t xml:space="preserve">Stay the course. Sustainable transformation beats marketing hype. This is almost certainly the right answer, but it requires exceptional communication skills to make the board comfortable. Your competitor’s ‘80% adoption’ number is almost certainly measuring something different from genuine adoption (likely tool deployment or license activation, not actual workflow integration). But the board doesn’t know that, and their anxiety is real regardless of whether the competitor’s claim is credible.</w:t>
      </w:r>
    </w:p>
    <w:p>
      <w:pPr>
        <w:spacing w:after="120" w:line="276"/>
      </w:pPr>
      <w:r>
        <w:rPr>
          <w:rFonts w:ascii="Arial" w:cs="Arial" w:eastAsia="Arial" w:hAnsi="Arial"/>
          <w:b/>
          <w:bCs/>
          <w:sz w:val="22"/>
          <w:szCs w:val="22"/>
        </w:rPr>
        <w:t xml:space="preserve">Option B: </w:t>
      </w:r>
      <w:r>
        <w:rPr>
          <w:rFonts w:ascii="Arial" w:cs="Arial" w:eastAsia="Arial" w:hAnsi="Arial"/>
          <w:sz w:val="22"/>
          <w:szCs w:val="22"/>
        </w:rPr>
        <w:t xml:space="preserve">Accelerate your timeline, compress remaining phases. This is the panic response, and it destroys more transformations than any single decision. Compressing timelines means cutting corners on training, change management, and quality assurance — exactly the investments that differentiate a real transformation from a superficial one. You might match the competitor’s deployment numbers while producing far worse outcomes.</w:t>
      </w:r>
    </w:p>
    <w:p>
      <w:pPr>
        <w:spacing w:after="120" w:line="276"/>
      </w:pPr>
      <w:r>
        <w:rPr>
          <w:rFonts w:ascii="Arial" w:cs="Arial" w:eastAsia="Arial" w:hAnsi="Arial"/>
          <w:b/>
          <w:bCs/>
          <w:sz w:val="22"/>
          <w:szCs w:val="22"/>
        </w:rPr>
        <w:t xml:space="preserve">Option C: </w:t>
      </w:r>
      <w:r>
        <w:rPr>
          <w:rFonts w:ascii="Arial" w:cs="Arial" w:eastAsia="Arial" w:hAnsi="Arial"/>
          <w:sz w:val="22"/>
          <w:szCs w:val="22"/>
        </w:rPr>
        <w:t xml:space="preserve">Differentiate with ‘responsible AI’ as a premium positioning. Smart as a complementary strategy but insufficient as the primary response. ‘Responsible AI’ as a market differentiator works in regulated industries (law, finance, healthcare) where clients genuinely care about governance. It’s less compelling in industries where speed and cost dominate buying decisions.</w:t>
      </w:r>
    </w:p>
    <w:p>
      <w:pPr>
        <w:spacing w:before="80"/>
      </w:pPr>
    </w:p>
    <w:p>
      <w:pPr>
        <w:spacing w:after="120" w:line="276"/>
      </w:pPr>
      <w:r>
        <w:rPr>
          <w:rFonts w:ascii="Arial" w:cs="Arial" w:eastAsia="Arial" w:hAnsi="Arial"/>
          <w:b/>
          <w:bCs/>
          <w:sz w:val="22"/>
          <w:szCs w:val="22"/>
        </w:rPr>
        <w:t xml:space="preserve">Recommendation: </w:t>
      </w:r>
      <w:r>
        <w:rPr>
          <w:rFonts w:ascii="Arial" w:cs="Arial" w:eastAsia="Arial" w:hAnsi="Arial"/>
          <w:sz w:val="22"/>
          <w:szCs w:val="22"/>
        </w:rPr>
        <w:t xml:space="preserve">Option A with elements of C. Stay the course on your transformation timeline, but use the competitive pressure as an opportunity to accelerate communications, not execution. Arm your board with a credible analysis of what the competitor’s announcement likely means (and doesn’t mean). Add responsible AI positioning to your client-facing narrative where it resonates. Internally, use the competitive pressure to motivate lagging departments.</w:t>
      </w:r>
    </w:p>
    <w:p>
      <w:pPr>
        <w:spacing w:after="120" w:line="276"/>
      </w:pPr>
      <w:r>
        <w:rPr>
          <w:rFonts w:ascii="Arial" w:cs="Arial" w:eastAsia="Arial" w:hAnsi="Arial"/>
          <w:b/>
          <w:bCs/>
          <w:sz w:val="22"/>
          <w:szCs w:val="22"/>
        </w:rPr>
        <w:t xml:space="preserve">Conditional Override: </w:t>
      </w:r>
      <w:r>
        <w:rPr>
          <w:rFonts w:ascii="Arial" w:cs="Arial" w:eastAsia="Arial" w:hAnsi="Arial"/>
          <w:sz w:val="22"/>
          <w:szCs w:val="22"/>
        </w:rPr>
        <w:t xml:space="preserve">If the competitor’s announcement triggers actual client attrition (not just board anxiety), you need a more aggressive response. This might mean accelerating specific client-facing AI capabilities while maintaining the phased approach for internal transformation. The key distinction is between accelerating what’s visible to clients and accelerating the entire programme.</w:t>
      </w:r>
    </w:p>
    <w:p>
      <w:pPr>
        <w:spacing w:after="120" w:line="276"/>
      </w:pPr>
      <w:r>
        <w:rPr>
          <w:rFonts w:ascii="Arial" w:cs="Arial" w:eastAsia="Arial" w:hAnsi="Arial"/>
          <w:b/>
          <w:bCs/>
          <w:sz w:val="22"/>
          <w:szCs w:val="22"/>
        </w:rPr>
        <w:t xml:space="preserve">Hidden Risk: </w:t>
      </w:r>
      <w:r>
        <w:rPr>
          <w:rFonts w:ascii="Arial" w:cs="Arial" w:eastAsia="Arial" w:hAnsi="Arial"/>
          <w:sz w:val="22"/>
          <w:szCs w:val="22"/>
        </w:rPr>
        <w:t xml:space="preserve">Competitive announcements are almost never what they seem. ‘80% AI adoption’ typically means 80% of employees have access to an AI tool, not that 80% are using it effectively in their workflows. The dangerous second-order effect is that your board compares your honest metrics against a competitor’s inflated ones and concludes you’re behind. This is the moment where your decision to be transparent (Scenario 13) either saves you or haunts you. If you’ve been honest about your own adoption numbers, you can credibly question the competitor’s.</w:t>
      </w:r>
    </w:p>
    <w:p>
      <w:pPr>
        <w:spacing w:after="120" w:line="276"/>
      </w:pPr>
      <w:r>
        <w:rPr>
          <w:rFonts w:ascii="Arial" w:cs="Arial" w:eastAsia="Arial" w:hAnsi="Arial"/>
          <w:b/>
          <w:bCs/>
          <w:sz w:val="22"/>
          <w:szCs w:val="22"/>
        </w:rPr>
        <w:t xml:space="preserve">Difficulty: </w:t>
      </w:r>
      <w:r>
        <w:rPr>
          <w:rFonts w:ascii="Arial" w:cs="Arial" w:eastAsia="Arial" w:hAnsi="Arial"/>
          <w:sz w:val="22"/>
          <w:szCs w:val="22"/>
        </w:rPr>
        <w:t xml:space="preserve">3/5 — Moderate. The strategic answer is clear but the board management requires composure under pressure. The temptation to react is strong and the internal political dynamics (other leaders using competitive pressure to advocate for their preferred approach) make the room complex.</w:t>
      </w:r>
    </w:p>
    <w:p>
      <w:pPr>
        <w:spacing w:before="120" w:after="120"/>
      </w:pPr>
      <w:r>
        <w:rPr>
          <w:rFonts w:ascii="Arial" w:cs="Arial" w:eastAsia="Arial" w:hAnsi="Arial"/>
          <w:color w:val="2E7D8C"/>
          <w:sz w:val="14"/>
          <w:szCs w:val="14"/>
        </w:rPr>
        <w:t xml:space="preserve">────────────────────────────────────────────────────────────────────────────────</w:t>
      </w:r>
    </w:p>
    <w:p>
      <w:pPr>
        <w:pStyle w:val="Heading2"/>
        <w:spacing w:before="120" w:after="80"/>
      </w:pPr>
      <w:r>
        <w:t xml:space="preserve">Scenario 17: Shadow AI Problem</w:t>
      </w:r>
    </w:p>
    <w:p>
      <w:pPr>
        <w:spacing w:after="120" w:line="276"/>
      </w:pPr>
      <w:r>
        <w:rPr>
          <w:rFonts w:ascii="Arial" w:cs="Arial" w:eastAsia="Arial" w:hAnsi="Arial"/>
          <w:b/>
          <w:bCs/>
          <w:sz w:val="22"/>
          <w:szCs w:val="22"/>
        </w:rPr>
        <w:t xml:space="preserve">Phase: </w:t>
      </w:r>
      <w:r>
        <w:rPr>
          <w:rFonts w:ascii="Arial" w:cs="Arial" w:eastAsia="Arial" w:hAnsi="Arial"/>
          <w:sz w:val="22"/>
          <w:szCs w:val="22"/>
        </w:rPr>
        <w:t xml:space="preserve">Embed</w:t>
      </w:r>
    </w:p>
    <w:p>
      <w:pPr>
        <w:spacing w:after="120" w:line="276"/>
      </w:pPr>
      <w:r>
        <w:rPr>
          <w:rFonts w:ascii="Arial" w:cs="Arial" w:eastAsia="Arial" w:hAnsi="Arial"/>
          <w:b/>
          <w:bCs/>
          <w:sz w:val="22"/>
          <w:szCs w:val="22"/>
        </w:rPr>
        <w:t xml:space="preserve">Context: </w:t>
      </w:r>
      <w:r>
        <w:rPr>
          <w:rFonts w:ascii="Arial" w:cs="Arial" w:eastAsia="Arial" w:hAnsi="Arial"/>
          <w:sz w:val="22"/>
          <w:szCs w:val="22"/>
        </w:rPr>
        <w:t xml:space="preserve">You discover 40% of staff are using personal ChatGPT accounts for work, bypassing approved tools and data governance.</w:t>
      </w:r>
    </w:p>
    <w:p>
      <w:pPr>
        <w:spacing w:before="80"/>
      </w:pPr>
    </w:p>
    <w:p>
      <w:pPr>
        <w:pStyle w:val="Heading3"/>
        <w:spacing w:before="120" w:after="80"/>
      </w:pPr>
      <w:r>
        <w:t xml:space="preserve">Option Analysis</w:t>
      </w:r>
    </w:p>
    <w:p>
      <w:pPr>
        <w:spacing w:after="120" w:line="276"/>
      </w:pPr>
      <w:r>
        <w:rPr>
          <w:rFonts w:ascii="Arial" w:cs="Arial" w:eastAsia="Arial" w:hAnsi="Arial"/>
          <w:b/>
          <w:bCs/>
          <w:sz w:val="22"/>
          <w:szCs w:val="22"/>
        </w:rPr>
        <w:t xml:space="preserve">Option A: </w:t>
      </w:r>
      <w:r>
        <w:rPr>
          <w:rFonts w:ascii="Arial" w:cs="Arial" w:eastAsia="Arial" w:hAnsi="Arial"/>
          <w:sz w:val="22"/>
          <w:szCs w:val="22"/>
        </w:rPr>
        <w:t xml:space="preserve">Block all unauthorised AI tools, enforce approved platforms only. The instinctive compliance response. It’s technically possible (firewalls, endpoint management) but it sends exactly the wrong message: ‘We don’t trust you.’ It also doesn’t work — people will use AI on personal devices, at home, in ways you can’t monitor. You’ve driven the behaviour underground rather than eliminating it. More importantly, you’ve punished 40% of your workforce for doing exactly what the transformation asked them to do: adopt AI. They just adopted the wrong AI.</w:t>
      </w:r>
    </w:p>
    <w:p>
      <w:pPr>
        <w:spacing w:after="120" w:line="276"/>
      </w:pPr>
      <w:r>
        <w:rPr>
          <w:rFonts w:ascii="Arial" w:cs="Arial" w:eastAsia="Arial" w:hAnsi="Arial"/>
          <w:b/>
          <w:bCs/>
          <w:sz w:val="22"/>
          <w:szCs w:val="22"/>
        </w:rPr>
        <w:t xml:space="preserve">Option B: </w:t>
      </w:r>
      <w:r>
        <w:rPr>
          <w:rFonts w:ascii="Arial" w:cs="Arial" w:eastAsia="Arial" w:hAnsi="Arial"/>
          <w:sz w:val="22"/>
          <w:szCs w:val="22"/>
        </w:rPr>
        <w:t xml:space="preserve">Learn what they’re using it for and integrate those use cases. The intelligence-first approach. Before you react, understand why 40% of your workforce chose personal tools over approved ones. The answer will almost certainly be some combination of: the approved tools are harder to use, don’t cover their use cases, or require too many approvals. This information is gold — it tells you exactly where your approved toolset is failing and what to fix.</w:t>
      </w:r>
    </w:p>
    <w:p>
      <w:pPr>
        <w:spacing w:after="120" w:line="276"/>
      </w:pPr>
      <w:r>
        <w:rPr>
          <w:rFonts w:ascii="Arial" w:cs="Arial" w:eastAsia="Arial" w:hAnsi="Arial"/>
          <w:b/>
          <w:bCs/>
          <w:sz w:val="22"/>
          <w:szCs w:val="22"/>
        </w:rPr>
        <w:t xml:space="preserve">Option C: </w:t>
      </w:r>
      <w:r>
        <w:rPr>
          <w:rFonts w:ascii="Arial" w:cs="Arial" w:eastAsia="Arial" w:hAnsi="Arial"/>
          <w:sz w:val="22"/>
          <w:szCs w:val="22"/>
        </w:rPr>
        <w:t xml:space="preserve">Create an ‘AI Sandbox’ — safe, approved space for experimentation. Good intermediate step. An AI sandbox acknowledges that experimentation is valuable while creating a governed environment for it. The risk is that a sandbox can feel like a playpen — a constrained, infantilising alternative to the freedom of personal tools. It works only if the sandbox genuinely offers comparable capability to what people are using independently.</w:t>
      </w:r>
    </w:p>
    <w:p>
      <w:pPr>
        <w:spacing w:before="80"/>
      </w:pPr>
    </w:p>
    <w:p>
      <w:pPr>
        <w:spacing w:after="120" w:line="276"/>
      </w:pPr>
      <w:r>
        <w:rPr>
          <w:rFonts w:ascii="Arial" w:cs="Arial" w:eastAsia="Arial" w:hAnsi="Arial"/>
          <w:b/>
          <w:bCs/>
          <w:sz w:val="22"/>
          <w:szCs w:val="22"/>
        </w:rPr>
        <w:t xml:space="preserve">Recommendation: </w:t>
      </w:r>
      <w:r>
        <w:rPr>
          <w:rFonts w:ascii="Arial" w:cs="Arial" w:eastAsia="Arial" w:hAnsi="Arial"/>
          <w:sz w:val="22"/>
          <w:szCs w:val="22"/>
        </w:rPr>
        <w:t xml:space="preserve">Sequence: B first (understand the use cases), then C (build a governed sandbox that addresses them), with A as the final enforcement step only after viable alternatives are in place. This approach converts shadow AI from a compliance problem into an adoption signal. The 40% who adopted personal AI tools are your most motivated users — the exact population you want engaged in the transformation. Punishing them (A) is strategic self-harm.</w:t>
      </w:r>
    </w:p>
    <w:p>
      <w:pPr>
        <w:spacing w:after="120" w:line="276"/>
      </w:pPr>
      <w:r>
        <w:rPr>
          <w:rFonts w:ascii="Arial" w:cs="Arial" w:eastAsia="Arial" w:hAnsi="Arial"/>
          <w:b/>
          <w:bCs/>
          <w:sz w:val="22"/>
          <w:szCs w:val="22"/>
        </w:rPr>
        <w:t xml:space="preserve">Conditional Override: </w:t>
      </w:r>
      <w:r>
        <w:rPr>
          <w:rFonts w:ascii="Arial" w:cs="Arial" w:eastAsia="Arial" w:hAnsi="Arial"/>
          <w:sz w:val="22"/>
          <w:szCs w:val="22"/>
        </w:rPr>
        <w:t xml:space="preserve">If the shadow AI usage has already caused a data breach or regulatory violation, Option A becomes the necessary immediate response, followed by B and C. You can’t leave the door open to unapproved tools while remediating an active security incident. But even in this case, frame the block as ‘temporary while we build better alternatives’ rather than ‘permanent lockdown.’</w:t>
      </w:r>
    </w:p>
    <w:p>
      <w:pPr>
        <w:spacing w:after="120" w:line="276"/>
      </w:pPr>
      <w:r>
        <w:rPr>
          <w:rFonts w:ascii="Arial" w:cs="Arial" w:eastAsia="Arial" w:hAnsi="Arial"/>
          <w:b/>
          <w:bCs/>
          <w:sz w:val="22"/>
          <w:szCs w:val="22"/>
        </w:rPr>
        <w:t xml:space="preserve">Hidden Risk: </w:t>
      </w:r>
      <w:r>
        <w:rPr>
          <w:rFonts w:ascii="Arial" w:cs="Arial" w:eastAsia="Arial" w:hAnsi="Arial"/>
          <w:sz w:val="22"/>
          <w:szCs w:val="22"/>
        </w:rPr>
        <w:t xml:space="preserve">Shadow AI is the single best diagnostic of your transformation’s health. If people are bypassing your approved tools, it means your approved tools aren’t meeting their needs. The 40% figure is not a failure of compliance; it’s a failure of product-market fit for your internal AI platform. Leaders who frame it as a security problem will add restrictions. Leaders who frame it as a user experience problem will fix the root cause.</w:t>
      </w:r>
    </w:p>
    <w:p>
      <w:pPr>
        <w:spacing w:after="120" w:line="276"/>
      </w:pPr>
      <w:r>
        <w:rPr>
          <w:rFonts w:ascii="Arial" w:cs="Arial" w:eastAsia="Arial" w:hAnsi="Arial"/>
          <w:b/>
          <w:bCs/>
          <w:sz w:val="22"/>
          <w:szCs w:val="22"/>
        </w:rPr>
        <w:t xml:space="preserve">Difficulty: </w:t>
      </w:r>
      <w:r>
        <w:rPr>
          <w:rFonts w:ascii="Arial" w:cs="Arial" w:eastAsia="Arial" w:hAnsi="Arial"/>
          <w:sz w:val="22"/>
          <w:szCs w:val="22"/>
        </w:rPr>
        <w:t xml:space="preserve">5/5 — Maximum difficulty. This requires resisting the immediate compliance instinct, conducting rapid user research while maintaining security posture, building new capabilities under time pressure, and managing the political fallout from the discovery itself. It’s the scenario where the transformation leader’s philosophy is most visible.</w:t>
      </w:r>
    </w:p>
    <w:p>
      <w:pPr>
        <w:spacing w:before="120" w:after="120"/>
      </w:pPr>
      <w:r>
        <w:rPr>
          <w:rFonts w:ascii="Arial" w:cs="Arial" w:eastAsia="Arial" w:hAnsi="Arial"/>
          <w:color w:val="2E7D8C"/>
          <w:sz w:val="14"/>
          <w:szCs w:val="14"/>
        </w:rPr>
        <w:t xml:space="preserve">────────────────────────────────────────────────────────────────────────────────</w:t>
      </w:r>
    </w:p>
    <w:p>
      <w:pPr>
        <w:pStyle w:val="Heading2"/>
        <w:spacing w:before="120" w:after="80"/>
      </w:pPr>
      <w:r>
        <w:t xml:space="preserve">Scenario 18: Governance Model</w:t>
      </w:r>
    </w:p>
    <w:p>
      <w:pPr>
        <w:spacing w:after="120" w:line="276"/>
      </w:pPr>
      <w:r>
        <w:rPr>
          <w:rFonts w:ascii="Arial" w:cs="Arial" w:eastAsia="Arial" w:hAnsi="Arial"/>
          <w:b/>
          <w:bCs/>
          <w:sz w:val="22"/>
          <w:szCs w:val="22"/>
        </w:rPr>
        <w:t xml:space="preserve">Phase: </w:t>
      </w:r>
      <w:r>
        <w:rPr>
          <w:rFonts w:ascii="Arial" w:cs="Arial" w:eastAsia="Arial" w:hAnsi="Arial"/>
          <w:sz w:val="22"/>
          <w:szCs w:val="22"/>
        </w:rPr>
        <w:t xml:space="preserve">Embed</w:t>
      </w:r>
    </w:p>
    <w:p>
      <w:pPr>
        <w:spacing w:after="120" w:line="276"/>
      </w:pPr>
      <w:r>
        <w:rPr>
          <w:rFonts w:ascii="Arial" w:cs="Arial" w:eastAsia="Arial" w:hAnsi="Arial"/>
          <w:b/>
          <w:bCs/>
          <w:sz w:val="22"/>
          <w:szCs w:val="22"/>
        </w:rPr>
        <w:t xml:space="preserve">Context: </w:t>
      </w:r>
      <w:r>
        <w:rPr>
          <w:rFonts w:ascii="Arial" w:cs="Arial" w:eastAsia="Arial" w:hAnsi="Arial"/>
          <w:sz w:val="22"/>
          <w:szCs w:val="22"/>
        </w:rPr>
        <w:t xml:space="preserve">AI usage has matured enough for formal governance. What structure do you propose?</w:t>
      </w:r>
    </w:p>
    <w:p>
      <w:pPr>
        <w:spacing w:before="80"/>
      </w:pPr>
    </w:p>
    <w:p>
      <w:pPr>
        <w:pStyle w:val="Heading3"/>
        <w:spacing w:before="120" w:after="80"/>
      </w:pPr>
      <w:r>
        <w:t xml:space="preserve">Option Analysis</w:t>
      </w:r>
    </w:p>
    <w:p>
      <w:pPr>
        <w:spacing w:after="120" w:line="276"/>
      </w:pPr>
      <w:r>
        <w:rPr>
          <w:rFonts w:ascii="Arial" w:cs="Arial" w:eastAsia="Arial" w:hAnsi="Arial"/>
          <w:b/>
          <w:bCs/>
          <w:sz w:val="22"/>
          <w:szCs w:val="22"/>
        </w:rPr>
        <w:t xml:space="preserve">Option A: </w:t>
      </w:r>
      <w:r>
        <w:rPr>
          <w:rFonts w:ascii="Arial" w:cs="Arial" w:eastAsia="Arial" w:hAnsi="Arial"/>
          <w:sz w:val="22"/>
          <w:szCs w:val="22"/>
        </w:rPr>
        <w:t xml:space="preserve">Centralised AI Centre of Excellence under the CTO. Creates clear accountability and technical expertise concentration. Works well for standards, infrastructure, and vendor management. Fails at adoption because a centralised team becomes a bottleneck. Departments submit requests, wait in queues, and experience AI as something that is ‘done to them’ by central IT. This model is appropriate for the first 6–12 months when you need to establish foundations, but becomes a constraint at the embed phase.</w:t>
      </w:r>
    </w:p>
    <w:p>
      <w:pPr>
        <w:spacing w:after="120" w:line="276"/>
      </w:pPr>
      <w:r>
        <w:rPr>
          <w:rFonts w:ascii="Arial" w:cs="Arial" w:eastAsia="Arial" w:hAnsi="Arial"/>
          <w:b/>
          <w:bCs/>
          <w:sz w:val="22"/>
          <w:szCs w:val="22"/>
        </w:rPr>
        <w:t xml:space="preserve">Option B: </w:t>
      </w:r>
      <w:r>
        <w:rPr>
          <w:rFonts w:ascii="Arial" w:cs="Arial" w:eastAsia="Arial" w:hAnsi="Arial"/>
          <w:sz w:val="22"/>
          <w:szCs w:val="22"/>
        </w:rPr>
        <w:t xml:space="preserve">Federated model — AI leads per department with a coordination council. The mature-stage answer. Each department has an AI lead who understands that department’s workflows, culture, and priorities. The coordination council ensures consistency, prevents duplication, shares best practices, and manages enterprise-level decisions (vendor relationships, security standards, data governance). This model scales because it distributes ownership while maintaining coherence.</w:t>
      </w:r>
    </w:p>
    <w:p>
      <w:pPr>
        <w:spacing w:after="120" w:line="276"/>
      </w:pPr>
      <w:r>
        <w:rPr>
          <w:rFonts w:ascii="Arial" w:cs="Arial" w:eastAsia="Arial" w:hAnsi="Arial"/>
          <w:b/>
          <w:bCs/>
          <w:sz w:val="22"/>
          <w:szCs w:val="22"/>
        </w:rPr>
        <w:t xml:space="preserve">Option C: </w:t>
      </w:r>
      <w:r>
        <w:rPr>
          <w:rFonts w:ascii="Arial" w:cs="Arial" w:eastAsia="Arial" w:hAnsi="Arial"/>
          <w:sz w:val="22"/>
          <w:szCs w:val="22"/>
        </w:rPr>
        <w:t xml:space="preserve">Minimal governance — trust teams within broad guidelines. Libertarian approach. It works in small, highly capable, high-trust organisations (startups, research labs). In an enterprise, it produces inconsistency, duplication, shadow AI (again), and no institutional learning. It also fails the first time a governance-related incident occurs and nobody is clearly accountable.</w:t>
      </w:r>
    </w:p>
    <w:p>
      <w:pPr>
        <w:spacing w:before="80"/>
      </w:pPr>
    </w:p>
    <w:p>
      <w:pPr>
        <w:spacing w:after="120" w:line="276"/>
      </w:pPr>
      <w:r>
        <w:rPr>
          <w:rFonts w:ascii="Arial" w:cs="Arial" w:eastAsia="Arial" w:hAnsi="Arial"/>
          <w:b/>
          <w:bCs/>
          <w:sz w:val="22"/>
          <w:szCs w:val="22"/>
        </w:rPr>
        <w:t xml:space="preserve">Recommendation: </w:t>
      </w:r>
      <w:r>
        <w:rPr>
          <w:rFonts w:ascii="Arial" w:cs="Arial" w:eastAsia="Arial" w:hAnsi="Arial"/>
          <w:sz w:val="22"/>
          <w:szCs w:val="22"/>
        </w:rPr>
        <w:t xml:space="preserve">Option B. Federated model with clear operating principles. Define what the coordination council owns (standards, vendor relationships, data governance, audit) versus what department AI leads own (use case prioritisation, training, workflow integration, local adoption). The council should meet monthly, not weekly, and focus on decisions that genuinely require enterprise-level coordination.</w:t>
      </w:r>
    </w:p>
    <w:p>
      <w:pPr>
        <w:spacing w:after="120" w:line="276"/>
      </w:pPr>
      <w:r>
        <w:rPr>
          <w:rFonts w:ascii="Arial" w:cs="Arial" w:eastAsia="Arial" w:hAnsi="Arial"/>
          <w:b/>
          <w:bCs/>
          <w:sz w:val="22"/>
          <w:szCs w:val="22"/>
        </w:rPr>
        <w:t xml:space="preserve">Conditional Override: </w:t>
      </w:r>
      <w:r>
        <w:rPr>
          <w:rFonts w:ascii="Arial" w:cs="Arial" w:eastAsia="Arial" w:hAnsi="Arial"/>
          <w:sz w:val="22"/>
          <w:szCs w:val="22"/>
        </w:rPr>
        <w:t xml:space="preserve">If the organisation is small (under 500 people) or has very limited AI usage diversity, Option A (centralised) with a commitment to federating within 12 months can work. If the organisation has an exceptionally strong engineering culture where teams are already self-governing effectively, Option C with quarterly governance reviews is feasible.</w:t>
      </w:r>
    </w:p>
    <w:p>
      <w:pPr>
        <w:spacing w:after="120" w:line="276"/>
      </w:pPr>
      <w:r>
        <w:rPr>
          <w:rFonts w:ascii="Arial" w:cs="Arial" w:eastAsia="Arial" w:hAnsi="Arial"/>
          <w:b/>
          <w:bCs/>
          <w:sz w:val="22"/>
          <w:szCs w:val="22"/>
        </w:rPr>
        <w:t xml:space="preserve">Hidden Risk: </w:t>
      </w:r>
      <w:r>
        <w:rPr>
          <w:rFonts w:ascii="Arial" w:cs="Arial" w:eastAsia="Arial" w:hAnsi="Arial"/>
          <w:sz w:val="22"/>
          <w:szCs w:val="22"/>
        </w:rPr>
        <w:t xml:space="preserve">Governance structures that are too rigid at the embed phase will strangle innovation. Governance structures that are too loose will allow the problems that created the need for governance to recur. The hidden risk is designing governance for the current state rather than the next state. Your governance model needs to handle use cases and scale that don’t exist yet. Build in explicit mechanisms for evolution: annual governance reviews, sunset clauses on policies, and escalation paths for edge cases.</w:t>
      </w:r>
    </w:p>
    <w:p>
      <w:pPr>
        <w:spacing w:after="120" w:line="276"/>
      </w:pPr>
      <w:r>
        <w:rPr>
          <w:rFonts w:ascii="Arial" w:cs="Arial" w:eastAsia="Arial" w:hAnsi="Arial"/>
          <w:b/>
          <w:bCs/>
          <w:sz w:val="22"/>
          <w:szCs w:val="22"/>
        </w:rPr>
        <w:t xml:space="preserve">Difficulty: </w:t>
      </w:r>
      <w:r>
        <w:rPr>
          <w:rFonts w:ascii="Arial" w:cs="Arial" w:eastAsia="Arial" w:hAnsi="Arial"/>
          <w:sz w:val="22"/>
          <w:szCs w:val="22"/>
        </w:rPr>
        <w:t xml:space="preserve">3/5 — Moderate. The federated model is the obvious answer for most organisations at this stage. The difficulty is in the detail: getting the right people as department AI leads, defining the coordination council’s authority clearly, and preventing the model from collapsing into either centralised control or total fragmentation.</w:t>
      </w:r>
    </w:p>
    <w:p>
      <w:pPr>
        <w:spacing w:before="120" w:after="120"/>
      </w:pPr>
      <w:r>
        <w:rPr>
          <w:rFonts w:ascii="Arial" w:cs="Arial" w:eastAsia="Arial" w:hAnsi="Arial"/>
          <w:color w:val="2E7D8C"/>
          <w:sz w:val="14"/>
          <w:szCs w:val="14"/>
        </w:rPr>
        <w:t xml:space="preserve">────────────────────────────────────────────────────────────────────────────────</w:t>
      </w:r>
    </w:p>
    <w:p>
      <w:r>
        <w:r>
          <w:br w:type="page"/>
        </w:r>
      </w:r>
    </w:p>
    <w:p>
      <w:pPr>
        <w:pStyle w:val="Heading1"/>
        <w:spacing w:before="120" w:after="80"/>
      </w:pPr>
      <w:r>
        <w:t xml:space="preserve">PHASE 6: DELIVER (Months 16–18)</w:t>
      </w:r>
    </w:p>
    <w:p>
      <w:pPr>
        <w:pStyle w:val="Heading2"/>
        <w:spacing w:before="120" w:after="80"/>
      </w:pPr>
      <w:r>
        <w:t xml:space="preserve">Scenario 19: The Final Push</w:t>
      </w:r>
    </w:p>
    <w:p>
      <w:pPr>
        <w:spacing w:after="120" w:line="276"/>
      </w:pPr>
      <w:r>
        <w:rPr>
          <w:rFonts w:ascii="Arial" w:cs="Arial" w:eastAsia="Arial" w:hAnsi="Arial"/>
          <w:b/>
          <w:bCs/>
          <w:sz w:val="22"/>
          <w:szCs w:val="22"/>
        </w:rPr>
        <w:t xml:space="preserve">Phase: </w:t>
      </w:r>
      <w:r>
        <w:rPr>
          <w:rFonts w:ascii="Arial" w:cs="Arial" w:eastAsia="Arial" w:hAnsi="Arial"/>
          <w:sz w:val="22"/>
          <w:szCs w:val="22"/>
        </w:rPr>
        <w:t xml:space="preserve">Deliver</w:t>
      </w:r>
    </w:p>
    <w:p>
      <w:pPr>
        <w:spacing w:after="120" w:line="276"/>
      </w:pPr>
      <w:r>
        <w:rPr>
          <w:rFonts w:ascii="Arial" w:cs="Arial" w:eastAsia="Arial" w:hAnsi="Arial"/>
          <w:b/>
          <w:bCs/>
          <w:sz w:val="22"/>
          <w:szCs w:val="22"/>
        </w:rPr>
        <w:t xml:space="preserve">Context: </w:t>
      </w:r>
      <w:r>
        <w:rPr>
          <w:rFonts w:ascii="Arial" w:cs="Arial" w:eastAsia="Arial" w:hAnsi="Arial"/>
          <w:sz w:val="22"/>
          <w:szCs w:val="22"/>
        </w:rPr>
        <w:t xml:space="preserve">Three months to deadline. Two departments still below 30% adoption. Closing strategy needed.</w:t>
      </w:r>
    </w:p>
    <w:p>
      <w:pPr>
        <w:spacing w:before="80"/>
      </w:pPr>
    </w:p>
    <w:p>
      <w:pPr>
        <w:pStyle w:val="Heading3"/>
        <w:spacing w:before="120" w:after="80"/>
      </w:pPr>
      <w:r>
        <w:t xml:space="preserve">Option Analysis</w:t>
      </w:r>
    </w:p>
    <w:p>
      <w:pPr>
        <w:spacing w:after="120" w:line="276"/>
      </w:pPr>
      <w:r>
        <w:rPr>
          <w:rFonts w:ascii="Arial" w:cs="Arial" w:eastAsia="Arial" w:hAnsi="Arial"/>
          <w:b/>
          <w:bCs/>
          <w:sz w:val="22"/>
          <w:szCs w:val="22"/>
        </w:rPr>
        <w:t xml:space="preserve">Option A: </w:t>
      </w:r>
      <w:r>
        <w:rPr>
          <w:rFonts w:ascii="Arial" w:cs="Arial" w:eastAsia="Arial" w:hAnsi="Arial"/>
          <w:sz w:val="22"/>
          <w:szCs w:val="22"/>
        </w:rPr>
        <w:t xml:space="preserve">Intensive support blitz — dedicated AI coaches in lagging departments. The right tactical move. Embedded coaches can diagnose the specific barriers in each department (which will be different) and provide hands-on, contextual support. This is the most resource-intensive option but the most likely to produce genuine adoption improvement. The key is that coaches must be embedded (sitting with the team daily), not visiting (dropping in for training sessions).</w:t>
      </w:r>
    </w:p>
    <w:p>
      <w:pPr>
        <w:spacing w:after="120" w:line="276"/>
      </w:pPr>
      <w:r>
        <w:rPr>
          <w:rFonts w:ascii="Arial" w:cs="Arial" w:eastAsia="Arial" w:hAnsi="Arial"/>
          <w:b/>
          <w:bCs/>
          <w:sz w:val="22"/>
          <w:szCs w:val="22"/>
        </w:rPr>
        <w:t xml:space="preserve">Option B: </w:t>
      </w:r>
      <w:r>
        <w:rPr>
          <w:rFonts w:ascii="Arial" w:cs="Arial" w:eastAsia="Arial" w:hAnsi="Arial"/>
          <w:sz w:val="22"/>
          <w:szCs w:val="22"/>
        </w:rPr>
        <w:t xml:space="preserve">Redefine success — focus reporting on high-performing departments. Tempting political manoeuvre. You’re essentially gerrymandering your success metrics. Smart boards and CFOs will see through this immediately. Even if you survive the board presentation, you’ve left two departments un-transformed, which creates a permanent adoption gap that will undermine the programme’s long-term success.</w:t>
      </w:r>
    </w:p>
    <w:p>
      <w:pPr>
        <w:spacing w:after="120" w:line="276"/>
      </w:pPr>
      <w:r>
        <w:rPr>
          <w:rFonts w:ascii="Arial" w:cs="Arial" w:eastAsia="Arial" w:hAnsi="Arial"/>
          <w:b/>
          <w:bCs/>
          <w:sz w:val="22"/>
          <w:szCs w:val="22"/>
        </w:rPr>
        <w:t xml:space="preserve">Option C: </w:t>
      </w:r>
      <w:r>
        <w:rPr>
          <w:rFonts w:ascii="Arial" w:cs="Arial" w:eastAsia="Arial" w:hAnsi="Arial"/>
          <w:sz w:val="22"/>
          <w:szCs w:val="22"/>
        </w:rPr>
        <w:t xml:space="preserve">Make AI proficiency part of the next performance review cycle. A long-term structural solution that doesn’t solve the immediate 3-month problem. Performance reviews cycle annually; you need adoption gains in 90 days. However, announcing this change now sends a signal that AI proficiency is a career expectation, which can accelerate short-term adoption among people who care about their reviews. It’s a complement to A, not a replacement.</w:t>
      </w:r>
    </w:p>
    <w:p>
      <w:pPr>
        <w:spacing w:before="80"/>
      </w:pPr>
    </w:p>
    <w:p>
      <w:pPr>
        <w:spacing w:after="120" w:line="276"/>
      </w:pPr>
      <w:r>
        <w:rPr>
          <w:rFonts w:ascii="Arial" w:cs="Arial" w:eastAsia="Arial" w:hAnsi="Arial"/>
          <w:b/>
          <w:bCs/>
          <w:sz w:val="22"/>
          <w:szCs w:val="22"/>
        </w:rPr>
        <w:t xml:space="preserve">Recommendation: </w:t>
      </w:r>
      <w:r>
        <w:rPr>
          <w:rFonts w:ascii="Arial" w:cs="Arial" w:eastAsia="Arial" w:hAnsi="Arial"/>
          <w:sz w:val="22"/>
          <w:szCs w:val="22"/>
        </w:rPr>
        <w:t xml:space="preserve">Option A as the primary intervention, with C announced in parallel as a structural signal. Deploy embedded coaches to the lagging departments immediately. Simultaneously announce that AI proficiency will be included in the next performance review cycle for all departments. The coaching provides immediate support; the performance signal provides long-term incentive. Together, they address both the capability gap and the motivation gap.</w:t>
      </w:r>
    </w:p>
    <w:p>
      <w:pPr>
        <w:spacing w:after="120" w:line="276"/>
      </w:pPr>
      <w:r>
        <w:rPr>
          <w:rFonts w:ascii="Arial" w:cs="Arial" w:eastAsia="Arial" w:hAnsi="Arial"/>
          <w:b/>
          <w:bCs/>
          <w:sz w:val="22"/>
          <w:szCs w:val="22"/>
        </w:rPr>
        <w:t xml:space="preserve">Conditional Override: </w:t>
      </w:r>
      <w:r>
        <w:rPr>
          <w:rFonts w:ascii="Arial" w:cs="Arial" w:eastAsia="Arial" w:hAnsi="Arial"/>
          <w:sz w:val="22"/>
          <w:szCs w:val="22"/>
        </w:rPr>
        <w:t xml:space="preserve">If the two lagging departments have fundamentally different workflows that AI tools genuinely don’t serve well (not resistance but genuine misfit), a modified version of B becomes appropriate: acknowledge that not all departments will reach the same adoption level and redefine success metrics by department based on the realistic potential. This is different from cherry-picking; it’s honest scoping.</w:t>
      </w:r>
    </w:p>
    <w:p>
      <w:pPr>
        <w:spacing w:after="120" w:line="276"/>
      </w:pPr>
      <w:r>
        <w:rPr>
          <w:rFonts w:ascii="Arial" w:cs="Arial" w:eastAsia="Arial" w:hAnsi="Arial"/>
          <w:b/>
          <w:bCs/>
          <w:sz w:val="22"/>
          <w:szCs w:val="22"/>
        </w:rPr>
        <w:t xml:space="preserve">Hidden Risk: </w:t>
      </w:r>
      <w:r>
        <w:rPr>
          <w:rFonts w:ascii="Arial" w:cs="Arial" w:eastAsia="Arial" w:hAnsi="Arial"/>
          <w:sz w:val="22"/>
          <w:szCs w:val="22"/>
        </w:rPr>
        <w:t xml:space="preserve">The reason departments are below 30% at month 16 is almost never ‘they haven’t been trained.’ It’s almost always one of three things: leadership in that department isn’t bought in, the AI tools don’t fit their specific workflows, or there is an unresolved cultural barrier. The coaching blitz will only work if the coaches are empowered to diagnose and escalate these root causes, not just deliver more training.</w:t>
      </w:r>
    </w:p>
    <w:p>
      <w:pPr>
        <w:spacing w:after="120" w:line="276"/>
      </w:pPr>
      <w:r>
        <w:rPr>
          <w:rFonts w:ascii="Arial" w:cs="Arial" w:eastAsia="Arial" w:hAnsi="Arial"/>
          <w:b/>
          <w:bCs/>
          <w:sz w:val="22"/>
          <w:szCs w:val="22"/>
        </w:rPr>
        <w:t xml:space="preserve">Difficulty: </w:t>
      </w:r>
      <w:r>
        <w:rPr>
          <w:rFonts w:ascii="Arial" w:cs="Arial" w:eastAsia="Arial" w:hAnsi="Arial"/>
          <w:sz w:val="22"/>
          <w:szCs w:val="22"/>
        </w:rPr>
        <w:t xml:space="preserve">3/5 — Moderate. The right answer is clear but execution is demanding: finding qualified coaches, negotiating access to resistant departments, and producing measurable results in 90 days requires significant operational capacity.</w:t>
      </w:r>
    </w:p>
    <w:p>
      <w:pPr>
        <w:spacing w:before="120" w:after="120"/>
      </w:pPr>
      <w:r>
        <w:rPr>
          <w:rFonts w:ascii="Arial" w:cs="Arial" w:eastAsia="Arial" w:hAnsi="Arial"/>
          <w:color w:val="2E7D8C"/>
          <w:sz w:val="14"/>
          <w:szCs w:val="14"/>
        </w:rPr>
        <w:t xml:space="preserve">────────────────────────────────────────────────────────────────────────────────</w:t>
      </w:r>
    </w:p>
    <w:p>
      <w:pPr>
        <w:pStyle w:val="Heading2"/>
        <w:spacing w:before="120" w:after="80"/>
      </w:pPr>
      <w:r>
        <w:t xml:space="preserve">Scenario 20: Succession Planning</w:t>
      </w:r>
    </w:p>
    <w:p>
      <w:pPr>
        <w:spacing w:after="120" w:line="276"/>
      </w:pPr>
      <w:r>
        <w:rPr>
          <w:rFonts w:ascii="Arial" w:cs="Arial" w:eastAsia="Arial" w:hAnsi="Arial"/>
          <w:b/>
          <w:bCs/>
          <w:sz w:val="22"/>
          <w:szCs w:val="22"/>
        </w:rPr>
        <w:t xml:space="preserve">Phase: </w:t>
      </w:r>
      <w:r>
        <w:rPr>
          <w:rFonts w:ascii="Arial" w:cs="Arial" w:eastAsia="Arial" w:hAnsi="Arial"/>
          <w:sz w:val="22"/>
          <w:szCs w:val="22"/>
        </w:rPr>
        <w:t xml:space="preserve">Deliver</w:t>
      </w:r>
    </w:p>
    <w:p>
      <w:pPr>
        <w:spacing w:after="120" w:line="276"/>
      </w:pPr>
      <w:r>
        <w:rPr>
          <w:rFonts w:ascii="Arial" w:cs="Arial" w:eastAsia="Arial" w:hAnsi="Arial"/>
          <w:b/>
          <w:bCs/>
          <w:sz w:val="22"/>
          <w:szCs w:val="22"/>
        </w:rPr>
        <w:t xml:space="preserve">Context: </w:t>
      </w:r>
      <w:r>
        <w:rPr>
          <w:rFonts w:ascii="Arial" w:cs="Arial" w:eastAsia="Arial" w:hAnsi="Arial"/>
          <w:sz w:val="22"/>
          <w:szCs w:val="22"/>
        </w:rPr>
        <w:t xml:space="preserve">Your transformation role was temporary. The board asks what happens after you leave.</w:t>
      </w:r>
    </w:p>
    <w:p>
      <w:pPr>
        <w:spacing w:before="80"/>
      </w:pPr>
    </w:p>
    <w:p>
      <w:pPr>
        <w:pStyle w:val="Heading3"/>
        <w:spacing w:before="120" w:after="80"/>
      </w:pPr>
      <w:r>
        <w:t xml:space="preserve">Option Analysis</w:t>
      </w:r>
    </w:p>
    <w:p>
      <w:pPr>
        <w:spacing w:after="120" w:line="276"/>
      </w:pPr>
      <w:r>
        <w:rPr>
          <w:rFonts w:ascii="Arial" w:cs="Arial" w:eastAsia="Arial" w:hAnsi="Arial"/>
          <w:b/>
          <w:bCs/>
          <w:sz w:val="22"/>
          <w:szCs w:val="22"/>
        </w:rPr>
        <w:t xml:space="preserve">Option A: </w:t>
      </w:r>
      <w:r>
        <w:rPr>
          <w:rFonts w:ascii="Arial" w:cs="Arial" w:eastAsia="Arial" w:hAnsi="Arial"/>
          <w:sz w:val="22"/>
          <w:szCs w:val="22"/>
        </w:rPr>
        <w:t xml:space="preserve">Propose a permanent Chief AI Officer role and recommend a successor. Creates clear accountability and signals long-term commitment. The risk is that a CAIO becomes a single point of failure and a political target. If the CAIO is not sufficiently senior (reporting to the CEO or at minimum the COO), the role will be marginalised. If they’re too senior, other leaders may feel their territory is being encroached. The role also risks perpetuating the idea that AI is a separate function rather than an embedded capability.</w:t>
      </w:r>
    </w:p>
    <w:p>
      <w:pPr>
        <w:spacing w:after="120" w:line="276"/>
      </w:pPr>
      <w:r>
        <w:rPr>
          <w:rFonts w:ascii="Arial" w:cs="Arial" w:eastAsia="Arial" w:hAnsi="Arial"/>
          <w:b/>
          <w:bCs/>
          <w:sz w:val="22"/>
          <w:szCs w:val="22"/>
        </w:rPr>
        <w:t xml:space="preserve">Option B: </w:t>
      </w:r>
      <w:r>
        <w:rPr>
          <w:rFonts w:ascii="Arial" w:cs="Arial" w:eastAsia="Arial" w:hAnsi="Arial"/>
          <w:sz w:val="22"/>
          <w:szCs w:val="22"/>
        </w:rPr>
        <w:t xml:space="preserve">Distribute AI leadership across existing department heads. Makes AI ‘everyone’s job,’ which is the ultimate end state. But if you distribute too early, before the capability and culture are self-sustaining, it becomes ‘nobody’s job.’ Department heads already have full portfolios; adding AI leadership without removing something else ensures it gets deprioritised. This works only if the federated governance model (Scenario 18) is already functioning well.</w:t>
      </w:r>
    </w:p>
    <w:p>
      <w:pPr>
        <w:spacing w:after="120" w:line="276"/>
      </w:pPr>
      <w:r>
        <w:rPr>
          <w:rFonts w:ascii="Arial" w:cs="Arial" w:eastAsia="Arial" w:hAnsi="Arial"/>
          <w:b/>
          <w:bCs/>
          <w:sz w:val="22"/>
          <w:szCs w:val="22"/>
        </w:rPr>
        <w:t xml:space="preserve">Option C: </w:t>
      </w:r>
      <w:r>
        <w:rPr>
          <w:rFonts w:ascii="Arial" w:cs="Arial" w:eastAsia="Arial" w:hAnsi="Arial"/>
          <w:sz w:val="22"/>
          <w:szCs w:val="22"/>
        </w:rPr>
        <w:t xml:space="preserve">Build a self-sustaining community of practice that operates bottom-up. The most resilient structure because it doesn’t depend on any single role, budget, or sponsor. Communities of practice survive leadership changes, restructures, and budget cuts because they’re driven by practitioner energy. The risk is that without executive sponsorship, the community loses influence and becomes a social club rather than a capability engine.</w:t>
      </w:r>
    </w:p>
    <w:p>
      <w:pPr>
        <w:spacing w:before="80"/>
      </w:pPr>
    </w:p>
    <w:p>
      <w:pPr>
        <w:spacing w:after="120" w:line="276"/>
      </w:pPr>
      <w:r>
        <w:rPr>
          <w:rFonts w:ascii="Arial" w:cs="Arial" w:eastAsia="Arial" w:hAnsi="Arial"/>
          <w:b/>
          <w:bCs/>
          <w:sz w:val="22"/>
          <w:szCs w:val="22"/>
        </w:rPr>
        <w:t xml:space="preserve">Recommendation: </w:t>
      </w:r>
      <w:r>
        <w:rPr>
          <w:rFonts w:ascii="Arial" w:cs="Arial" w:eastAsia="Arial" w:hAnsi="Arial"/>
          <w:sz w:val="22"/>
          <w:szCs w:val="22"/>
        </w:rPr>
        <w:t xml:space="preserve">The answer is a layered approach: Option A for the next 12–24 months (a CAIO or equivalent senior role to protect and advance the transformation), transitioning toward B (distributed ownership) over 24–36 months, supported by C (community of practice) as the permanent, resilient layer. The succession plan isn’t a single structure; it’s a transition sequence.</w:t>
      </w:r>
    </w:p>
    <w:p>
      <w:pPr>
        <w:spacing w:after="120" w:line="276"/>
      </w:pPr>
      <w:r>
        <w:rPr>
          <w:rFonts w:ascii="Arial" w:cs="Arial" w:eastAsia="Arial" w:hAnsi="Arial"/>
          <w:b/>
          <w:bCs/>
          <w:sz w:val="22"/>
          <w:szCs w:val="22"/>
        </w:rPr>
        <w:t xml:space="preserve">Conditional Override: </w:t>
      </w:r>
      <w:r>
        <w:rPr>
          <w:rFonts w:ascii="Arial" w:cs="Arial" w:eastAsia="Arial" w:hAnsi="Arial"/>
          <w:sz w:val="22"/>
          <w:szCs w:val="22"/>
        </w:rPr>
        <w:t xml:space="preserve">If the organisation is culturally resistant to new C-suite roles (some partnerships and professional services firms are), skip A and implement B with a ‘first among equals’ model: one department head with an explicit coordination mandate and a supplementary budget. If the organisation has a particularly strong guild or community culture, lead with C and supplement with light B.</w:t>
      </w:r>
    </w:p>
    <w:p>
      <w:pPr>
        <w:spacing w:after="120" w:line="276"/>
      </w:pPr>
      <w:r>
        <w:rPr>
          <w:rFonts w:ascii="Arial" w:cs="Arial" w:eastAsia="Arial" w:hAnsi="Arial"/>
          <w:b/>
          <w:bCs/>
          <w:sz w:val="22"/>
          <w:szCs w:val="22"/>
        </w:rPr>
        <w:t xml:space="preserve">Hidden Risk: </w:t>
      </w:r>
      <w:r>
        <w:rPr>
          <w:rFonts w:ascii="Arial" w:cs="Arial" w:eastAsia="Arial" w:hAnsi="Arial"/>
          <w:sz w:val="22"/>
          <w:szCs w:val="22"/>
        </w:rPr>
        <w:t xml:space="preserve">Most transformation leaders design for their successor. The best transformation leaders design for a world where no successor is needed. The hidden risk of Option A is that it creates dependency on a role rather than building capability. If the CAIO leaves or the role is eliminated, the transformation reverses. The community of practice (C) is the only structure that survives leadership disruption, which is why it needs to be a component of any succession plan.</w:t>
      </w:r>
    </w:p>
    <w:p>
      <w:pPr>
        <w:spacing w:after="120" w:line="276"/>
      </w:pPr>
      <w:r>
        <w:rPr>
          <w:rFonts w:ascii="Arial" w:cs="Arial" w:eastAsia="Arial" w:hAnsi="Arial"/>
          <w:b/>
          <w:bCs/>
          <w:sz w:val="22"/>
          <w:szCs w:val="22"/>
        </w:rPr>
        <w:t xml:space="preserve">Difficulty: </w:t>
      </w:r>
      <w:r>
        <w:rPr>
          <w:rFonts w:ascii="Arial" w:cs="Arial" w:eastAsia="Arial" w:hAnsi="Arial"/>
          <w:sz w:val="22"/>
          <w:szCs w:val="22"/>
        </w:rPr>
        <w:t xml:space="preserve">5/5 — Maximum difficulty. You’re designing for a future you won’t control, making recommendations that affect someone else’s career, and managing the political dynamics of succession in real time. This is the decision that determines whether your work outlasts your tenure.</w:t>
      </w:r>
    </w:p>
    <w:p>
      <w:pPr>
        <w:spacing w:before="120" w:after="120"/>
      </w:pPr>
      <w:r>
        <w:rPr>
          <w:rFonts w:ascii="Arial" w:cs="Arial" w:eastAsia="Arial" w:hAnsi="Arial"/>
          <w:color w:val="2E7D8C"/>
          <w:sz w:val="14"/>
          <w:szCs w:val="14"/>
        </w:rPr>
        <w:t xml:space="preserve">────────────────────────────────────────────────────────────────────────────────</w:t>
      </w:r>
    </w:p>
    <w:p>
      <w:pPr>
        <w:pStyle w:val="Heading2"/>
        <w:spacing w:before="120" w:after="80"/>
      </w:pPr>
      <w:r>
        <w:t xml:space="preserve">Scenario 21: The Board Presentation</w:t>
      </w:r>
    </w:p>
    <w:p>
      <w:pPr>
        <w:spacing w:after="120" w:line="276"/>
      </w:pPr>
      <w:r>
        <w:rPr>
          <w:rFonts w:ascii="Arial" w:cs="Arial" w:eastAsia="Arial" w:hAnsi="Arial"/>
          <w:b/>
          <w:bCs/>
          <w:sz w:val="22"/>
          <w:szCs w:val="22"/>
        </w:rPr>
        <w:t xml:space="preserve">Phase: </w:t>
      </w:r>
      <w:r>
        <w:rPr>
          <w:rFonts w:ascii="Arial" w:cs="Arial" w:eastAsia="Arial" w:hAnsi="Arial"/>
          <w:sz w:val="22"/>
          <w:szCs w:val="22"/>
        </w:rPr>
        <w:t xml:space="preserve">Deliver</w:t>
      </w:r>
    </w:p>
    <w:p>
      <w:pPr>
        <w:spacing w:after="120" w:line="276"/>
      </w:pPr>
      <w:r>
        <w:rPr>
          <w:rFonts w:ascii="Arial" w:cs="Arial" w:eastAsia="Arial" w:hAnsi="Arial"/>
          <w:b/>
          <w:bCs/>
          <w:sz w:val="22"/>
          <w:szCs w:val="22"/>
        </w:rPr>
        <w:t xml:space="preserve">Context: </w:t>
      </w:r>
      <w:r>
        <w:rPr>
          <w:rFonts w:ascii="Arial" w:cs="Arial" w:eastAsia="Arial" w:hAnsi="Arial"/>
          <w:sz w:val="22"/>
          <w:szCs w:val="22"/>
        </w:rPr>
        <w:t xml:space="preserve">Final presentation to the board. You need to frame 18 months of transformation work.</w:t>
      </w:r>
    </w:p>
    <w:p>
      <w:pPr>
        <w:spacing w:before="80"/>
      </w:pPr>
    </w:p>
    <w:p>
      <w:pPr>
        <w:pStyle w:val="Heading3"/>
        <w:spacing w:before="120" w:after="80"/>
      </w:pPr>
      <w:r>
        <w:t xml:space="preserve">Option Analysis</w:t>
      </w:r>
    </w:p>
    <w:p>
      <w:pPr>
        <w:spacing w:after="120" w:line="276"/>
      </w:pPr>
      <w:r>
        <w:rPr>
          <w:rFonts w:ascii="Arial" w:cs="Arial" w:eastAsia="Arial" w:hAnsi="Arial"/>
          <w:b/>
          <w:bCs/>
          <w:sz w:val="22"/>
          <w:szCs w:val="22"/>
        </w:rPr>
        <w:t xml:space="preserve">Option A: </w:t>
      </w:r>
      <w:r>
        <w:rPr>
          <w:rFonts w:ascii="Arial" w:cs="Arial" w:eastAsia="Arial" w:hAnsi="Arial"/>
          <w:sz w:val="22"/>
          <w:szCs w:val="22"/>
        </w:rPr>
        <w:t xml:space="preserve">‘We built a foundation for the next decade of competitive advantage.’ Forward-looking and strategic. Appeals to boards that think in terms of long-term positioning and market differentiation. The risk is that it sounds like you’re deflecting from current results by pointing to the future. Without concrete numbers to anchor the claim, this framing feels aspirational rather than accomplished.</w:t>
      </w:r>
    </w:p>
    <w:p>
      <w:pPr>
        <w:spacing w:after="120" w:line="276"/>
      </w:pPr>
      <w:r>
        <w:rPr>
          <w:rFonts w:ascii="Arial" w:cs="Arial" w:eastAsia="Arial" w:hAnsi="Arial"/>
          <w:b/>
          <w:bCs/>
          <w:sz w:val="22"/>
          <w:szCs w:val="22"/>
        </w:rPr>
        <w:t xml:space="preserve">Option B: </w:t>
      </w:r>
      <w:r>
        <w:rPr>
          <w:rFonts w:ascii="Arial" w:cs="Arial" w:eastAsia="Arial" w:hAnsi="Arial"/>
          <w:sz w:val="22"/>
          <w:szCs w:val="22"/>
        </w:rPr>
        <w:t xml:space="preserve">‘Here are the numbers: X% adoption, Y hours saved, Z% cost reduction.’ The CFO’s dream presentation. Hard metrics are undeniable and demonstrate accountability. The risk is that numbers without narrative are just a dashboard. The board can read a dashboard; they brought you in to tell them what the numbers mean. Leading with metrics also invites line-by-line interrogation, where every number becomes a debate rather than part of a coherent story.</w:t>
      </w:r>
    </w:p>
    <w:p>
      <w:pPr>
        <w:spacing w:after="120" w:line="276"/>
      </w:pPr>
      <w:r>
        <w:rPr>
          <w:rFonts w:ascii="Arial" w:cs="Arial" w:eastAsia="Arial" w:hAnsi="Arial"/>
          <w:b/>
          <w:bCs/>
          <w:sz w:val="22"/>
          <w:szCs w:val="22"/>
        </w:rPr>
        <w:t xml:space="preserve">Option C: </w:t>
      </w:r>
      <w:r>
        <w:rPr>
          <w:rFonts w:ascii="Arial" w:cs="Arial" w:eastAsia="Arial" w:hAnsi="Arial"/>
          <w:sz w:val="22"/>
          <w:szCs w:val="22"/>
        </w:rPr>
        <w:t xml:space="preserve">‘Our people transformed, and the technology followed.’ The most sophisticated framing because it names the real achievement: cultural change. Technology deployment is easy; changing how an organisation thinks and works is the hard part. This framing also positions the transformation as durable (people don’t revert the way technology can be switched off) and human-centred (which resonates with boards increasingly concerned about AI’s human impact).</w:t>
      </w:r>
    </w:p>
    <w:p>
      <w:pPr>
        <w:spacing w:before="80"/>
      </w:pPr>
    </w:p>
    <w:p>
      <w:pPr>
        <w:spacing w:after="120" w:line="276"/>
      </w:pPr>
      <w:r>
        <w:rPr>
          <w:rFonts w:ascii="Arial" w:cs="Arial" w:eastAsia="Arial" w:hAnsi="Arial"/>
          <w:b/>
          <w:bCs/>
          <w:sz w:val="22"/>
          <w:szCs w:val="22"/>
        </w:rPr>
        <w:t xml:space="preserve">Recommendation: </w:t>
      </w:r>
      <w:r>
        <w:rPr>
          <w:rFonts w:ascii="Arial" w:cs="Arial" w:eastAsia="Arial" w:hAnsi="Arial"/>
          <w:sz w:val="22"/>
          <w:szCs w:val="22"/>
        </w:rPr>
        <w:t xml:space="preserve">Lead with C, support with B, close with A. The narrative arc should be: (1) We transformed how our people work — here is what changed culturally and operationally. (2) Here are the numbers that prove it — adoption, efficiency, quality, revenue impact. (3) This positions us for the next decade — here is the competitive advantage we’ve built and the roadmap ahead. This sequence is compelling because it starts with the hardest thing (culture), proves it with evidence (numbers), and points forward (strategy).</w:t>
      </w:r>
    </w:p>
    <w:p>
      <w:pPr>
        <w:spacing w:after="120" w:line="276"/>
      </w:pPr>
      <w:r>
        <w:rPr>
          <w:rFonts w:ascii="Arial" w:cs="Arial" w:eastAsia="Arial" w:hAnsi="Arial"/>
          <w:b/>
          <w:bCs/>
          <w:sz w:val="22"/>
          <w:szCs w:val="22"/>
        </w:rPr>
        <w:t xml:space="preserve">Conditional Override: </w:t>
      </w:r>
      <w:r>
        <w:rPr>
          <w:rFonts w:ascii="Arial" w:cs="Arial" w:eastAsia="Arial" w:hAnsi="Arial"/>
          <w:sz w:val="22"/>
          <w:szCs w:val="22"/>
        </w:rPr>
        <w:t xml:space="preserve">If the board is highly metrics-driven (private equity-backed, cost-focused), lead with B and weave C and A into the supporting narrative. If the board is facing an immediate competitive threat (Scenario 16), lead with A and use B and C to substantiate the claim. Match the lead to the board’s primary anxiety.</w:t>
      </w:r>
    </w:p>
    <w:p>
      <w:pPr>
        <w:spacing w:after="120" w:line="276"/>
      </w:pPr>
      <w:r>
        <w:rPr>
          <w:rFonts w:ascii="Arial" w:cs="Arial" w:eastAsia="Arial" w:hAnsi="Arial"/>
          <w:b/>
          <w:bCs/>
          <w:sz w:val="22"/>
          <w:szCs w:val="22"/>
        </w:rPr>
        <w:t xml:space="preserve">Hidden Risk: </w:t>
      </w:r>
      <w:r>
        <w:rPr>
          <w:rFonts w:ascii="Arial" w:cs="Arial" w:eastAsia="Arial" w:hAnsi="Arial"/>
          <w:sz w:val="22"/>
          <w:szCs w:val="22"/>
        </w:rPr>
        <w:t xml:space="preserve">The final presentation is not really about the past 18 months. It’s about the next 18. The board is using this presentation to decide whether to continue investing, expand scope, or wind down the programme. Every element of your presentation should serve that decision. The hidden risk is treating this as a retrospective when the board is making a prospective decision. The best final presentations spend 40% on what was achieved and 60% on what comes next.</w:t>
      </w:r>
    </w:p>
    <w:p>
      <w:pPr>
        <w:spacing w:after="120" w:line="276"/>
      </w:pPr>
      <w:r>
        <w:rPr>
          <w:rFonts w:ascii="Arial" w:cs="Arial" w:eastAsia="Arial" w:hAnsi="Arial"/>
          <w:b/>
          <w:bCs/>
          <w:sz w:val="22"/>
          <w:szCs w:val="22"/>
        </w:rPr>
        <w:t xml:space="preserve">Difficulty: </w:t>
      </w:r>
      <w:r>
        <w:rPr>
          <w:rFonts w:ascii="Arial" w:cs="Arial" w:eastAsia="Arial" w:hAnsi="Arial"/>
          <w:sz w:val="22"/>
          <w:szCs w:val="22"/>
        </w:rPr>
        <w:t xml:space="preserve">2/5 — Low-moderate. By this point, either you have the results or you don’t. The presentation itself is just packaging. The difficulty is emotional: this is your final impression, and the temptation to oversell or get defensive about shortcomings is real.</w:t>
      </w:r>
    </w:p>
    <w:p>
      <w:pPr>
        <w:spacing w:before="120" w:after="120"/>
      </w:pPr>
      <w:r>
        <w:rPr>
          <w:rFonts w:ascii="Arial" w:cs="Arial" w:eastAsia="Arial" w:hAnsi="Arial"/>
          <w:color w:val="2E7D8C"/>
          <w:sz w:val="14"/>
          <w:szCs w:val="14"/>
        </w:rPr>
        <w:t xml:space="preserve">────────────────────────────────────────────────────────────────────────────────</w:t>
      </w:r>
    </w:p>
    <w:p>
      <w:r>
        <w:r>
          <w:br w:type="page"/>
        </w:r>
      </w:r>
    </w:p>
    <w:p>
      <w:pPr>
        <w:pStyle w:val="Heading1"/>
        <w:spacing w:before="120" w:after="80"/>
      </w:pPr>
      <w:r>
        <w:t xml:space="preserve">MASTER STRATEGY BRIEF</w:t>
      </w:r>
    </w:p>
    <w:p>
      <w:pPr>
        <w:pStyle w:val="Heading2"/>
        <w:spacing w:before="120" w:after="80"/>
      </w:pPr>
      <w:r>
        <w:t xml:space="preserve">Optimal Decision Path Through All 21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Phase</w:t>
            </w:r>
          </w:p>
        </w:tc>
        <w:tc>
          <w:tcPr>
            <w:tcW w:type="dxa" w:w="37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Scenario</w:t>
            </w:r>
          </w:p>
        </w:tc>
        <w:tc>
          <w:tcPr>
            <w:tcW w:type="dxa" w:w="37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Optimal Path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Foundation</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 Mandate Meeting</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 — Phased roadmap with quick wins</w:t>
            </w:r>
          </w:p>
        </w:tc>
      </w:tr>
      <w:tr>
        <w:tc>
          <w:tcPr>
            <w:tcW w:type="dxa" w:w="1800"/>
            <w:tcBorders>
              <w:top w:val="single" w:color="CCCCCC" w:sz="1"/>
              <w:left w:val="single" w:color="CCCCCC" w:sz="1"/>
              <w:bottom w:val="single" w:color="CCCCCC" w:sz="1"/>
              <w:right w:val="single" w:color="CCCCCC" w:sz="1"/>
            </w:tcBorders>
            <w:shd w:fill="EDF3F7" w:val="clear"/>
            <w:tcMar>
              <w:top w:type="dxa" w:w="60"/>
              <w:left w:type="dxa" w:w="100"/>
              <w:bottom w:type="dxa" w:w="60"/>
              <w:right w:type="dxa" w:w="100"/>
            </w:tcMar>
          </w:tcPr>
          <w:p>
            <w:pPr>
              <w:spacing w:after="40"/>
            </w:pPr>
            <w:r>
              <w:rPr>
                <w:rFonts w:ascii="Arial" w:cs="Arial" w:eastAsia="Arial" w:hAnsi="Arial"/>
                <w:sz w:val="20"/>
                <w:szCs w:val="20"/>
              </w:rPr>
              <w:t xml:space="preserve">Foundation</w:t>
            </w:r>
          </w:p>
        </w:tc>
        <w:tc>
          <w:tcPr>
            <w:tcW w:type="dxa" w:w="3780"/>
            <w:tcBorders>
              <w:top w:val="single" w:color="CCCCCC" w:sz="1"/>
              <w:left w:val="single" w:color="CCCCCC" w:sz="1"/>
              <w:bottom w:val="single" w:color="CCCCCC" w:sz="1"/>
              <w:right w:val="single" w:color="CCCCCC" w:sz="1"/>
            </w:tcBorders>
            <w:shd w:fill="EDF3F7" w:val="clear"/>
            <w:tcMar>
              <w:top w:type="dxa" w:w="60"/>
              <w:left w:type="dxa" w:w="100"/>
              <w:bottom w:type="dxa" w:w="60"/>
              <w:right w:type="dxa" w:w="100"/>
            </w:tcMar>
          </w:tcPr>
          <w:p>
            <w:pPr>
              <w:spacing w:after="40"/>
            </w:pPr>
            <w:r>
              <w:rPr>
                <w:rFonts w:ascii="Arial" w:cs="Arial" w:eastAsia="Arial" w:hAnsi="Arial"/>
                <w:sz w:val="20"/>
                <w:szCs w:val="20"/>
              </w:rPr>
              <w:t xml:space="preserve">2. Stakeholder Resistance</w:t>
            </w:r>
          </w:p>
        </w:tc>
        <w:tc>
          <w:tcPr>
            <w:tcW w:type="dxa" w:w="3780"/>
            <w:tcBorders>
              <w:top w:val="single" w:color="CCCCCC" w:sz="1"/>
              <w:left w:val="single" w:color="CCCCCC" w:sz="1"/>
              <w:bottom w:val="single" w:color="CCCCCC" w:sz="1"/>
              <w:right w:val="single" w:color="CCCCCC" w:sz="1"/>
            </w:tcBorders>
            <w:shd w:fill="EDF3F7" w:val="clear"/>
            <w:tcMar>
              <w:top w:type="dxa" w:w="60"/>
              <w:left w:type="dxa" w:w="100"/>
              <w:bottom w:type="dxa" w:w="60"/>
              <w:right w:type="dxa" w:w="100"/>
            </w:tcMar>
          </w:tcPr>
          <w:p>
            <w:pPr>
              <w:spacing w:after="40"/>
            </w:pPr>
            <w:r>
              <w:rPr>
                <w:rFonts w:ascii="Arial" w:cs="Arial" w:eastAsia="Arial" w:hAnsi="Arial"/>
                <w:sz w:val="20"/>
                <w:szCs w:val="20"/>
              </w:rPr>
              <w:t xml:space="preserve">A — Co-leadership invitation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Foundation</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 Budget Allocation</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 — 40/35/25 split (tech/training/change)</w:t>
            </w:r>
          </w:p>
        </w:tc>
      </w:tr>
      <w:tr>
        <w:tc>
          <w:tcPr>
            <w:tcW w:type="dxa" w:w="1800"/>
            <w:tcBorders>
              <w:top w:val="single" w:color="CCCCCC" w:sz="1"/>
              <w:left w:val="single" w:color="CCCCCC" w:sz="1"/>
              <w:bottom w:val="single" w:color="CCCCCC" w:sz="1"/>
              <w:right w:val="single" w:color="CCCCCC" w:sz="1"/>
            </w:tcBorders>
            <w:shd w:fill="EDF3F7" w:val="clear"/>
            <w:tcMar>
              <w:top w:type="dxa" w:w="60"/>
              <w:left w:type="dxa" w:w="100"/>
              <w:bottom w:type="dxa" w:w="60"/>
              <w:right w:type="dxa" w:w="100"/>
            </w:tcMar>
          </w:tcPr>
          <w:p>
            <w:pPr>
              <w:spacing w:after="40"/>
            </w:pPr>
            <w:r>
              <w:rPr>
                <w:rFonts w:ascii="Arial" w:cs="Arial" w:eastAsia="Arial" w:hAnsi="Arial"/>
                <w:sz w:val="20"/>
                <w:szCs w:val="20"/>
              </w:rPr>
              <w:t xml:space="preserve">Foundation</w:t>
            </w:r>
          </w:p>
        </w:tc>
        <w:tc>
          <w:tcPr>
            <w:tcW w:type="dxa" w:w="3780"/>
            <w:tcBorders>
              <w:top w:val="single" w:color="CCCCCC" w:sz="1"/>
              <w:left w:val="single" w:color="CCCCCC" w:sz="1"/>
              <w:bottom w:val="single" w:color="CCCCCC" w:sz="1"/>
              <w:right w:val="single" w:color="CCCCCC" w:sz="1"/>
            </w:tcBorders>
            <w:shd w:fill="EDF3F7" w:val="clear"/>
            <w:tcMar>
              <w:top w:type="dxa" w:w="60"/>
              <w:left w:type="dxa" w:w="100"/>
              <w:bottom w:type="dxa" w:w="60"/>
              <w:right w:type="dxa" w:w="100"/>
            </w:tcMar>
          </w:tcPr>
          <w:p>
            <w:pPr>
              <w:spacing w:after="40"/>
            </w:pPr>
            <w:r>
              <w:rPr>
                <w:rFonts w:ascii="Arial" w:cs="Arial" w:eastAsia="Arial" w:hAnsi="Arial"/>
                <w:sz w:val="20"/>
                <w:szCs w:val="20"/>
              </w:rPr>
              <w:t xml:space="preserve">4. Data Governance</w:t>
            </w:r>
          </w:p>
        </w:tc>
        <w:tc>
          <w:tcPr>
            <w:tcW w:type="dxa" w:w="3780"/>
            <w:tcBorders>
              <w:top w:val="single" w:color="CCCCCC" w:sz="1"/>
              <w:left w:val="single" w:color="CCCCCC" w:sz="1"/>
              <w:bottom w:val="single" w:color="CCCCCC" w:sz="1"/>
              <w:right w:val="single" w:color="CCCCCC" w:sz="1"/>
            </w:tcBorders>
            <w:shd w:fill="EDF3F7" w:val="clear"/>
            <w:tcMar>
              <w:top w:type="dxa" w:w="60"/>
              <w:left w:type="dxa" w:w="100"/>
              <w:bottom w:type="dxa" w:w="60"/>
              <w:right w:type="dxa" w:w="100"/>
            </w:tcMar>
          </w:tcPr>
          <w:p>
            <w:pPr>
              <w:spacing w:after="40"/>
            </w:pPr>
            <w:r>
              <w:rPr>
                <w:rFonts w:ascii="Arial" w:cs="Arial" w:eastAsia="Arial" w:hAnsi="Arial"/>
                <w:sz w:val="20"/>
                <w:szCs w:val="20"/>
              </w:rPr>
              <w:t xml:space="preserve">B — Internal data first, governance in parallel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Pilot</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5. Pilot Selection</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 — Enthusiastic team (in a respected function)</w:t>
            </w:r>
          </w:p>
        </w:tc>
      </w:tr>
      <w:tr>
        <w:tc>
          <w:tcPr>
            <w:tcW w:type="dxa" w:w="1800"/>
            <w:tcBorders>
              <w:top w:val="single" w:color="CCCCCC" w:sz="1"/>
              <w:left w:val="single" w:color="CCCCCC" w:sz="1"/>
              <w:bottom w:val="single" w:color="CCCCCC" w:sz="1"/>
              <w:right w:val="single" w:color="CCCCCC" w:sz="1"/>
            </w:tcBorders>
            <w:shd w:fill="EDF3F7" w:val="clear"/>
            <w:tcMar>
              <w:top w:type="dxa" w:w="60"/>
              <w:left w:type="dxa" w:w="100"/>
              <w:bottom w:type="dxa" w:w="60"/>
              <w:right w:type="dxa" w:w="100"/>
            </w:tcMar>
          </w:tcPr>
          <w:p>
            <w:pPr>
              <w:spacing w:after="40"/>
            </w:pPr>
            <w:r>
              <w:rPr>
                <w:rFonts w:ascii="Arial" w:cs="Arial" w:eastAsia="Arial" w:hAnsi="Arial"/>
                <w:sz w:val="20"/>
                <w:szCs w:val="20"/>
              </w:rPr>
              <w:t xml:space="preserve">Pilot</w:t>
            </w:r>
          </w:p>
        </w:tc>
        <w:tc>
          <w:tcPr>
            <w:tcW w:type="dxa" w:w="3780"/>
            <w:tcBorders>
              <w:top w:val="single" w:color="CCCCCC" w:sz="1"/>
              <w:left w:val="single" w:color="CCCCCC" w:sz="1"/>
              <w:bottom w:val="single" w:color="CCCCCC" w:sz="1"/>
              <w:right w:val="single" w:color="CCCCCC" w:sz="1"/>
            </w:tcBorders>
            <w:shd w:fill="EDF3F7" w:val="clear"/>
            <w:tcMar>
              <w:top w:type="dxa" w:w="60"/>
              <w:left w:type="dxa" w:w="100"/>
              <w:bottom w:type="dxa" w:w="60"/>
              <w:right w:type="dxa" w:w="100"/>
            </w:tcMar>
          </w:tcPr>
          <w:p>
            <w:pPr>
              <w:spacing w:after="40"/>
            </w:pPr>
            <w:r>
              <w:rPr>
                <w:rFonts w:ascii="Arial" w:cs="Arial" w:eastAsia="Arial" w:hAnsi="Arial"/>
                <w:sz w:val="20"/>
                <w:szCs w:val="20"/>
              </w:rPr>
              <w:t xml:space="preserve">6. Vendor Strategy</w:t>
            </w:r>
          </w:p>
        </w:tc>
        <w:tc>
          <w:tcPr>
            <w:tcW w:type="dxa" w:w="3780"/>
            <w:tcBorders>
              <w:top w:val="single" w:color="CCCCCC" w:sz="1"/>
              <w:left w:val="single" w:color="CCCCCC" w:sz="1"/>
              <w:bottom w:val="single" w:color="CCCCCC" w:sz="1"/>
              <w:right w:val="single" w:color="CCCCCC" w:sz="1"/>
            </w:tcBorders>
            <w:shd w:fill="EDF3F7" w:val="clear"/>
            <w:tcMar>
              <w:top w:type="dxa" w:w="60"/>
              <w:left w:type="dxa" w:w="100"/>
              <w:bottom w:type="dxa" w:w="60"/>
              <w:right w:type="dxa" w:w="100"/>
            </w:tcMar>
          </w:tcPr>
          <w:p>
            <w:pPr>
              <w:spacing w:after="40"/>
            </w:pPr>
            <w:r>
              <w:rPr>
                <w:rFonts w:ascii="Arial" w:cs="Arial" w:eastAsia="Arial" w:hAnsi="Arial"/>
                <w:sz w:val="20"/>
                <w:szCs w:val="20"/>
              </w:rPr>
              <w:t xml:space="preserve">C hybrid — Primary platform + best-of-breed supplements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Pilot</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7. Quick Win Comms</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 — Reframe as hours redirected to higher-value work</w:t>
            </w:r>
          </w:p>
        </w:tc>
      </w:tr>
      <w:tr>
        <w:tc>
          <w:tcPr>
            <w:tcW w:type="dxa" w:w="1800"/>
            <w:tcBorders>
              <w:top w:val="single" w:color="CCCCCC" w:sz="1"/>
              <w:left w:val="single" w:color="CCCCCC" w:sz="1"/>
              <w:bottom w:val="single" w:color="CCCCCC" w:sz="1"/>
              <w:right w:val="single" w:color="CCCCCC" w:sz="1"/>
            </w:tcBorders>
            <w:shd w:fill="EDF3F7" w:val="clear"/>
            <w:tcMar>
              <w:top w:type="dxa" w:w="60"/>
              <w:left w:type="dxa" w:w="100"/>
              <w:bottom w:type="dxa" w:w="60"/>
              <w:right w:type="dxa" w:w="100"/>
            </w:tcMar>
          </w:tcPr>
          <w:p>
            <w:pPr>
              <w:spacing w:after="40"/>
            </w:pPr>
            <w:r>
              <w:rPr>
                <w:rFonts w:ascii="Arial" w:cs="Arial" w:eastAsia="Arial" w:hAnsi="Arial"/>
                <w:sz w:val="20"/>
                <w:szCs w:val="20"/>
              </w:rPr>
              <w:t xml:space="preserve">Pilot</w:t>
            </w:r>
          </w:p>
        </w:tc>
        <w:tc>
          <w:tcPr>
            <w:tcW w:type="dxa" w:w="3780"/>
            <w:tcBorders>
              <w:top w:val="single" w:color="CCCCCC" w:sz="1"/>
              <w:left w:val="single" w:color="CCCCCC" w:sz="1"/>
              <w:bottom w:val="single" w:color="CCCCCC" w:sz="1"/>
              <w:right w:val="single" w:color="CCCCCC" w:sz="1"/>
            </w:tcBorders>
            <w:shd w:fill="EDF3F7" w:val="clear"/>
            <w:tcMar>
              <w:top w:type="dxa" w:w="60"/>
              <w:left w:type="dxa" w:w="100"/>
              <w:bottom w:type="dxa" w:w="60"/>
              <w:right w:type="dxa" w:w="100"/>
            </w:tcMar>
          </w:tcPr>
          <w:p>
            <w:pPr>
              <w:spacing w:after="40"/>
            </w:pPr>
            <w:r>
              <w:rPr>
                <w:rFonts w:ascii="Arial" w:cs="Arial" w:eastAsia="Arial" w:hAnsi="Arial"/>
                <w:sz w:val="20"/>
                <w:szCs w:val="20"/>
              </w:rPr>
              <w:t xml:space="preserve">8. Training</w:t>
            </w:r>
          </w:p>
        </w:tc>
        <w:tc>
          <w:tcPr>
            <w:tcW w:type="dxa" w:w="3780"/>
            <w:tcBorders>
              <w:top w:val="single" w:color="CCCCCC" w:sz="1"/>
              <w:left w:val="single" w:color="CCCCCC" w:sz="1"/>
              <w:bottom w:val="single" w:color="CCCCCC" w:sz="1"/>
              <w:right w:val="single" w:color="CCCCCC" w:sz="1"/>
            </w:tcBorders>
            <w:shd w:fill="EDF3F7" w:val="clear"/>
            <w:tcMar>
              <w:top w:type="dxa" w:w="60"/>
              <w:left w:type="dxa" w:w="100"/>
              <w:bottom w:type="dxa" w:w="60"/>
              <w:right w:type="dxa" w:w="100"/>
            </w:tcMar>
          </w:tcPr>
          <w:p>
            <w:pPr>
              <w:spacing w:after="40"/>
            </w:pPr>
            <w:r>
              <w:rPr>
                <w:rFonts w:ascii="Arial" w:cs="Arial" w:eastAsia="Arial" w:hAnsi="Arial"/>
                <w:sz w:val="20"/>
                <w:szCs w:val="20"/>
              </w:rPr>
              <w:t xml:space="preserve">B — AI Champions programme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Scale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9. Scaling Decision</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 — Staged 3-month department rollout</w:t>
            </w:r>
          </w:p>
        </w:tc>
      </w:tr>
      <w:tr>
        <w:tc>
          <w:tcPr>
            <w:tcW w:type="dxa" w:w="1800"/>
            <w:tcBorders>
              <w:top w:val="single" w:color="CCCCCC" w:sz="1"/>
              <w:left w:val="single" w:color="CCCCCC" w:sz="1"/>
              <w:bottom w:val="single" w:color="CCCCCC" w:sz="1"/>
              <w:right w:val="single" w:color="CCCCCC" w:sz="1"/>
            </w:tcBorders>
            <w:shd w:fill="EDF3F7" w:val="clear"/>
            <w:tcMar>
              <w:top w:type="dxa" w:w="60"/>
              <w:left w:type="dxa" w:w="100"/>
              <w:bottom w:type="dxa" w:w="60"/>
              <w:right w:type="dxa" w:w="100"/>
            </w:tcMar>
          </w:tcPr>
          <w:p>
            <w:pPr>
              <w:spacing w:after="40"/>
            </w:pPr>
            <w:r>
              <w:rPr>
                <w:rFonts w:ascii="Arial" w:cs="Arial" w:eastAsia="Arial" w:hAnsi="Arial"/>
                <w:sz w:val="20"/>
                <w:szCs w:val="20"/>
              </w:rPr>
              <w:t xml:space="preserve">Scale</w:t>
            </w:r>
          </w:p>
        </w:tc>
        <w:tc>
          <w:tcPr>
            <w:tcW w:type="dxa" w:w="3780"/>
            <w:tcBorders>
              <w:top w:val="single" w:color="CCCCCC" w:sz="1"/>
              <w:left w:val="single" w:color="CCCCCC" w:sz="1"/>
              <w:bottom w:val="single" w:color="CCCCCC" w:sz="1"/>
              <w:right w:val="single" w:color="CCCCCC" w:sz="1"/>
            </w:tcBorders>
            <w:shd w:fill="EDF3F7" w:val="clear"/>
            <w:tcMar>
              <w:top w:type="dxa" w:w="60"/>
              <w:left w:type="dxa" w:w="100"/>
              <w:bottom w:type="dxa" w:w="60"/>
              <w:right w:type="dxa" w:w="100"/>
            </w:tcMar>
          </w:tcPr>
          <w:p>
            <w:pPr>
              <w:spacing w:after="40"/>
            </w:pPr>
            <w:r>
              <w:rPr>
                <w:rFonts w:ascii="Arial" w:cs="Arial" w:eastAsia="Arial" w:hAnsi="Arial"/>
                <w:sz w:val="20"/>
                <w:szCs w:val="20"/>
              </w:rPr>
              <w:t xml:space="preserve">10. Hallucination Incident</w:t>
            </w:r>
          </w:p>
        </w:tc>
        <w:tc>
          <w:tcPr>
            <w:tcW w:type="dxa" w:w="3780"/>
            <w:tcBorders>
              <w:top w:val="single" w:color="CCCCCC" w:sz="1"/>
              <w:left w:val="single" w:color="CCCCCC" w:sz="1"/>
              <w:bottom w:val="single" w:color="CCCCCC" w:sz="1"/>
              <w:right w:val="single" w:color="CCCCCC" w:sz="1"/>
            </w:tcBorders>
            <w:shd w:fill="EDF3F7" w:val="clear"/>
            <w:tcMar>
              <w:top w:type="dxa" w:w="60"/>
              <w:left w:type="dxa" w:w="100"/>
              <w:bottom w:type="dxa" w:w="60"/>
              <w:right w:type="dxa" w:w="100"/>
            </w:tcMar>
          </w:tcPr>
          <w:p>
            <w:pPr>
              <w:spacing w:after="40"/>
            </w:pPr>
            <w:r>
              <w:rPr>
                <w:rFonts w:ascii="Arial" w:cs="Arial" w:eastAsia="Arial" w:hAnsi="Arial"/>
                <w:sz w:val="20"/>
                <w:szCs w:val="20"/>
              </w:rPr>
              <w:t xml:space="preserve">A then C — Transparency first, then Responsible AI initiative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Scale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11. Integration</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 — Lightweight API bridges for critical workflows</w:t>
            </w:r>
          </w:p>
        </w:tc>
      </w:tr>
      <w:tr>
        <w:tc>
          <w:tcPr>
            <w:tcW w:type="dxa" w:w="1800"/>
            <w:tcBorders>
              <w:top w:val="single" w:color="CCCCCC" w:sz="1"/>
              <w:left w:val="single" w:color="CCCCCC" w:sz="1"/>
              <w:bottom w:val="single" w:color="CCCCCC" w:sz="1"/>
              <w:right w:val="single" w:color="CCCCCC" w:sz="1"/>
            </w:tcBorders>
            <w:shd w:fill="EDF3F7" w:val="clear"/>
            <w:tcMar>
              <w:top w:type="dxa" w:w="60"/>
              <w:left w:type="dxa" w:w="100"/>
              <w:bottom w:type="dxa" w:w="60"/>
              <w:right w:type="dxa" w:w="100"/>
            </w:tcMar>
          </w:tcPr>
          <w:p>
            <w:pPr>
              <w:spacing w:after="40"/>
            </w:pPr>
            <w:r>
              <w:rPr>
                <w:rFonts w:ascii="Arial" w:cs="Arial" w:eastAsia="Arial" w:hAnsi="Arial"/>
                <w:sz w:val="20"/>
                <w:szCs w:val="20"/>
              </w:rPr>
              <w:t xml:space="preserve">Scale</w:t>
            </w:r>
          </w:p>
        </w:tc>
        <w:tc>
          <w:tcPr>
            <w:tcW w:type="dxa" w:w="3780"/>
            <w:tcBorders>
              <w:top w:val="single" w:color="CCCCCC" w:sz="1"/>
              <w:left w:val="single" w:color="CCCCCC" w:sz="1"/>
              <w:bottom w:val="single" w:color="CCCCCC" w:sz="1"/>
              <w:right w:val="single" w:color="CCCCCC" w:sz="1"/>
            </w:tcBorders>
            <w:shd w:fill="EDF3F7" w:val="clear"/>
            <w:tcMar>
              <w:top w:type="dxa" w:w="60"/>
              <w:left w:type="dxa" w:w="100"/>
              <w:bottom w:type="dxa" w:w="60"/>
              <w:right w:type="dxa" w:w="100"/>
            </w:tcMar>
          </w:tcPr>
          <w:p>
            <w:pPr>
              <w:spacing w:after="40"/>
            </w:pPr>
            <w:r>
              <w:rPr>
                <w:rFonts w:ascii="Arial" w:cs="Arial" w:eastAsia="Arial" w:hAnsi="Arial"/>
                <w:sz w:val="20"/>
                <w:szCs w:val="20"/>
              </w:rPr>
              <w:t xml:space="preserve">12. Talent War</w:t>
            </w:r>
          </w:p>
        </w:tc>
        <w:tc>
          <w:tcPr>
            <w:tcW w:type="dxa" w:w="3780"/>
            <w:tcBorders>
              <w:top w:val="single" w:color="CCCCCC" w:sz="1"/>
              <w:left w:val="single" w:color="CCCCCC" w:sz="1"/>
              <w:bottom w:val="single" w:color="CCCCCC" w:sz="1"/>
              <w:right w:val="single" w:color="CCCCCC" w:sz="1"/>
            </w:tcBorders>
            <w:shd w:fill="EDF3F7" w:val="clear"/>
            <w:tcMar>
              <w:top w:type="dxa" w:w="60"/>
              <w:left w:type="dxa" w:w="100"/>
              <w:bottom w:type="dxa" w:w="60"/>
              <w:right w:type="dxa" w:w="100"/>
            </w:tcMar>
          </w:tcPr>
          <w:p>
            <w:pPr>
              <w:spacing w:after="40"/>
            </w:pPr>
            <w:r>
              <w:rPr>
                <w:rFonts w:ascii="Arial" w:cs="Arial" w:eastAsia="Arial" w:hAnsi="Arial"/>
                <w:sz w:val="20"/>
                <w:szCs w:val="20"/>
              </w:rPr>
              <w:t xml:space="preserve">B — Promotion + real role + retention vesting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Optimize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13. ROI Reckoning</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 — Full picture with course-correction plan</w:t>
            </w:r>
          </w:p>
        </w:tc>
      </w:tr>
      <w:tr>
        <w:tc>
          <w:tcPr>
            <w:tcW w:type="dxa" w:w="1800"/>
            <w:tcBorders>
              <w:top w:val="single" w:color="CCCCCC" w:sz="1"/>
              <w:left w:val="single" w:color="CCCCCC" w:sz="1"/>
              <w:bottom w:val="single" w:color="CCCCCC" w:sz="1"/>
              <w:right w:val="single" w:color="CCCCCC" w:sz="1"/>
            </w:tcBorders>
            <w:shd w:fill="EDF3F7" w:val="clear"/>
            <w:tcMar>
              <w:top w:type="dxa" w:w="60"/>
              <w:left w:type="dxa" w:w="100"/>
              <w:bottom w:type="dxa" w:w="60"/>
              <w:right w:type="dxa" w:w="100"/>
            </w:tcMar>
          </w:tcPr>
          <w:p>
            <w:pPr>
              <w:spacing w:after="40"/>
            </w:pPr>
            <w:r>
              <w:rPr>
                <w:rFonts w:ascii="Arial" w:cs="Arial" w:eastAsia="Arial" w:hAnsi="Arial"/>
                <w:sz w:val="20"/>
                <w:szCs w:val="20"/>
              </w:rPr>
              <w:t xml:space="preserve">Optimize</w:t>
            </w:r>
          </w:p>
        </w:tc>
        <w:tc>
          <w:tcPr>
            <w:tcW w:type="dxa" w:w="3780"/>
            <w:tcBorders>
              <w:top w:val="single" w:color="CCCCCC" w:sz="1"/>
              <w:left w:val="single" w:color="CCCCCC" w:sz="1"/>
              <w:bottom w:val="single" w:color="CCCCCC" w:sz="1"/>
              <w:right w:val="single" w:color="CCCCCC" w:sz="1"/>
            </w:tcBorders>
            <w:shd w:fill="EDF3F7" w:val="clear"/>
            <w:tcMar>
              <w:top w:type="dxa" w:w="60"/>
              <w:left w:type="dxa" w:w="100"/>
              <w:bottom w:type="dxa" w:w="60"/>
              <w:right w:type="dxa" w:w="100"/>
            </w:tcMar>
          </w:tcPr>
          <w:p>
            <w:pPr>
              <w:spacing w:after="40"/>
            </w:pPr>
            <w:r>
              <w:rPr>
                <w:rFonts w:ascii="Arial" w:cs="Arial" w:eastAsia="Arial" w:hAnsi="Arial"/>
                <w:sz w:val="20"/>
                <w:szCs w:val="20"/>
              </w:rPr>
              <w:t xml:space="preserve">14. Culture Clash</w:t>
            </w:r>
          </w:p>
        </w:tc>
        <w:tc>
          <w:tcPr>
            <w:tcW w:type="dxa" w:w="3780"/>
            <w:tcBorders>
              <w:top w:val="single" w:color="CCCCCC" w:sz="1"/>
              <w:left w:val="single" w:color="CCCCCC" w:sz="1"/>
              <w:bottom w:val="single" w:color="CCCCCC" w:sz="1"/>
              <w:right w:val="single" w:color="CCCCCC" w:sz="1"/>
            </w:tcBorders>
            <w:shd w:fill="EDF3F7" w:val="clear"/>
            <w:tcMar>
              <w:top w:type="dxa" w:w="60"/>
              <w:left w:type="dxa" w:w="100"/>
              <w:bottom w:type="dxa" w:w="60"/>
              <w:right w:type="dxa" w:w="100"/>
            </w:tcMar>
          </w:tcPr>
          <w:p>
            <w:pPr>
              <w:spacing w:after="40"/>
            </w:pPr>
            <w:r>
              <w:rPr>
                <w:rFonts w:ascii="Arial" w:cs="Arial" w:eastAsia="Arial" w:hAnsi="Arial"/>
                <w:sz w:val="20"/>
                <w:szCs w:val="20"/>
              </w:rPr>
              <w:t xml:space="preserve">A — Reverse-mentoring with agency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Optimize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15. Regulatory Shockwave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 + C — Risk-tiered audit + industry lobbying</w:t>
            </w:r>
          </w:p>
        </w:tc>
      </w:tr>
      <w:tr>
        <w:tc>
          <w:tcPr>
            <w:tcW w:type="dxa" w:w="1800"/>
            <w:tcBorders>
              <w:top w:val="single" w:color="CCCCCC" w:sz="1"/>
              <w:left w:val="single" w:color="CCCCCC" w:sz="1"/>
              <w:bottom w:val="single" w:color="CCCCCC" w:sz="1"/>
              <w:right w:val="single" w:color="CCCCCC" w:sz="1"/>
            </w:tcBorders>
            <w:shd w:fill="EDF3F7" w:val="clear"/>
            <w:tcMar>
              <w:top w:type="dxa" w:w="60"/>
              <w:left w:type="dxa" w:w="100"/>
              <w:bottom w:type="dxa" w:w="60"/>
              <w:right w:type="dxa" w:w="100"/>
            </w:tcMar>
          </w:tcPr>
          <w:p>
            <w:pPr>
              <w:spacing w:after="40"/>
            </w:pPr>
            <w:r>
              <w:rPr>
                <w:rFonts w:ascii="Arial" w:cs="Arial" w:eastAsia="Arial" w:hAnsi="Arial"/>
                <w:sz w:val="20"/>
                <w:szCs w:val="20"/>
              </w:rPr>
              <w:t xml:space="preserve">Embed</w:t>
            </w:r>
          </w:p>
        </w:tc>
        <w:tc>
          <w:tcPr>
            <w:tcW w:type="dxa" w:w="3780"/>
            <w:tcBorders>
              <w:top w:val="single" w:color="CCCCCC" w:sz="1"/>
              <w:left w:val="single" w:color="CCCCCC" w:sz="1"/>
              <w:bottom w:val="single" w:color="CCCCCC" w:sz="1"/>
              <w:right w:val="single" w:color="CCCCCC" w:sz="1"/>
            </w:tcBorders>
            <w:shd w:fill="EDF3F7" w:val="clear"/>
            <w:tcMar>
              <w:top w:type="dxa" w:w="60"/>
              <w:left w:type="dxa" w:w="100"/>
              <w:bottom w:type="dxa" w:w="60"/>
              <w:right w:type="dxa" w:w="100"/>
            </w:tcMar>
          </w:tcPr>
          <w:p>
            <w:pPr>
              <w:spacing w:after="40"/>
            </w:pPr>
            <w:r>
              <w:rPr>
                <w:rFonts w:ascii="Arial" w:cs="Arial" w:eastAsia="Arial" w:hAnsi="Arial"/>
                <w:sz w:val="20"/>
                <w:szCs w:val="20"/>
              </w:rPr>
              <w:t xml:space="preserve">16. Competitor Leapfrog</w:t>
            </w:r>
          </w:p>
        </w:tc>
        <w:tc>
          <w:tcPr>
            <w:tcW w:type="dxa" w:w="3780"/>
            <w:tcBorders>
              <w:top w:val="single" w:color="CCCCCC" w:sz="1"/>
              <w:left w:val="single" w:color="CCCCCC" w:sz="1"/>
              <w:bottom w:val="single" w:color="CCCCCC" w:sz="1"/>
              <w:right w:val="single" w:color="CCCCCC" w:sz="1"/>
            </w:tcBorders>
            <w:shd w:fill="EDF3F7" w:val="clear"/>
            <w:tcMar>
              <w:top w:type="dxa" w:w="60"/>
              <w:left w:type="dxa" w:w="100"/>
              <w:bottom w:type="dxa" w:w="60"/>
              <w:right w:type="dxa" w:w="100"/>
            </w:tcMar>
          </w:tcPr>
          <w:p>
            <w:pPr>
              <w:spacing w:after="40"/>
            </w:pPr>
            <w:r>
              <w:rPr>
                <w:rFonts w:ascii="Arial" w:cs="Arial" w:eastAsia="Arial" w:hAnsi="Arial"/>
                <w:sz w:val="20"/>
                <w:szCs w:val="20"/>
              </w:rPr>
              <w:t xml:space="preserve">A + C — Stay course + responsible AI positioning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Embed</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17. Shadow AI</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 then C then A — Understand, sandbox, then enforce</w:t>
            </w:r>
          </w:p>
        </w:tc>
      </w:tr>
      <w:tr>
        <w:tc>
          <w:tcPr>
            <w:tcW w:type="dxa" w:w="1800"/>
            <w:tcBorders>
              <w:top w:val="single" w:color="CCCCCC" w:sz="1"/>
              <w:left w:val="single" w:color="CCCCCC" w:sz="1"/>
              <w:bottom w:val="single" w:color="CCCCCC" w:sz="1"/>
              <w:right w:val="single" w:color="CCCCCC" w:sz="1"/>
            </w:tcBorders>
            <w:shd w:fill="EDF3F7" w:val="clear"/>
            <w:tcMar>
              <w:top w:type="dxa" w:w="60"/>
              <w:left w:type="dxa" w:w="100"/>
              <w:bottom w:type="dxa" w:w="60"/>
              <w:right w:type="dxa" w:w="100"/>
            </w:tcMar>
          </w:tcPr>
          <w:p>
            <w:pPr>
              <w:spacing w:after="40"/>
            </w:pPr>
            <w:r>
              <w:rPr>
                <w:rFonts w:ascii="Arial" w:cs="Arial" w:eastAsia="Arial" w:hAnsi="Arial"/>
                <w:sz w:val="20"/>
                <w:szCs w:val="20"/>
              </w:rPr>
              <w:t xml:space="preserve">Embed</w:t>
            </w:r>
          </w:p>
        </w:tc>
        <w:tc>
          <w:tcPr>
            <w:tcW w:type="dxa" w:w="3780"/>
            <w:tcBorders>
              <w:top w:val="single" w:color="CCCCCC" w:sz="1"/>
              <w:left w:val="single" w:color="CCCCCC" w:sz="1"/>
              <w:bottom w:val="single" w:color="CCCCCC" w:sz="1"/>
              <w:right w:val="single" w:color="CCCCCC" w:sz="1"/>
            </w:tcBorders>
            <w:shd w:fill="EDF3F7" w:val="clear"/>
            <w:tcMar>
              <w:top w:type="dxa" w:w="60"/>
              <w:left w:type="dxa" w:w="100"/>
              <w:bottom w:type="dxa" w:w="60"/>
              <w:right w:type="dxa" w:w="100"/>
            </w:tcMar>
          </w:tcPr>
          <w:p>
            <w:pPr>
              <w:spacing w:after="40"/>
            </w:pPr>
            <w:r>
              <w:rPr>
                <w:rFonts w:ascii="Arial" w:cs="Arial" w:eastAsia="Arial" w:hAnsi="Arial"/>
                <w:sz w:val="20"/>
                <w:szCs w:val="20"/>
              </w:rPr>
              <w:t xml:space="preserve">18. Governance Model</w:t>
            </w:r>
          </w:p>
        </w:tc>
        <w:tc>
          <w:tcPr>
            <w:tcW w:type="dxa" w:w="3780"/>
            <w:tcBorders>
              <w:top w:val="single" w:color="CCCCCC" w:sz="1"/>
              <w:left w:val="single" w:color="CCCCCC" w:sz="1"/>
              <w:bottom w:val="single" w:color="CCCCCC" w:sz="1"/>
              <w:right w:val="single" w:color="CCCCCC" w:sz="1"/>
            </w:tcBorders>
            <w:shd w:fill="EDF3F7" w:val="clear"/>
            <w:tcMar>
              <w:top w:type="dxa" w:w="60"/>
              <w:left w:type="dxa" w:w="100"/>
              <w:bottom w:type="dxa" w:w="60"/>
              <w:right w:type="dxa" w:w="100"/>
            </w:tcMar>
          </w:tcPr>
          <w:p>
            <w:pPr>
              <w:spacing w:after="40"/>
            </w:pPr>
            <w:r>
              <w:rPr>
                <w:rFonts w:ascii="Arial" w:cs="Arial" w:eastAsia="Arial" w:hAnsi="Arial"/>
                <w:sz w:val="20"/>
                <w:szCs w:val="20"/>
              </w:rPr>
              <w:t xml:space="preserve">B — Federated with coordination council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Deliver</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19. Final Push</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 + C — Coaching blitz + performance signal</w:t>
            </w:r>
          </w:p>
        </w:tc>
      </w:tr>
      <w:tr>
        <w:tc>
          <w:tcPr>
            <w:tcW w:type="dxa" w:w="1800"/>
            <w:tcBorders>
              <w:top w:val="single" w:color="CCCCCC" w:sz="1"/>
              <w:left w:val="single" w:color="CCCCCC" w:sz="1"/>
              <w:bottom w:val="single" w:color="CCCCCC" w:sz="1"/>
              <w:right w:val="single" w:color="CCCCCC" w:sz="1"/>
            </w:tcBorders>
            <w:shd w:fill="EDF3F7" w:val="clear"/>
            <w:tcMar>
              <w:top w:type="dxa" w:w="60"/>
              <w:left w:type="dxa" w:w="100"/>
              <w:bottom w:type="dxa" w:w="60"/>
              <w:right w:type="dxa" w:w="100"/>
            </w:tcMar>
          </w:tcPr>
          <w:p>
            <w:pPr>
              <w:spacing w:after="40"/>
            </w:pPr>
            <w:r>
              <w:rPr>
                <w:rFonts w:ascii="Arial" w:cs="Arial" w:eastAsia="Arial" w:hAnsi="Arial"/>
                <w:sz w:val="20"/>
                <w:szCs w:val="20"/>
              </w:rPr>
              <w:t xml:space="preserve">Deliver</w:t>
            </w:r>
          </w:p>
        </w:tc>
        <w:tc>
          <w:tcPr>
            <w:tcW w:type="dxa" w:w="3780"/>
            <w:tcBorders>
              <w:top w:val="single" w:color="CCCCCC" w:sz="1"/>
              <w:left w:val="single" w:color="CCCCCC" w:sz="1"/>
              <w:bottom w:val="single" w:color="CCCCCC" w:sz="1"/>
              <w:right w:val="single" w:color="CCCCCC" w:sz="1"/>
            </w:tcBorders>
            <w:shd w:fill="EDF3F7" w:val="clear"/>
            <w:tcMar>
              <w:top w:type="dxa" w:w="60"/>
              <w:left w:type="dxa" w:w="100"/>
              <w:bottom w:type="dxa" w:w="60"/>
              <w:right w:type="dxa" w:w="100"/>
            </w:tcMar>
          </w:tcPr>
          <w:p>
            <w:pPr>
              <w:spacing w:after="40"/>
            </w:pPr>
            <w:r>
              <w:rPr>
                <w:rFonts w:ascii="Arial" w:cs="Arial" w:eastAsia="Arial" w:hAnsi="Arial"/>
                <w:sz w:val="20"/>
                <w:szCs w:val="20"/>
              </w:rPr>
              <w:t xml:space="preserve">20. Succession</w:t>
            </w:r>
          </w:p>
        </w:tc>
        <w:tc>
          <w:tcPr>
            <w:tcW w:type="dxa" w:w="3780"/>
            <w:tcBorders>
              <w:top w:val="single" w:color="CCCCCC" w:sz="1"/>
              <w:left w:val="single" w:color="CCCCCC" w:sz="1"/>
              <w:bottom w:val="single" w:color="CCCCCC" w:sz="1"/>
              <w:right w:val="single" w:color="CCCCCC" w:sz="1"/>
            </w:tcBorders>
            <w:shd w:fill="EDF3F7" w:val="clear"/>
            <w:tcMar>
              <w:top w:type="dxa" w:w="60"/>
              <w:left w:type="dxa" w:w="100"/>
              <w:bottom w:type="dxa" w:w="60"/>
              <w:right w:type="dxa" w:w="100"/>
            </w:tcMar>
          </w:tcPr>
          <w:p>
            <w:pPr>
              <w:spacing w:after="40"/>
            </w:pPr>
            <w:r>
              <w:rPr>
                <w:rFonts w:ascii="Arial" w:cs="Arial" w:eastAsia="Arial" w:hAnsi="Arial"/>
                <w:sz w:val="20"/>
                <w:szCs w:val="20"/>
              </w:rPr>
              <w:t xml:space="preserve">A → B → C — CAIO, then distribute, then community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Deliver</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21. Board Presentation</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 → B → A — People story, numbers, then forward vision</w:t>
            </w:r>
          </w:p>
        </w:tc>
      </w:tr>
    </w:tbl>
    <w:p>
      <w:pPr>
        <w:spacing w:after="200"/>
      </w:pPr>
    </w:p>
    <w:p>
      <w:pPr>
        <w:pStyle w:val="Heading2"/>
        <w:spacing w:before="120" w:after="80"/>
      </w:pPr>
      <w:r>
        <w:t xml:space="preserve">The 5 Decision Points Where the Transformation Lives or Dies</w:t>
      </w:r>
    </w:p>
    <w:p>
      <w:pPr>
        <w:spacing w:after="120" w:line="276"/>
      </w:pPr>
      <w:r>
        <w:rPr>
          <w:rFonts w:ascii="Arial" w:cs="Arial" w:eastAsia="Arial" w:hAnsi="Arial"/>
          <w:b/>
          <w:bCs/>
          <w:sz w:val="22"/>
          <w:szCs w:val="22"/>
        </w:rPr>
        <w:t xml:space="preserve">1. Budget Allocation (Scenario 3): </w:t>
      </w:r>
      <w:r>
        <w:rPr>
          <w:rFonts w:ascii="Arial" w:cs="Arial" w:eastAsia="Arial" w:hAnsi="Arial"/>
          <w:sz w:val="22"/>
          <w:szCs w:val="22"/>
        </w:rPr>
        <w:t xml:space="preserve">This is the DNA of the transformation. The 40/35/25 split encodes the principle that this is a people programme. Get this wrong and every downstream decision is constrained by the wrong resource structure. Most failed transformations can be traced back to a budget that over-indexed on technology and starved adoption.</w:t>
      </w:r>
    </w:p>
    <w:p>
      <w:pPr>
        <w:spacing w:after="120" w:line="276"/>
      </w:pPr>
      <w:r>
        <w:rPr>
          <w:rFonts w:ascii="Arial" w:cs="Arial" w:eastAsia="Arial" w:hAnsi="Arial"/>
          <w:b/>
          <w:bCs/>
          <w:sz w:val="22"/>
          <w:szCs w:val="22"/>
        </w:rPr>
        <w:t xml:space="preserve">2. The AI Hallucination Incident (Scenario 10): </w:t>
      </w:r>
      <w:r>
        <w:rPr>
          <w:rFonts w:ascii="Arial" w:cs="Arial" w:eastAsia="Arial" w:hAnsi="Arial"/>
          <w:sz w:val="22"/>
          <w:szCs w:val="22"/>
        </w:rPr>
        <w:t xml:space="preserve">This is the credibility crucible. Every transformation will have a visible AI failure. The response — transparency versus concealment — determines whether the organisation develops a healthy, learning-oriented relationship with AI risk or a fearful, defensive one. Full transparency is painful short-term and essential long-term.</w:t>
      </w:r>
    </w:p>
    <w:p>
      <w:pPr>
        <w:spacing w:after="120" w:line="276"/>
      </w:pPr>
      <w:r>
        <w:rPr>
          <w:rFonts w:ascii="Arial" w:cs="Arial" w:eastAsia="Arial" w:hAnsi="Arial"/>
          <w:b/>
          <w:bCs/>
          <w:sz w:val="22"/>
          <w:szCs w:val="22"/>
        </w:rPr>
        <w:t xml:space="preserve">3. The ROI Reckoning (Scenario 13): </w:t>
      </w:r>
      <w:r>
        <w:rPr>
          <w:rFonts w:ascii="Arial" w:cs="Arial" w:eastAsia="Arial" w:hAnsi="Arial"/>
          <w:sz w:val="22"/>
          <w:szCs w:val="22"/>
        </w:rPr>
        <w:t xml:space="preserve">This is the survival gate. At month 12, you either earn continued investment or you don’t. The full-picture approach (wins, gaps, course correction) is the only presentation that builds the trust needed for the next 6–12 months. Cherry-picking destroys credibility; delays destroy confidence.</w:t>
      </w:r>
    </w:p>
    <w:p>
      <w:pPr>
        <w:spacing w:after="120" w:line="276"/>
      </w:pPr>
      <w:r>
        <w:rPr>
          <w:rFonts w:ascii="Arial" w:cs="Arial" w:eastAsia="Arial" w:hAnsi="Arial"/>
          <w:b/>
          <w:bCs/>
          <w:sz w:val="22"/>
          <w:szCs w:val="22"/>
        </w:rPr>
        <w:t xml:space="preserve">4. Shadow AI Problem (Scenario 17): </w:t>
      </w:r>
      <w:r>
        <w:rPr>
          <w:rFonts w:ascii="Arial" w:cs="Arial" w:eastAsia="Arial" w:hAnsi="Arial"/>
          <w:sz w:val="22"/>
          <w:szCs w:val="22"/>
        </w:rPr>
        <w:t xml:space="preserve">This is the adoption diagnostic. How you respond to shadow AI reveals whether you understand your users. The intelligence-first approach (understand, then sandbox, then enforce) converts organic adoption into governed adoption. The enforcement-first approach drives behaviour underground and alienates your most motivated users.</w:t>
      </w:r>
    </w:p>
    <w:p>
      <w:pPr>
        <w:spacing w:after="120" w:line="276"/>
      </w:pPr>
      <w:r>
        <w:rPr>
          <w:rFonts w:ascii="Arial" w:cs="Arial" w:eastAsia="Arial" w:hAnsi="Arial"/>
          <w:b/>
          <w:bCs/>
          <w:sz w:val="22"/>
          <w:szCs w:val="22"/>
        </w:rPr>
        <w:t xml:space="preserve">5. Succession Planning (Scenario 20): </w:t>
      </w:r>
      <w:r>
        <w:rPr>
          <w:rFonts w:ascii="Arial" w:cs="Arial" w:eastAsia="Arial" w:hAnsi="Arial"/>
          <w:sz w:val="22"/>
          <w:szCs w:val="22"/>
        </w:rPr>
        <w:t xml:space="preserve">This is the durability test. The transformation is only successful if it survives your departure. The layered succession model (role → distributed ownership → community of practice) is the only approach that builds resilience against leadership disruption. Design for your own obsolescence from day one.</w:t>
      </w:r>
    </w:p>
    <w:p>
      <w:pPr>
        <w:pStyle w:val="Heading2"/>
        <w:spacing w:before="120" w:after="80"/>
      </w:pPr>
      <w:r>
        <w:t xml:space="preserve">Cheat Sheet: Principles That Apply Across All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Principle</w:t>
            </w:r>
          </w:p>
        </w:tc>
        <w:tc>
          <w:tcPr>
            <w:tcW w:type="dxa" w:w="6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What It Means in Practice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People before technology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Every decision should ask ‘what does this mean for adoption?’ before ‘what does this mean for architecture?’</w:t>
            </w:r>
          </w:p>
        </w:tc>
      </w:tr>
      <w:tr>
        <w:tc>
          <w:tcPr>
            <w:tcW w:type="dxa" w:w="2400"/>
            <w:tcBorders>
              <w:top w:val="single" w:color="CCCCCC" w:sz="1"/>
              <w:left w:val="single" w:color="CCCCCC" w:sz="1"/>
              <w:bottom w:val="single" w:color="CCCCCC" w:sz="1"/>
              <w:right w:val="single" w:color="CCCCCC" w:sz="1"/>
            </w:tcBorders>
            <w:shd w:fill="EDF3F7" w:val="clear"/>
            <w:tcMar>
              <w:top w:type="dxa" w:w="60"/>
              <w:left w:type="dxa" w:w="100"/>
              <w:bottom w:type="dxa" w:w="60"/>
              <w:right w:type="dxa" w:w="100"/>
            </w:tcMar>
          </w:tcPr>
          <w:p>
            <w:pPr>
              <w:spacing w:after="40"/>
            </w:pPr>
            <w:r>
              <w:rPr>
                <w:rFonts w:ascii="Arial" w:cs="Arial" w:eastAsia="Arial" w:hAnsi="Arial"/>
                <w:sz w:val="20"/>
                <w:szCs w:val="20"/>
              </w:rPr>
              <w:t xml:space="preserve">Transparency compounds</w:t>
            </w:r>
          </w:p>
        </w:tc>
        <w:tc>
          <w:tcPr>
            <w:tcW w:type="dxa" w:w="6960"/>
            <w:tcBorders>
              <w:top w:val="single" w:color="CCCCCC" w:sz="1"/>
              <w:left w:val="single" w:color="CCCCCC" w:sz="1"/>
              <w:bottom w:val="single" w:color="CCCCCC" w:sz="1"/>
              <w:right w:val="single" w:color="CCCCCC" w:sz="1"/>
            </w:tcBorders>
            <w:shd w:fill="EDF3F7" w:val="clear"/>
            <w:tcMar>
              <w:top w:type="dxa" w:w="60"/>
              <w:left w:type="dxa" w:w="100"/>
              <w:bottom w:type="dxa" w:w="60"/>
              <w:right w:type="dxa" w:w="100"/>
            </w:tcMar>
          </w:tcPr>
          <w:p>
            <w:pPr>
              <w:spacing w:after="40"/>
            </w:pPr>
            <w:r>
              <w:rPr>
                <w:rFonts w:ascii="Arial" w:cs="Arial" w:eastAsia="Arial" w:hAnsi="Arial"/>
                <w:sz w:val="20"/>
                <w:szCs w:val="20"/>
              </w:rPr>
              <w:t xml:space="preserve">Honest reporting, open failure discussion, and authentic metrics build trust that accrues interest over 18 months.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Convert, don’t coerce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Sceptics who become advocates are more valuable than mandated compliance. Invitation beats enforcement.</w:t>
            </w:r>
          </w:p>
        </w:tc>
      </w:tr>
      <w:tr>
        <w:tc>
          <w:tcPr>
            <w:tcW w:type="dxa" w:w="2400"/>
            <w:tcBorders>
              <w:top w:val="single" w:color="CCCCCC" w:sz="1"/>
              <w:left w:val="single" w:color="CCCCCC" w:sz="1"/>
              <w:bottom w:val="single" w:color="CCCCCC" w:sz="1"/>
              <w:right w:val="single" w:color="CCCCCC" w:sz="1"/>
            </w:tcBorders>
            <w:shd w:fill="EDF3F7" w:val="clear"/>
            <w:tcMar>
              <w:top w:type="dxa" w:w="60"/>
              <w:left w:type="dxa" w:w="100"/>
              <w:bottom w:type="dxa" w:w="60"/>
              <w:right w:type="dxa" w:w="100"/>
            </w:tcMar>
          </w:tcPr>
          <w:p>
            <w:pPr>
              <w:spacing w:after="40"/>
            </w:pPr>
            <w:r>
              <w:rPr>
                <w:rFonts w:ascii="Arial" w:cs="Arial" w:eastAsia="Arial" w:hAnsi="Arial"/>
                <w:sz w:val="20"/>
                <w:szCs w:val="20"/>
              </w:rPr>
              <w:t xml:space="preserve">Frame determines fate</w:t>
            </w:r>
          </w:p>
        </w:tc>
        <w:tc>
          <w:tcPr>
            <w:tcW w:type="dxa" w:w="6960"/>
            <w:tcBorders>
              <w:top w:val="single" w:color="CCCCCC" w:sz="1"/>
              <w:left w:val="single" w:color="CCCCCC" w:sz="1"/>
              <w:bottom w:val="single" w:color="CCCCCC" w:sz="1"/>
              <w:right w:val="single" w:color="CCCCCC" w:sz="1"/>
            </w:tcBorders>
            <w:shd w:fill="EDF3F7" w:val="clear"/>
            <w:tcMar>
              <w:top w:type="dxa" w:w="60"/>
              <w:left w:type="dxa" w:w="100"/>
              <w:bottom w:type="dxa" w:w="60"/>
              <w:right w:type="dxa" w:w="100"/>
            </w:tcMar>
          </w:tcPr>
          <w:p>
            <w:pPr>
              <w:spacing w:after="40"/>
            </w:pPr>
            <w:r>
              <w:rPr>
                <w:rFonts w:ascii="Arial" w:cs="Arial" w:eastAsia="Arial" w:hAnsi="Arial"/>
                <w:sz w:val="20"/>
                <w:szCs w:val="20"/>
              </w:rPr>
              <w:t xml:space="preserve">The same outcome (12,000 hours saved) can be existential threat or empowering opportunity. Control the framing.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Sequence over speed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The right decision at the wrong time fails. Budget before pilots, transparency before governance, understanding before enforcement.</w:t>
            </w:r>
          </w:p>
        </w:tc>
      </w:tr>
      <w:tr>
        <w:tc>
          <w:tcPr>
            <w:tcW w:type="dxa" w:w="2400"/>
            <w:tcBorders>
              <w:top w:val="single" w:color="CCCCCC" w:sz="1"/>
              <w:left w:val="single" w:color="CCCCCC" w:sz="1"/>
              <w:bottom w:val="single" w:color="CCCCCC" w:sz="1"/>
              <w:right w:val="single" w:color="CCCCCC" w:sz="1"/>
            </w:tcBorders>
            <w:shd w:fill="EDF3F7" w:val="clear"/>
            <w:tcMar>
              <w:top w:type="dxa" w:w="60"/>
              <w:left w:type="dxa" w:w="100"/>
              <w:bottom w:type="dxa" w:w="60"/>
              <w:right w:type="dxa" w:w="100"/>
            </w:tcMar>
          </w:tcPr>
          <w:p>
            <w:pPr>
              <w:spacing w:after="40"/>
            </w:pPr>
            <w:r>
              <w:rPr>
                <w:rFonts w:ascii="Arial" w:cs="Arial" w:eastAsia="Arial" w:hAnsi="Arial"/>
                <w:sz w:val="20"/>
                <w:szCs w:val="20"/>
              </w:rPr>
              <w:t xml:space="preserve">Design for your absence</w:t>
            </w:r>
          </w:p>
        </w:tc>
        <w:tc>
          <w:tcPr>
            <w:tcW w:type="dxa" w:w="6960"/>
            <w:tcBorders>
              <w:top w:val="single" w:color="CCCCCC" w:sz="1"/>
              <w:left w:val="single" w:color="CCCCCC" w:sz="1"/>
              <w:bottom w:val="single" w:color="CCCCCC" w:sz="1"/>
              <w:right w:val="single" w:color="CCCCCC" w:sz="1"/>
            </w:tcBorders>
            <w:shd w:fill="EDF3F7" w:val="clear"/>
            <w:tcMar>
              <w:top w:type="dxa" w:w="60"/>
              <w:left w:type="dxa" w:w="100"/>
              <w:bottom w:type="dxa" w:w="60"/>
              <w:right w:type="dxa" w:w="100"/>
            </w:tcMar>
          </w:tcPr>
          <w:p>
            <w:pPr>
              <w:spacing w:after="40"/>
            </w:pPr>
            <w:r>
              <w:rPr>
                <w:rFonts w:ascii="Arial" w:cs="Arial" w:eastAsia="Arial" w:hAnsi="Arial"/>
                <w:sz w:val="20"/>
                <w:szCs w:val="20"/>
              </w:rPr>
              <w:t xml:space="preserve">Every structure, process, and capability should work without you. If it requires a hero, it’s fragile.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Pragmatic over perfect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Parallel governance, API bridges, risk-tiered compliance: the best answer is almost always ‘good enough now, better later.’</w:t>
            </w:r>
          </w:p>
        </w:tc>
      </w:tr>
      <w:tr>
        <w:tc>
          <w:tcPr>
            <w:tcW w:type="dxa" w:w="2400"/>
            <w:tcBorders>
              <w:top w:val="single" w:color="CCCCCC" w:sz="1"/>
              <w:left w:val="single" w:color="CCCCCC" w:sz="1"/>
              <w:bottom w:val="single" w:color="CCCCCC" w:sz="1"/>
              <w:right w:val="single" w:color="CCCCCC" w:sz="1"/>
            </w:tcBorders>
            <w:shd w:fill="EDF3F7" w:val="clear"/>
            <w:tcMar>
              <w:top w:type="dxa" w:w="60"/>
              <w:left w:type="dxa" w:w="100"/>
              <w:bottom w:type="dxa" w:w="60"/>
              <w:right w:type="dxa" w:w="100"/>
            </w:tcMar>
          </w:tcPr>
          <w:p>
            <w:pPr>
              <w:spacing w:after="40"/>
            </w:pPr>
            <w:r>
              <w:rPr>
                <w:rFonts w:ascii="Arial" w:cs="Arial" w:eastAsia="Arial" w:hAnsi="Arial"/>
                <w:sz w:val="20"/>
                <w:szCs w:val="20"/>
              </w:rPr>
              <w:t xml:space="preserve">Diagnose before you prescribe</w:t>
            </w:r>
          </w:p>
        </w:tc>
        <w:tc>
          <w:tcPr>
            <w:tcW w:type="dxa" w:w="6960"/>
            <w:tcBorders>
              <w:top w:val="single" w:color="CCCCCC" w:sz="1"/>
              <w:left w:val="single" w:color="CCCCCC" w:sz="1"/>
              <w:bottom w:val="single" w:color="CCCCCC" w:sz="1"/>
              <w:right w:val="single" w:color="CCCCCC" w:sz="1"/>
            </w:tcBorders>
            <w:shd w:fill="EDF3F7" w:val="clear"/>
            <w:tcMar>
              <w:top w:type="dxa" w:w="60"/>
              <w:left w:type="dxa" w:w="100"/>
              <w:bottom w:type="dxa" w:w="60"/>
              <w:right w:type="dxa" w:w="100"/>
            </w:tcMar>
          </w:tcPr>
          <w:p>
            <w:pPr>
              <w:spacing w:after="40"/>
            </w:pPr>
            <w:r>
              <w:rPr>
                <w:rFonts w:ascii="Arial" w:cs="Arial" w:eastAsia="Arial" w:hAnsi="Arial"/>
                <w:sz w:val="20"/>
                <w:szCs w:val="20"/>
              </w:rPr>
              <w:t xml:space="preserve">Shadow AI, senior resistance, low adoption: the symptom is never the disease. Investigate root causes before intervening.</w:t>
            </w:r>
          </w:p>
        </w:tc>
      </w:tr>
    </w:tbl>
    <w:p>
      <w:pPr>
        <w:spacing w:after="200"/>
      </w:pPr>
    </w:p>
    <w:p>
      <w:pPr>
        <w:pStyle w:val="Heading2"/>
        <w:spacing w:before="120" w:after="80"/>
      </w:pPr>
      <w:r>
        <w:t xml:space="preserve">Common Failure Patterns from Real Transformations</w:t>
      </w:r>
    </w:p>
    <w:p>
      <w:pPr>
        <w:spacing w:after="120" w:line="276"/>
      </w:pPr>
      <w:r>
        <w:rPr>
          <w:rFonts w:ascii="Arial" w:cs="Arial" w:eastAsia="Arial" w:hAnsi="Arial"/>
          <w:b/>
          <w:bCs/>
          <w:sz w:val="22"/>
          <w:szCs w:val="22"/>
        </w:rPr>
        <w:t xml:space="preserve">The Technology Trap (maps to Scenarios 3, 6, 11): </w:t>
      </w:r>
      <w:r>
        <w:rPr>
          <w:rFonts w:ascii="Arial" w:cs="Arial" w:eastAsia="Arial" w:hAnsi="Arial"/>
          <w:sz w:val="22"/>
          <w:szCs w:val="22"/>
        </w:rPr>
        <w:t xml:space="preserve">Organisation spends 70%+ of budget on licensing and infrastructure, discovers at month 9 that usage is under 20%, has no remaining budget or runway to fix adoption. The tools are excellent. Nobody uses them. This is the most common failure pattern and the easiest to prevent — yet it persists because CTO and CFO incentives align around tangible assets over behavioural change.</w:t>
      </w:r>
    </w:p>
    <w:p>
      <w:pPr>
        <w:spacing w:after="120" w:line="276"/>
      </w:pPr>
      <w:r>
        <w:rPr>
          <w:rFonts w:ascii="Arial" w:cs="Arial" w:eastAsia="Arial" w:hAnsi="Arial"/>
          <w:b/>
          <w:bCs/>
          <w:sz w:val="22"/>
          <w:szCs w:val="22"/>
        </w:rPr>
        <w:t xml:space="preserve">The Announcement Trap (maps to Scenarios 1, 7, 16): </w:t>
      </w:r>
      <w:r>
        <w:rPr>
          <w:rFonts w:ascii="Arial" w:cs="Arial" w:eastAsia="Arial" w:hAnsi="Arial"/>
          <w:sz w:val="22"/>
          <w:szCs w:val="22"/>
        </w:rPr>
        <w:t xml:space="preserve">Leader makes bold public commitments that create binary success criteria. Every subsequent decision is distorted by the need to validate the original claim rather than respond to actual conditions. The transformation becomes a PR exercise. Real problems are hidden because they contradict the narrative. The correction: frame commitments as directional and iterative, never absolute.</w:t>
      </w:r>
    </w:p>
    <w:p>
      <w:pPr>
        <w:spacing w:after="120" w:line="276"/>
      </w:pPr>
      <w:r>
        <w:rPr>
          <w:rFonts w:ascii="Arial" w:cs="Arial" w:eastAsia="Arial" w:hAnsi="Arial"/>
          <w:b/>
          <w:bCs/>
          <w:sz w:val="22"/>
          <w:szCs w:val="22"/>
        </w:rPr>
        <w:t xml:space="preserve">The Compliance Paralysis (maps to Scenarios 4, 15): </w:t>
      </w:r>
      <w:r>
        <w:rPr>
          <w:rFonts w:ascii="Arial" w:cs="Arial" w:eastAsia="Arial" w:hAnsi="Arial"/>
          <w:sz w:val="22"/>
          <w:szCs w:val="22"/>
        </w:rPr>
        <w:t xml:space="preserve">Legal and compliance teams exercise veto power over AI deployment, demanding complete governance before any deployment. The transformation stalls in perpetual audit. Meanwhile, staff use personal AI tools (Scenario 17) because the approved pathway is blocked. The correction: parallel tracks, risk-tiered deployment, and governance built on real use cases.</w:t>
      </w:r>
    </w:p>
    <w:p>
      <w:pPr>
        <w:spacing w:after="120" w:line="276"/>
      </w:pPr>
      <w:r>
        <w:rPr>
          <w:rFonts w:ascii="Arial" w:cs="Arial" w:eastAsia="Arial" w:hAnsi="Arial"/>
          <w:b/>
          <w:bCs/>
          <w:sz w:val="22"/>
          <w:szCs w:val="22"/>
        </w:rPr>
        <w:t xml:space="preserve">The Hero Dependency (maps to Scenarios 12, 20): </w:t>
      </w:r>
      <w:r>
        <w:rPr>
          <w:rFonts w:ascii="Arial" w:cs="Arial" w:eastAsia="Arial" w:hAnsi="Arial"/>
          <w:sz w:val="22"/>
          <w:szCs w:val="22"/>
        </w:rPr>
        <w:t xml:space="preserve">Transformation success is concentrated in 2–3 individuals. When they leave (and at current market premiums, they will), the capability walks out the door. The correction: Champions programmes, distributed ownership, and communities of practice that embed capability in the organisation rather than in individuals.</w:t>
      </w:r>
    </w:p>
    <w:p>
      <w:pPr>
        <w:spacing w:after="120" w:line="276"/>
      </w:pPr>
      <w:r>
        <w:rPr>
          <w:rFonts w:ascii="Arial" w:cs="Arial" w:eastAsia="Arial" w:hAnsi="Arial"/>
          <w:b/>
          <w:bCs/>
          <w:sz w:val="22"/>
          <w:szCs w:val="22"/>
        </w:rPr>
        <w:t xml:space="preserve">The Culture Avoidance (maps to Scenarios 2, 14, 17): </w:t>
      </w:r>
      <w:r>
        <w:rPr>
          <w:rFonts w:ascii="Arial" w:cs="Arial" w:eastAsia="Arial" w:hAnsi="Arial"/>
          <w:sz w:val="22"/>
          <w:szCs w:val="22"/>
        </w:rPr>
        <w:t xml:space="preserve">Leader treats resistance, culture clash, and shadow AI as training problems rather than identity and power challenges. Interventions focus on skills (workshops, modules) when the actual barriers are fear of obsolescence, loss of status, and lack of trust. The correction: address the emotional and political dimensions directly through co-leadership, reverse mentoring, and genuine listening.</w:t>
      </w:r>
    </w:p>
    <w:p>
      <w:r>
        <w:r>
          <w:br w:type="page"/>
        </w:r>
      </w:r>
    </w:p>
    <w:p>
      <w:pPr>
        <w:pStyle w:val="Heading1"/>
        <w:spacing w:before="120" w:after="80"/>
      </w:pPr>
      <w:r>
        <w:t xml:space="preserve">One-Page Executive Summary</w:t>
      </w:r>
    </w:p>
    <w:p>
      <w:pPr>
        <w:spacing w:after="120" w:line="276"/>
      </w:pPr>
      <w:r>
        <w:rPr>
          <w:rFonts w:ascii="Arial" w:cs="Arial" w:eastAsia="Arial" w:hAnsi="Arial"/>
          <w:i/>
          <w:iCs/>
          <w:color w:val="666666"/>
          <w:sz w:val="22"/>
          <w:szCs w:val="22"/>
        </w:rPr>
        <w:t xml:space="preserve">For the hiring manager or board member reading this in two minutes.</w:t>
      </w:r>
    </w:p>
    <w:p>
      <w:pPr>
        <w:spacing w:after="120" w:line="276"/>
      </w:pPr>
      <w:r>
        <w:rPr>
          <w:rFonts w:ascii="Arial" w:cs="Arial" w:eastAsia="Arial" w:hAnsi="Arial"/>
          <w:sz w:val="22"/>
          <w:szCs w:val="22"/>
        </w:rPr>
        <w:t xml:space="preserve">This playbook analyses 21 critical decision points across an 18-month enterprise AI transformation, spanning six phases: Foundation, Pilot, Scale, Optimize, Embed, and Deliver. Each scenario presents a real inflection point where the transformation either advances or stalls.</w:t>
      </w:r>
    </w:p>
    <w:p>
      <w:pPr>
        <w:spacing w:after="120" w:line="276"/>
      </w:pPr>
      <w:r>
        <w:rPr>
          <w:rFonts w:ascii="Arial" w:cs="Arial" w:eastAsia="Arial" w:hAnsi="Arial"/>
          <w:b/>
          <w:bCs/>
          <w:sz w:val="22"/>
          <w:szCs w:val="22"/>
        </w:rPr>
        <w:t xml:space="preserve">The core insight: </w:t>
      </w:r>
      <w:r>
        <w:rPr>
          <w:rFonts w:ascii="Arial" w:cs="Arial" w:eastAsia="Arial" w:hAnsi="Arial"/>
          <w:sz w:val="22"/>
          <w:szCs w:val="22"/>
        </w:rPr>
        <w:t xml:space="preserve">AI transformation is a change management programme that happens to involve technology. Organisations that treat it as a technology programme with some change management bolted on consistently fail. The optimal budget split is 40% technology, 35% training, and 25% change management — nearly the inverse of what most organisations allocate.</w:t>
      </w:r>
    </w:p>
    <w:p>
      <w:pPr>
        <w:spacing w:after="120" w:line="276"/>
      </w:pPr>
      <w:r>
        <w:rPr>
          <w:rFonts w:ascii="Arial" w:cs="Arial" w:eastAsia="Arial" w:hAnsi="Arial"/>
          <w:b/>
          <w:bCs/>
          <w:sz w:val="22"/>
          <w:szCs w:val="22"/>
        </w:rPr>
        <w:t xml:space="preserve">The five decisions that determine success or failure are: </w:t>
      </w:r>
      <w:r>
        <w:rPr>
          <w:rFonts w:ascii="Arial" w:cs="Arial" w:eastAsia="Arial" w:hAnsi="Arial"/>
          <w:sz w:val="22"/>
          <w:szCs w:val="22"/>
        </w:rPr>
        <w:t xml:space="preserve">(1) Budget allocation — getting the people-to-technology ratio right at the outset; (2) handling the first visible AI failure with full transparency; (3) presenting honest, mixed ROI results with a credible course-correction plan; (4) converting shadow AI from a compliance problem into an adoption signal; and (5) designing succession for resilience, not dependency.</w:t>
      </w:r>
    </w:p>
    <w:p>
      <w:pPr>
        <w:spacing w:after="120" w:line="276"/>
      </w:pPr>
      <w:r>
        <w:rPr>
          <w:rFonts w:ascii="Arial" w:cs="Arial" w:eastAsia="Arial" w:hAnsi="Arial"/>
          <w:b/>
          <w:bCs/>
          <w:sz w:val="22"/>
          <w:szCs w:val="22"/>
        </w:rPr>
        <w:t xml:space="preserve">The leader profile that succeeds: </w:t>
      </w:r>
      <w:r>
        <w:rPr>
          <w:rFonts w:ascii="Arial" w:cs="Arial" w:eastAsia="Arial" w:hAnsi="Arial"/>
          <w:sz w:val="22"/>
          <w:szCs w:val="22"/>
        </w:rPr>
        <w:t xml:space="preserve">Not the boldest visionary or the most technically fluent. The leader who succeeds sequences decisions correctly: coalition before mandate, understanding before enforcement, credibility before governance. They treat every setback as a trust-building opportunity. They frame AI value as human empowerment, not cost reduction. They convert sceptics through invitation rather than coercion. They design every structure to survive their own departure.</w:t>
      </w:r>
    </w:p>
    <w:p>
      <w:pPr>
        <w:spacing w:after="120" w:line="276"/>
      </w:pPr>
      <w:r>
        <w:rPr>
          <w:rFonts w:ascii="Arial" w:cs="Arial" w:eastAsia="Arial" w:hAnsi="Arial"/>
          <w:b/>
          <w:bCs/>
          <w:sz w:val="22"/>
          <w:szCs w:val="22"/>
        </w:rPr>
        <w:t xml:space="preserve">The pattern that predicts failure: </w:t>
      </w:r>
      <w:r>
        <w:rPr>
          <w:rFonts w:ascii="Arial" w:cs="Arial" w:eastAsia="Arial" w:hAnsi="Arial"/>
          <w:sz w:val="22"/>
          <w:szCs w:val="22"/>
        </w:rPr>
        <w:t xml:space="preserve">Over-investing in technology while under-investing in people. Making bold public commitments that create binary success criteria. Treating resistance as a training problem rather than an identity challenge. Building capability in individuals rather than in the organisation. Choosing speed over sequence.</w:t>
      </w:r>
    </w:p>
    <w:p>
      <w:pPr>
        <w:spacing w:after="120" w:line="276"/>
      </w:pPr>
      <w:r>
        <w:rPr>
          <w:rFonts w:ascii="Arial" w:cs="Arial" w:eastAsia="Arial" w:hAnsi="Arial"/>
          <w:sz w:val="22"/>
          <w:szCs w:val="22"/>
        </w:rPr>
        <w:t xml:space="preserve">Across all 21 scenarios, the optimal path consistently favours pragmatic phasing over bold gestures, psychological safety over enforcement, transparency over optics, and institutional capability over individual heroics. The transformation that sticks is the one that makes itself invisible — not because it failed, but because the organisation absorbed it so completely that AI became indistinguishable from how work is done.</w:t>
      </w:r>
    </w:p>
    <w:sectPr>
      <w:headerReference w:type="default" r:id="rId6"/>
      <w:footerReference w:type="default" r:id="rId7"/>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AI Transformation Strategy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D8C"/>
      <w:sz w:val="28"/>
      <w:szCs w:val="28"/>
    </w:rPr>
  </w:style>
  <w:style w:type="paragraph" w:styleId="Heading3">
    <w:name w:val="Heading 3"/>
    <w:basedOn w:val="Normal"/>
    <w:next w:val="Normal"/>
    <w:qFormat/>
    <w:pPr>
      <w:spacing w:before="16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2026-02-11T00:56:55.668Z</dcterms:created>
  <dcterms:modified xsi:type="dcterms:W3CDTF">2026-02-11T00:56:55.670Z</dcterms:modified>
</cp:coreProperties>
</file>

<file path=docProps/custom.xml><?xml version="1.0" encoding="utf-8"?>
<Properties xmlns="http://schemas.openxmlformats.org/officeDocument/2006/custom-properties" xmlns:vt="http://schemas.openxmlformats.org/officeDocument/2006/docPropsVTypes"/>
</file>