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P="00BB0C44" w14:paraId="0491B3A2" w14:textId="2AA31D4C">
      <w:pPr>
        <w:pStyle w:val="Title"/>
        <w:outlineLvl w:val="9"/>
      </w:pPr>
      <w:r w:rsidRPr="00506961">
        <w:t>Guideline Update Automation</w:t>
      </w:r>
      <w:bookmarkEnd w:id="1"/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2026-09-08 07:26:16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Exception Table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To-Do for publishing ICTR-CF v8.0.0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Confluence to ICT CF Pipeline Status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Confluence to Word Docx pipeline Status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Start w:id="4" w:name="_Toc256000004"/>
      <w:r>
        <w:t>Exception Table</w:t>
      </w:r>
      <w:bookmarkEnd w:id="4"/>
      <w:bookmarkEnd w:id="3"/>
    </w:p>
    <w:tbl>
      <w:tblPr>
        <w:tblStyle w:val="ScrollTableNormal"/>
        <w:tblW w:w="5000" w:type="pct"/>
        <w:tblLook w:val="0020"/>
      </w:tblPr>
      <w:tblGrid>
        <w:gridCol w:w="1461"/>
        <w:gridCol w:w="640"/>
        <w:gridCol w:w="1055"/>
        <w:gridCol w:w="2383"/>
        <w:gridCol w:w="294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Guideline Name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 in CF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CF/Docx low-level IDs folded in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Description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cleared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Encryption and Key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15.2.1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Processes and countermeasures must be defined on how to react in case of a key loss or failure, malfunction, or breakdown of cryptographic products.</w:t>
            </w:r>
            <w:r>
              <w:br/>
            </w:r>
            <w:r>
              <w:t>- Additional PKI-specific and certificate-related requirements:</w:t>
            </w:r>
            <w:r>
              <w:br/>
            </w:r>
            <w:r>
              <w:t>- Possible countermeasures for ICT-related incidents include the following:</w:t>
            </w:r>
            <w:r>
              <w:br/>
            </w:r>
            <w:r>
              <w:t>- revocation of the key and adding it to the Certificate Revocation List (CRL),</w:t>
            </w:r>
            <w:r>
              <w:br/>
            </w:r>
            <w:r>
              <w:t>- deletion of data encrypted with forged keys,</w:t>
            </w:r>
            <w:r>
              <w:br/>
            </w:r>
            <w:r>
              <w:t>- prolonging the security by re-encryption and</w:t>
            </w:r>
            <w:r>
              <w:br/>
            </w:r>
            <w:r>
              <w:t>- building of signature chains.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Human-related ICT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3.3.1, 3.3.2, 3.3.3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ICT security awareness program and DOR training must include at least the following information:</w:t>
            </w:r>
            <w:r>
              <w:br/>
            </w:r>
            <w:r>
              <w:t>- Personal responsibility for own actions and omissions and general responsibilities to protect IT and non-IT Assets.</w:t>
            </w:r>
            <w:r>
              <w:br/>
            </w:r>
            <w:r>
              <w:t>- Fundamental information security obligations (such as reporting ICT-related incidents), generally applicable security measures and information on behavior when security-relevant events occur.</w:t>
            </w:r>
            <w:r>
              <w:br/>
            </w:r>
            <w:r>
              <w:t>- Prevalent and emerging cyber threats and risks.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Incident &amp; Operational Event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7.3.1, 7.3.2, 7.3.3, 7.3.4, 7.3.5, 7.3.6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During the assessment phase of an ICT-related Incident, the following information must be assessed:</w:t>
            </w:r>
            <w:r>
              <w:br/>
            </w:r>
            <w:r>
              <w:t>- The cause and who is responsible for the ICT-related Incident.</w:t>
            </w:r>
            <w:r>
              <w:br/>
            </w:r>
            <w:r>
              <w:t>- The scope of the ICT-related Incident.</w:t>
            </w:r>
            <w:r>
              <w:br/>
            </w:r>
            <w:r>
              <w:t>- The impact caused by the ICT-related Incident.</w:t>
            </w:r>
            <w:r>
              <w:br/>
            </w:r>
            <w:r>
              <w:t>- Relevance regarding notification to external authorities (e.g., due to regulatory requirements or on ad-hoc request of external authority).</w:t>
            </w:r>
            <w:r>
              <w:br/>
            </w:r>
            <w:r>
              <w:t>- The possible effects on assets.</w:t>
            </w:r>
            <w:r>
              <w:br/>
            </w:r>
            <w:r>
              <w:t>- If necessary, involvement or forwarding of the ICT-related Incident to the crisis management and business continuity management units.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Incident &amp; Operational Event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12.1.1, 12.1.2, 12.1.3, 12.1.4, 12.1.5, 12.1.6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Lessons learned exercises must be performed and documented after an ICT-related Incident took place to achieve the following criteria:</w:t>
            </w:r>
            <w:r>
              <w:br/>
            </w:r>
            <w:r>
              <w:t>- Improve the processes and procedures based on experiences from the ICT-related Incident to improve the handling of further ICT-related Incidents.</w:t>
            </w:r>
            <w:r>
              <w:br/>
            </w:r>
            <w:r>
              <w:t>- Detect vulnerabilities and security problems to be mitigated and define measures to mitigate the risk of this ICT-related Incident to re-occur (long-term measures).</w:t>
            </w:r>
            <w:r>
              <w:br/>
            </w:r>
            <w:r>
              <w:t>- Ensure the defined long-term measures are implemented.</w:t>
            </w:r>
            <w:r>
              <w:br/>
            </w:r>
            <w:r>
              <w:t>- Improve tool capabilities to prepare for future ICT-related Incidents.</w:t>
            </w:r>
            <w:r>
              <w:br/>
            </w:r>
            <w:r>
              <w:t>- Derive actionable insights into common ICT-related Incident scenarios.</w:t>
            </w:r>
            <w:r>
              <w:br/>
            </w:r>
            <w:r>
              <w:t>- Improve response, resumption, and recovery plans.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Operations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21.12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21.12.1, 21.12.2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secure mobile device management (MDM) of privately-owned mobile devices must be in line with legal entity owned mobile devices. This implies at least the following:</w:t>
            </w:r>
            <w:r>
              <w:br/>
            </w:r>
            <w:r>
              <w:t>- lock screen must be enabled, and auto-lock timeout must be defined to ensure that the mobile device is automatically locked after a period of inactivity</w:t>
            </w:r>
            <w:r>
              <w:br/>
            </w:r>
            <w:r>
              <w:t>- access to stored business data must automatically be locked in case of repeated entry of a wrong passcode (relevant for smartphones and tablets in accordance with the Identity and Access Management Guideline)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Risk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10.7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10.7.1, 10.7.2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threat, if occurred, could affect or could have affected critical or important functions of DBAG or related legal entities (including third-party providers, clients, or financial counterparts) based on available information.</w:t>
            </w:r>
            <w:r>
              <w:br/>
            </w:r>
            <w:r>
              <w:t>- The threat has a high probability of occurrence at DBAG or related legal entities and must take into account at least the following elements:</w:t>
            </w:r>
            <w:r>
              <w:br/>
            </w:r>
            <w:r>
              <w:t>- The capabilities and intent of threat actors to the extent known by DBAG or related legal entities.</w:t>
            </w:r>
            <w:r>
              <w:br/>
            </w:r>
            <w:r>
              <w:t>- The persistence of the threat and any accrued knowledge about ICT-related incidents that have impacted DBAG or related legal entities or its third-party provider, clients, or financial counterparts.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 in ICTR-CF (as in the guideline)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10.8.1 (</w:t>
            </w:r>
            <w:r>
              <w:rPr>
                <w:color w:val="333333"/>
              </w:rPr>
              <w:t>DOR.ICT.RMG.RTL.012)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The threat, if occurred, could affect or could have affected critical or important functions of DBAG or related legal entities (including third-party providers, clients, or financial counterparts) based on available information.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10.8.2 (</w:t>
            </w:r>
            <w:r>
              <w:rPr>
                <w:color w:val="333333"/>
              </w:rPr>
              <w:t>DOR.ICT.RMG.RTL.013)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threat has a high probability of occurrence at DBAG or related legal entities and must take into account at least the following elements: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    The capabilities and intent of threat actors to the extent known by DBAG or related legal entities.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    The persistence of the threat and any accrued knowledge about ICT-related incidents that have impacted DBAG or related legal entities or its third-party provider, clients, or financial counterparts.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    The geographical spread of the areas at risk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Risk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15.6.1, 15.6.2, 15.6.3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All identified ICT risks must be assigned to one of the following treatment options as part of the ICT risk treatment plan:</w:t>
            </w:r>
            <w:r>
              <w:br/>
            </w:r>
            <w:r>
              <w:t>- Accept - acceptance of risk without mitigation (risks in scope for KRITIS assets must not be accepted if state-of-the-art mitigating measures are available and their use is appropriate). Risk acceptance is only possible for the remaining residual risk.</w:t>
            </w:r>
            <w:r>
              <w:br/>
            </w:r>
            <w:r>
              <w:t>- Mitigate - implementation of mitigating measures to reduce the ICT risk level.</w:t>
            </w:r>
            <w:r>
              <w:br/>
            </w:r>
            <w:r>
              <w:t>- Avoid - elimination of activities and exposures that can negatively affect Primary and Secondary Assets of the legal entities.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Identity and Access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14.4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14.4.1, 14.4.2, 14.4.3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Credentials Obfuscation (Disable Password View / Copy):</w:t>
            </w:r>
            <w:r>
              <w:br/>
            </w:r>
            <w:r>
              <w:t>- The passwords for privileged accounts must remain hidden and must not be subject to copying.</w:t>
            </w:r>
            <w:r>
              <w:br/>
            </w:r>
            <w:r>
              <w:t>- De-obfuscation for Emergency Accounts and Break Glass Accounts is allowed, provided that:</w:t>
            </w:r>
            <w:r>
              <w:br/>
            </w:r>
            <w:r>
              <w:t>- all other Privileged Access Management (PAM) control requirements in ID: 11, 12 and 13 are implemented (including traceability to individuals),</w:t>
            </w:r>
            <w:r>
              <w:br/>
            </w:r>
            <w:r>
              <w:t>- passwords must be automatically rotated after being retrieved from the secure storage and utilized,</w:t>
            </w:r>
            <w:r>
              <w:br/>
            </w:r>
            <w:r>
              <w:t>- any use of emergency access must be documented, and a Security Information and Event Management (SIEM) alert must be sent in the event of account usage.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Encryption and Key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15.2.1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Processes and countermeasures must be defined on how to react in case of a key loss or failure, malfunction, or breakdown of cryptographic products.</w:t>
            </w:r>
            <w:r>
              <w:br/>
            </w:r>
            <w:r>
              <w:t>- Additional PKI-specific and certificate-related requirements:</w:t>
            </w:r>
            <w:r>
              <w:br/>
            </w:r>
            <w:r>
              <w:t>- Possible countermeasures for ICT-related incidents include the following:</w:t>
            </w:r>
            <w:r>
              <w:br/>
            </w:r>
            <w:r>
              <w:t>- revocation of the key and adding it to the Certificate Revocation List (CRL),</w:t>
            </w:r>
            <w:r>
              <w:br/>
            </w:r>
            <w:r>
              <w:t>- deletion of data encrypted with forged keys,</w:t>
            </w:r>
            <w:r>
              <w:br/>
            </w:r>
            <w:r>
              <w:t>- prolonging the security by re-encryption and</w:t>
            </w:r>
            <w:r>
              <w:br/>
            </w:r>
            <w:r>
              <w:t>- building of signature chains.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Human-related ICT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3.3.1, 3.3.2, 3.3.3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ICT security awareness program and DOR training must include at least the following information:</w:t>
            </w:r>
            <w:r>
              <w:br/>
            </w:r>
            <w:r>
              <w:t>- Personal responsibility for own actions and omissions and general responsibilities to protect IT and non-IT Assets.</w:t>
            </w:r>
            <w:r>
              <w:br/>
            </w:r>
            <w:r>
              <w:t>- Fundamental information security obligations (such as reporting ICT-related incidents), generally applicable security measures and information on behavior when security-relevant events occur.</w:t>
            </w:r>
            <w:r>
              <w:br/>
            </w:r>
            <w:r>
              <w:t>- Prevalent and emerging cyber threats and risks.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Incident &amp; Operational Event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7.3.1, 7.3.2, 7.3.3, 7.3.4, 7.3.5, 7.3.6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During the assessment phase of an ICT-related Incident, the following information must be assessed:</w:t>
            </w:r>
            <w:r>
              <w:br/>
            </w:r>
            <w:r>
              <w:t>- The cause and who is responsible for the ICT-related Incident.</w:t>
            </w:r>
            <w:r>
              <w:br/>
            </w:r>
            <w:r>
              <w:t>- The scope of the ICT-related Incident.</w:t>
            </w:r>
            <w:r>
              <w:br/>
            </w:r>
            <w:r>
              <w:t>- The impact caused by the ICT-related Incident.</w:t>
            </w:r>
            <w:r>
              <w:br/>
            </w:r>
            <w:r>
              <w:t>- Relevance regarding notification to external authorities (e.g., due to regulatory requirements or on ad-hoc request of external authority).</w:t>
            </w:r>
            <w:r>
              <w:br/>
            </w:r>
            <w:r>
              <w:t>- The possible effects on assets.</w:t>
            </w:r>
            <w:r>
              <w:br/>
            </w:r>
            <w:r>
              <w:t>- If necessary, involvement or forwarding of the ICT-related Incident to the crisis management and business continuity management units.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Incident &amp; Operational Event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12.1.1, 12.1.2, 12.1.3, 12.1.4, 12.1.5, 12.1.6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Lessons learned exercises must be performed and documented after an ICT-related Incident took place to achieve the following criteria:</w:t>
            </w:r>
            <w:r>
              <w:br/>
            </w:r>
            <w:r>
              <w:t>- Improve the processes and procedures based on experiences from the ICT-related Incident to improve the handling of further ICT-related Incidents.</w:t>
            </w:r>
            <w:r>
              <w:br/>
            </w:r>
            <w:r>
              <w:t>- Detect vulnerabilities and security problems to be mitigated and define measures to mitigate the risk of this ICT-related Incident to re-occur (long-term measures).</w:t>
            </w:r>
            <w:r>
              <w:br/>
            </w:r>
            <w:r>
              <w:t>- Ensure the defined long-term measures are implemented.</w:t>
            </w:r>
            <w:r>
              <w:br/>
            </w:r>
            <w:r>
              <w:t>- Improve tool capabilities to prepare for future ICT-related Incidents.</w:t>
            </w:r>
            <w:r>
              <w:br/>
            </w:r>
            <w:r>
              <w:t>- Derive actionable insights into common ICT-related Incident scenarios.</w:t>
            </w:r>
            <w:r>
              <w:br/>
            </w:r>
            <w:r>
              <w:t>- Improve response, resumption, and recovery plans.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Operations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21.12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21.12.1, 21.12.2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secure mobile device management (MDM) of privately-owned mobile devices must be in line with legal entity owned mobile devices. This implies at least the following:</w:t>
            </w:r>
            <w:r>
              <w:br/>
            </w:r>
            <w:r>
              <w:t>- lock screen must be enabled, and auto-lock timeout must be defined to ensure that the mobile device is automatically locked after a period of inactivity</w:t>
            </w:r>
            <w:r>
              <w:br/>
            </w:r>
            <w:r>
              <w:t>- access to stored business data must automatically be locked in case of repeated entry of a wrong passcode (relevant for smartphones and tablets in accordance with the Identity and Access Management Guideline)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Risk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10.7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10.7.1, 10.7.2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threat, if occurred, could affect or could have affected critical or important functions of DBAG or related legal entities (including third-party providers, clients, or financial counterparts) based on available information.</w:t>
            </w:r>
            <w:r>
              <w:br/>
            </w:r>
            <w:r>
              <w:t>- The threat has a high probability of occurrence at DBAG or related legal entities and must take into account at least the following elements:</w:t>
            </w:r>
            <w:r>
              <w:br/>
            </w:r>
            <w:r>
              <w:t>- The capabilities and intent of threat actors to the extent known by DBAG or related legal entities.</w:t>
            </w:r>
            <w:r>
              <w:br/>
            </w:r>
            <w:r>
              <w:t>- The persistence of the threat and any accrued knowledge about ICT-related incidents that have impacted DBAG or related legal entities or its third-party provider, clients, or financial counterparts.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ICT Risk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15.6.1, 15.6.2, 15.6.3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All identified ICT risks must be assigned to one of the following treatment options as part of the ICT risk treatment plan:</w:t>
            </w:r>
            <w:r>
              <w:br/>
            </w:r>
            <w:r>
              <w:t>- Accept - acceptance of risk without mitigation (risks in scope for KRITIS assets must not be accepted if state-of-the-art mitigating measures are available and their use is appropriate). Risk acceptance is only possible for the remaining residual risk.</w:t>
            </w:r>
            <w:r>
              <w:br/>
            </w:r>
            <w:r>
              <w:t>- Mitigate - implementation of mitigating measures to reduce the ICT risk level.</w:t>
            </w:r>
            <w:r>
              <w:br/>
            </w:r>
            <w:r>
              <w:t>- Avoid - elimination of activities and exposures that can negatively affect Primary and Secondary Assets of the legal entities.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 it was - to be changed in the guideline in next review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Identity and Access 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14.4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14.4.1, 14.4.2, 14.4.3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Credentials Obfuscation (Disable Password View / Copy):</w:t>
            </w:r>
            <w:r>
              <w:br/>
            </w:r>
            <w:r>
              <w:t>- The passwords for privileged accounts must remain hidden and must not be subject to copying.</w:t>
            </w:r>
            <w:r>
              <w:br/>
            </w:r>
            <w:r>
              <w:t>- De-obfuscation for Emergency Accounts and Break Glass Accounts is allowed, provided that:</w:t>
            </w:r>
            <w:r>
              <w:br/>
            </w:r>
            <w:r>
              <w:t>- all other Privileged Access Management (PAM) control requirements in ID: 11, 12 and 13 are implemented (including traceability to individuals),</w:t>
            </w:r>
            <w:r>
              <w:br/>
            </w:r>
            <w:r>
              <w:t>- passwords must be automatically rotated after being retrieved from the secure storage and utilized,</w:t>
            </w:r>
            <w:r>
              <w:br/>
            </w:r>
            <w:r>
              <w:t>- any use of emergency access must be documented, and a Security Information and Event Management (SIEM) alert must be sent in the event of account usage.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 in ICTR-CF (as in the guideline)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10.8.1 (</w:t>
            </w:r>
            <w:r>
              <w:rPr>
                <w:color w:val="333333"/>
              </w:rPr>
              <w:t>DOR.ICT.RMG.RTL.012)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The threat, if occurred, could affect or could have affected critical or important functions of DBAG or related legal entities (including third-party providers, clients, or financial counterparts) based on available information.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10.8.2 (</w:t>
            </w:r>
            <w:r>
              <w:rPr>
                <w:color w:val="333333"/>
              </w:rPr>
              <w:t>DOR.ICT.RMG.RTL.013)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The threat has a high probability of occurrence at DBAG or related legal entities and must take into account at least the following elements: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    The capabilities and intent of threat actors to the extent known by DBAG or related legal entities.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    The persistence of the threat and any accrued knowledge about ICT-related incidents that have impacted DBAG or related legal entities or its third-party provider, clients, or financial counterparts.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    The geographical spread of the areas at risk</w:t>
            </w:r>
          </w:p>
        </w:tc>
      </w:tr>
    </w:tbl>
    <w:p>
      <w:pPr>
        <w:pStyle w:val="Heading1"/>
      </w:pPr>
      <w:bookmarkStart w:id="5" w:name="scroll-bookmark-4"/>
      <w:bookmarkStart w:id="6" w:name="_Toc256000005"/>
      <w:r>
        <w:t>To-Do for publishing ICTR-CF v8.0.0</w:t>
      </w:r>
      <w:bookmarkEnd w:id="6"/>
      <w:bookmarkEnd w:id="5"/>
    </w:p>
    <w:p>
      <w:hyperlink r:id="rId11" w:history="1">
        <w:r>
          <w:rPr>
            <w:rStyle w:val="Hyperlink"/>
          </w:rPr>
          <w:t>To-Do for publishing ICTR-CF v8.0.0 - Group ICT Risk - Knowledge</w:t>
        </w:r>
      </w:hyperlink>
    </w:p>
    <w:p/>
    <w:p>
      <w:pPr>
        <w:pStyle w:val="Heading1"/>
      </w:pPr>
      <w:bookmarkStart w:id="7" w:name="scroll-bookmark-5"/>
      <w:bookmarkStart w:id="8" w:name="_Toc256000006"/>
      <w:r>
        <w:t>Confluence to ICT CF Pipeline Status</w:t>
      </w:r>
      <w:bookmarkEnd w:id="8"/>
      <w:bookmarkEnd w:id="7"/>
    </w:p>
    <w:p>
      <w:r>
        <w:t xml:space="preserve">Last export date: </w:t>
      </w:r>
      <w:r>
        <w:t>06 Aug 2026</w:t>
      </w:r>
      <w:r>
        <w:t xml:space="preserve"> early afternoon, added labels and re-populated assurance and key controls.</w:t>
      </w:r>
      <w:r>
        <w:br/>
      </w:r>
      <w:r>
        <w:t xml:space="preserve">Last result: </w:t>
      </w:r>
      <w:hyperlink r:id="rId12" w:history="1">
        <w:r>
          <w:rPr>
            <w:rStyle w:val="Hyperlink"/>
          </w:rPr>
          <w:t>ICTR-CF_v7.00_result_20260806_1326.xlsx</w:t>
        </w:r>
      </w:hyperlink>
    </w:p>
    <w:p>
      <w:r>
        <w:t xml:space="preserve">Export date: </w:t>
      </w:r>
      <w:r>
        <w:t>05 Aug 2026</w:t>
      </w:r>
      <w:r>
        <w:t xml:space="preserve"> late afternoon</w:t>
      </w:r>
      <w:r>
        <w:br/>
      </w:r>
      <w:r>
        <w:t xml:space="preserve">Result: </w:t>
      </w:r>
      <w:hyperlink r:id="rId13" w:history="1">
        <w:r>
          <w:rPr>
            <w:rStyle w:val="Hyperlink"/>
          </w:rPr>
          <w:t>ICTR-CF_v7.00_result_20260805_1456.xlsx</w:t>
        </w:r>
      </w:hyperlink>
    </w:p>
    <w:p>
      <w:r>
        <w:t xml:space="preserve">Export date: </w:t>
      </w:r>
      <w:r>
        <w:t>17 Jul 2026</w:t>
      </w:r>
      <w:r>
        <w:t xml:space="preserve"> morning</w:t>
      </w:r>
      <w:r>
        <w:br/>
      </w:r>
      <w:r>
        <w:t xml:space="preserve">Result: </w:t>
      </w:r>
      <w:hyperlink r:id="rId14" w:history="1">
        <w:r>
          <w:rPr>
            <w:rStyle w:val="Hyperlink"/>
          </w:rPr>
          <w:t>ICTR-CF_v7.00_result_20260721_1135.xlsx</w:t>
        </w:r>
      </w:hyperlink>
      <w:r>
        <w:t xml:space="preserve"> QA: deleted IDs are missing, not marked as Deleted = yes .</w:t>
      </w:r>
      <w:r>
        <w:br/>
      </w:r>
    </w:p>
    <w:p>
      <w:pPr>
        <w:pStyle w:val="Heading1"/>
      </w:pPr>
      <w:bookmarkStart w:id="9" w:name="scroll-bookmark-6"/>
      <w:bookmarkStart w:id="10" w:name="_Toc256000007"/>
      <w:r>
        <w:t>Confluence to Word Docx pipeline Status</w:t>
      </w:r>
      <w:bookmarkEnd w:id="10"/>
      <w:bookmarkEnd w:id="9"/>
    </w:p>
    <w:p>
      <w:r>
        <w:t xml:space="preserve">Last export data: </w:t>
      </w:r>
      <w:r>
        <w:t>11 Aug 2026</w:t>
      </w:r>
      <w:r>
        <w:t>  18:30h</w:t>
      </w:r>
    </w:p>
    <w:p>
      <w:hyperlink r:id="rId15" w:history="1">
        <w:r>
          <w:rPr>
            <w:rStyle w:val="Hyperlink"/>
          </w:rPr>
          <w:t>Third Party ICT Risk Management Guideline_v2.0.docx</w:t>
        </w:r>
      </w:hyperlink>
    </w:p>
    <w:p>
      <w:hyperlink r:id="rId16" w:history="1">
        <w:r>
          <w:rPr>
            <w:rStyle w:val="Hyperlink"/>
          </w:rPr>
          <w:t>Network Security Guideline_v2.0.docx</w:t>
        </w:r>
      </w:hyperlink>
    </w:p>
    <w:p>
      <w:hyperlink r:id="rId17" w:history="1">
        <w:r>
          <w:rPr>
            <w:rStyle w:val="Hyperlink"/>
          </w:rPr>
          <w:t>Identity and Access Management Guideline_v2.0.docx</w:t>
        </w:r>
      </w:hyperlink>
    </w:p>
    <w:p>
      <w:hyperlink r:id="rId18" w:history="1">
        <w:r>
          <w:rPr>
            <w:rStyle w:val="Hyperlink"/>
          </w:rPr>
          <w:t>IDP &amp; NCLC Application Governance Guideline_v2.0.docx</w:t>
        </w:r>
      </w:hyperlink>
    </w:p>
    <w:p>
      <w:hyperlink r:id="rId19" w:history="1">
        <w:r>
          <w:rPr>
            <w:rStyle w:val="Hyperlink"/>
          </w:rPr>
          <w:t>ICT Patch and Vulnerability Management Guideline_v2.0.docx</w:t>
        </w:r>
      </w:hyperlink>
    </w:p>
    <w:p>
      <w:hyperlink r:id="rId20" w:history="1">
        <w:r>
          <w:rPr>
            <w:rStyle w:val="Hyperlink"/>
          </w:rPr>
          <w:t>ICT Risk Management Guideline_3.0.docx</w:t>
        </w:r>
      </w:hyperlink>
    </w:p>
    <w:p>
      <w:hyperlink r:id="rId21" w:history="1">
        <w:r>
          <w:rPr>
            <w:rStyle w:val="Hyperlink"/>
          </w:rPr>
          <w:t>ICTR AI Guideline v2.0_final.docx</w:t>
        </w:r>
      </w:hyperlink>
    </w:p>
    <w:p>
      <w:hyperlink r:id="rId22" w:history="1">
        <w:r>
          <w:rPr>
            <w:rStyle w:val="Hyperlink"/>
          </w:rPr>
          <w:t>Data Center and Physical Protection Guideline_v.2.0.docx</w:t>
        </w:r>
      </w:hyperlink>
    </w:p>
    <w:p>
      <w:hyperlink r:id="rId23" w:history="1">
        <w:r>
          <w:rPr>
            <w:rStyle w:val="Hyperlink"/>
          </w:rPr>
          <w:t>Data Security Governance Guideline_v3.0_final.docx</w:t>
        </w:r>
      </w:hyperlink>
    </w:p>
    <w:p>
      <w:hyperlink r:id="rId24" w:history="1">
        <w:r>
          <w:rPr>
            <w:rStyle w:val="Hyperlink"/>
          </w:rPr>
          <w:t>Encryption and Key Management Guideline_v2.0.docx</w:t>
        </w:r>
      </w:hyperlink>
    </w:p>
    <w:p>
      <w:hyperlink r:id="rId25" w:history="1">
        <w:r>
          <w:rPr>
            <w:rStyle w:val="Hyperlink"/>
          </w:rPr>
          <w:t>Human-related ICT Management Guideline_v2.0.docx</w:t>
        </w:r>
      </w:hyperlink>
    </w:p>
    <w:p>
      <w:hyperlink r:id="rId26" w:history="1">
        <w:r>
          <w:rPr>
            <w:rStyle w:val="Hyperlink"/>
          </w:rPr>
          <w:t>ICT Asset Management Guideline_v2.0.docx</w:t>
        </w:r>
      </w:hyperlink>
    </w:p>
    <w:p>
      <w:hyperlink r:id="rId27" w:history="1">
        <w:r>
          <w:rPr>
            <w:rStyle w:val="Hyperlink"/>
          </w:rPr>
          <w:t>ICT Incident &amp; Operational Event Management Guideline_v2.0.docx</w:t>
        </w:r>
      </w:hyperlink>
    </w:p>
    <w:p>
      <w:hyperlink r:id="rId28" w:history="1">
        <w:r>
          <w:rPr>
            <w:rStyle w:val="Hyperlink"/>
          </w:rPr>
          <w:t>ICT Operations Guideline_v2.0.docx</w:t>
        </w:r>
      </w:hyperlink>
    </w:p>
    <w:p>
      <w:hyperlink r:id="rId29" w:history="1">
        <w:r>
          <w:rPr>
            <w:rStyle w:val="Hyperlink"/>
          </w:rPr>
          <w:t>Software Development and ICT Change Management Guideline_v2.0.docx</w:t>
        </w:r>
      </w:hyperlink>
    </w:p>
    <w:p/>
    <w:p>
      <w:r>
        <w:t xml:space="preserve">Last export data: </w:t>
      </w:r>
      <w:r>
        <w:t>07 Aug 2026</w:t>
      </w:r>
      <w:r>
        <w:t>  17.00h</w:t>
      </w:r>
    </w:p>
    <w:p>
      <w:r>
        <w:t>Results: DSG guideline table under 3.3 is not included. Review and Copy by hand. Also Section 3.3 Account Types in IAM GL, review and copy by hand.</w:t>
      </w:r>
    </w:p>
    <w:p>
      <w:hyperlink r:id="rId30" w:history="1">
        <w:r>
          <w:rPr>
            <w:rStyle w:val="Hyperlink"/>
          </w:rPr>
          <w:t>Identity and Access Management Guideline v2.0.docx</w:t>
        </w:r>
      </w:hyperlink>
    </w:p>
    <w:p>
      <w:hyperlink r:id="rId31" w:history="1">
        <w:r>
          <w:rPr>
            <w:rStyle w:val="Hyperlink"/>
          </w:rPr>
          <w:t>Individual Data Processing and NoLow-code Application Governance Guideline v2.0.docx</w:t>
        </w:r>
      </w:hyperlink>
    </w:p>
    <w:p>
      <w:hyperlink r:id="rId32" w:history="1">
        <w:r>
          <w:rPr>
            <w:rStyle w:val="Hyperlink"/>
          </w:rPr>
          <w:t>Network Security Guideline v2.0.docx</w:t>
        </w:r>
      </w:hyperlink>
    </w:p>
    <w:p>
      <w:hyperlink r:id="rId33" w:history="1">
        <w:r>
          <w:rPr>
            <w:rStyle w:val="Hyperlink"/>
          </w:rPr>
          <w:t>Software Development and ICT Change Management Guideline v2.0.docx</w:t>
        </w:r>
      </w:hyperlink>
    </w:p>
    <w:p>
      <w:hyperlink r:id="rId34" w:history="1">
        <w:r>
          <w:rPr>
            <w:rStyle w:val="Hyperlink"/>
          </w:rPr>
          <w:t>Third-Party ICT Risk Management Guideline v2.0.docx</w:t>
        </w:r>
      </w:hyperlink>
    </w:p>
    <w:p>
      <w:hyperlink r:id="rId35" w:history="1">
        <w:r>
          <w:rPr>
            <w:rStyle w:val="Hyperlink"/>
          </w:rPr>
          <w:t>Data Center and Physical Protection Guideline v2.0.docx</w:t>
        </w:r>
      </w:hyperlink>
    </w:p>
    <w:p>
      <w:hyperlink r:id="rId36" w:history="1">
        <w:r>
          <w:rPr>
            <w:rStyle w:val="Hyperlink"/>
          </w:rPr>
          <w:t>Data Security Governance v3.0.docx</w:t>
        </w:r>
      </w:hyperlink>
    </w:p>
    <w:p>
      <w:hyperlink r:id="rId37" w:history="1">
        <w:r>
          <w:rPr>
            <w:rStyle w:val="Hyperlink"/>
          </w:rPr>
          <w:t>Encryption and Key Management Guideline v2.0.docx</w:t>
        </w:r>
      </w:hyperlink>
    </w:p>
    <w:p>
      <w:hyperlink r:id="rId38" w:history="1">
        <w:r>
          <w:rPr>
            <w:rStyle w:val="Hyperlink"/>
          </w:rPr>
          <w:t>Human-related ICT Management Guideline v2.0.docx</w:t>
        </w:r>
      </w:hyperlink>
    </w:p>
    <w:p>
      <w:hyperlink r:id="rId39" w:history="1">
        <w:r>
          <w:rPr>
            <w:rStyle w:val="Hyperlink"/>
          </w:rPr>
          <w:t>ICT Asset Management Guideline v2.0.docx</w:t>
        </w:r>
      </w:hyperlink>
    </w:p>
    <w:p>
      <w:hyperlink r:id="rId40" w:history="1">
        <w:r>
          <w:rPr>
            <w:rStyle w:val="Hyperlink"/>
          </w:rPr>
          <w:t>ICT Incident Operational Event Management Guideline v2.0.docx</w:t>
        </w:r>
      </w:hyperlink>
    </w:p>
    <w:p>
      <w:hyperlink r:id="rId41" w:history="1">
        <w:r>
          <w:rPr>
            <w:rStyle w:val="Hyperlink"/>
          </w:rPr>
          <w:t>ICT Operations Guideline v2.0.docx</w:t>
        </w:r>
      </w:hyperlink>
    </w:p>
    <w:p>
      <w:hyperlink r:id="rId42" w:history="1">
        <w:r>
          <w:rPr>
            <w:rStyle w:val="Hyperlink"/>
          </w:rPr>
          <w:t>ICT Patch and Vulnerability Management Guideline v2.0.docx</w:t>
        </w:r>
      </w:hyperlink>
    </w:p>
    <w:p>
      <w:hyperlink r:id="rId43" w:history="1">
        <w:r>
          <w:rPr>
            <w:rStyle w:val="Hyperlink"/>
          </w:rPr>
          <w:t>ICT Risk AI Guideline v2.0.docx</w:t>
        </w:r>
      </w:hyperlink>
    </w:p>
    <w:p>
      <w:hyperlink r:id="rId44" w:history="1">
        <w:r>
          <w:rPr>
            <w:rStyle w:val="Hyperlink"/>
          </w:rPr>
          <w:t>ICT Risk Management Guideline v3.0.docx</w:t>
        </w:r>
      </w:hyperlink>
    </w:p>
    <w:p/>
    <w:p>
      <w:r>
        <w:t xml:space="preserve">Export data: </w:t>
      </w:r>
      <w:r>
        <w:t>06 Aug 2026</w:t>
      </w:r>
      <w:r>
        <w:t>  16.45h</w:t>
      </w:r>
    </w:p>
    <w:p>
      <w:r>
        <w:t>Results: formatting issues</w:t>
      </w:r>
    </w:p>
    <w:p>
      <w:hyperlink r:id="rId39" w:history="1">
        <w:r>
          <w:rPr>
            <w:rStyle w:val="Hyperlink"/>
          </w:rPr>
          <w:t>ICT Asset Management Guideline v2.0.docx</w:t>
        </w:r>
      </w:hyperlink>
    </w:p>
    <w:p>
      <w:hyperlink r:id="rId38" w:history="1">
        <w:r>
          <w:rPr>
            <w:rStyle w:val="Hyperlink"/>
          </w:rPr>
          <w:t>Human-related ICT Management Guideline v2.0.docx</w:t>
        </w:r>
      </w:hyperlink>
    </w:p>
    <w:p>
      <w:hyperlink r:id="rId37" w:history="1">
        <w:r>
          <w:rPr>
            <w:rStyle w:val="Hyperlink"/>
          </w:rPr>
          <w:t>Encryption and Key Management Guideline v2.0.docx</w:t>
        </w:r>
      </w:hyperlink>
    </w:p>
    <w:p>
      <w:hyperlink r:id="rId36" w:history="1">
        <w:r>
          <w:rPr>
            <w:rStyle w:val="Hyperlink"/>
          </w:rPr>
          <w:t>Data Security Governance v3.0.docx</w:t>
        </w:r>
      </w:hyperlink>
    </w:p>
    <w:p>
      <w:hyperlink r:id="rId35" w:history="1">
        <w:r>
          <w:rPr>
            <w:rStyle w:val="Hyperlink"/>
          </w:rPr>
          <w:t>Data Center and Physical Protection Guideline v2.0.docx</w:t>
        </w:r>
      </w:hyperlink>
    </w:p>
    <w:p>
      <w:hyperlink r:id="rId34" w:history="1">
        <w:r>
          <w:rPr>
            <w:rStyle w:val="Hyperlink"/>
          </w:rPr>
          <w:t>Third-Party ICT Risk Management Guideline v2.0.docx</w:t>
        </w:r>
      </w:hyperlink>
    </w:p>
    <w:p>
      <w:hyperlink r:id="rId33" w:history="1">
        <w:r>
          <w:rPr>
            <w:rStyle w:val="Hyperlink"/>
          </w:rPr>
          <w:t>Software Development and ICT Change Management Guideline v2.0.docx</w:t>
        </w:r>
      </w:hyperlink>
    </w:p>
    <w:p>
      <w:hyperlink r:id="rId32" w:history="1">
        <w:r>
          <w:rPr>
            <w:rStyle w:val="Hyperlink"/>
          </w:rPr>
          <w:t>Network Security Guideline v2.0.docx</w:t>
        </w:r>
      </w:hyperlink>
    </w:p>
    <w:p>
      <w:hyperlink r:id="rId31" w:history="1">
        <w:r>
          <w:rPr>
            <w:rStyle w:val="Hyperlink"/>
          </w:rPr>
          <w:t>Individual Data Processing and NoLow-code Application Governance Guideline v2.0.docx</w:t>
        </w:r>
      </w:hyperlink>
    </w:p>
    <w:p>
      <w:hyperlink r:id="rId30" w:history="1">
        <w:r>
          <w:rPr>
            <w:rStyle w:val="Hyperlink"/>
          </w:rPr>
          <w:t>Identity and Access Management Guideline v2.0.docx</w:t>
        </w:r>
      </w:hyperlink>
    </w:p>
    <w:p>
      <w:hyperlink r:id="rId44" w:history="1">
        <w:r>
          <w:rPr>
            <w:rStyle w:val="Hyperlink"/>
          </w:rPr>
          <w:t>ICT Risk Management Guideline v3.0.docx</w:t>
        </w:r>
      </w:hyperlink>
    </w:p>
    <w:p>
      <w:hyperlink r:id="rId43" w:history="1">
        <w:r>
          <w:rPr>
            <w:rStyle w:val="Hyperlink"/>
          </w:rPr>
          <w:t>ICT Risk AI Guideline v2.0.docx</w:t>
        </w:r>
      </w:hyperlink>
    </w:p>
    <w:p>
      <w:hyperlink r:id="rId42" w:history="1">
        <w:r>
          <w:rPr>
            <w:rStyle w:val="Hyperlink"/>
          </w:rPr>
          <w:t>ICT Patch and Vulnerability Management Guideline v2.0.docx</w:t>
        </w:r>
      </w:hyperlink>
    </w:p>
    <w:p>
      <w:hyperlink r:id="rId41" w:history="1">
        <w:r>
          <w:rPr>
            <w:rStyle w:val="Hyperlink"/>
          </w:rPr>
          <w:t>ICT Operations Guideline v2.0.docx</w:t>
        </w:r>
      </w:hyperlink>
    </w:p>
    <w:p>
      <w:hyperlink r:id="rId40" w:history="1">
        <w:r>
          <w:rPr>
            <w:rStyle w:val="Hyperlink"/>
          </w:rPr>
          <w:t>ICT Incident Operational Event Management Guideline v2.0.docx</w:t>
        </w:r>
      </w:hyperlink>
    </w:p>
    <w:sectPr w:rsidSect="008B1C6A">
      <w:footerReference w:type="default" r:id="rId4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910A82" w14:paraId="57AFF96D" w14:textId="3A2956C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55865" cy="273050"/>
              <wp:effectExtent l="0" t="0" r="0" b="12700"/>
              <wp:wrapNone/>
              <wp:docPr id="1" name="MSIPCMb4e145b5b15c97bef5aaae31" descr="{&quot;HashCode&quot;:442047029,&quot;Height&quot;:841.0,&quot;Width&quot;:594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5586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B0C44" w:rsidRPr="00BB0C44" w:rsidP="00BB0C44" w14:textId="60069B6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BB0C44">
                            <w:rPr>
                              <w:rFonts w:ascii="Calibri" w:hAnsi="Calibri" w:cs="Calibri"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4e145b5b15c97bef5aaae31" o:spid="_x0000_s2049" type="#_x0000_t202" alt="{&quot;HashCode&quot;:442047029,&quot;Height&quot;:841.0,&quot;Width&quot;:594.0,&quot;Placement&quot;:&quot;Footer&quot;,&quot;Index&quot;:&quot;Primary&quot;,&quot;Section&quot;:1,&quot;Top&quot;:0.0,&quot;Left&quot;:0.0}" style="width:594.95pt;height:21.5pt;margin-top:805.35pt;margin-left:0;mso-position-horizontal-relative:page;mso-position-vertical-relative:page;mso-wrap-distance-bottom:0;mso-wrap-distance-left:9pt;mso-wrap-distance-right:9pt;mso-wrap-distance-top:0;mso-wrap-style:square;position:absolute;visibility:visible;v-text-anchor:bottom;z-index:251659264" o:allowincell="f" filled="f" stroked="f" strokeweight="0.5pt">
              <v:textbox inset=",0,,0">
                <w:txbxContent>
                  <w:p w:rsidR="00BB0C44" w:rsidRPr="00BB0C44" w:rsidP="00BB0C44" w14:paraId="60081F2A" w14:textId="60069B6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BB0C44">
                      <w:rPr>
                        <w:rFonts w:ascii="Calibri" w:hAnsi="Calibri" w:cs="Calibri"/>
                        <w:color w:val="00000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  <w:r w:rsidRPr="00910A82" w:rsid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0C44" w14:paraId="1605FDBD" w14:textId="107CF08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55865" cy="273050"/>
              <wp:effectExtent l="0" t="0" r="0" b="12700"/>
              <wp:wrapNone/>
              <wp:docPr id="2" name="MSIPCM56c443629f48887b3cd5ff79" descr="{&quot;HashCode&quot;:442047029,&quot;Height&quot;:841.0,&quot;Width&quot;:594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5586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B0C44" w:rsidRPr="00BB0C44" w:rsidP="00BB0C44" w14:textId="11E15C5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BB0C44">
                            <w:rPr>
                              <w:rFonts w:ascii="Calibri" w:hAnsi="Calibri" w:cs="Calibri"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56c443629f48887b3cd5ff79" o:spid="_x0000_s2050" type="#_x0000_t202" alt="{&quot;HashCode&quot;:442047029,&quot;Height&quot;:841.0,&quot;Width&quot;:594.0,&quot;Placement&quot;:&quot;Footer&quot;,&quot;Index&quot;:&quot;FirstPage&quot;,&quot;Section&quot;:1,&quot;Top&quot;:0.0,&quot;Left&quot;:0.0}" style="width:594.95pt;height:21.5pt;margin-top:805.35pt;margin-left:0;mso-position-horizontal-relative:page;mso-position-vertical-relative:page;mso-wrap-distance-bottom:0;mso-wrap-distance-left:9pt;mso-wrap-distance-right:9pt;mso-wrap-distance-top:0;mso-wrap-style:square;position:absolute;visibility:visible;v-text-anchor:bottom;z-index:251661312" o:allowincell="f" filled="f" stroked="f" strokeweight="0.5pt">
              <v:textbox inset=",0,,0">
                <w:txbxContent>
                  <w:p w:rsidR="00BB0C44" w:rsidRPr="00BB0C44" w:rsidP="00BB0C44" w14:paraId="1D71E738" w14:textId="11E15C5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BB0C44">
                      <w:rPr>
                        <w:rFonts w:ascii="Calibri" w:hAnsi="Calibri" w:cs="Calibri"/>
                        <w:color w:val="00000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D8012A" w14:paraId="59123AE0" w14:textId="60F142C3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Confluence to Word Docx pipeline Status</w:t>
    </w:r>
    <w:r>
      <w:rPr>
        <w:noProof/>
      </w:rPr>
      <w:fldChar w:fldCharType="end"/>
    </w:r>
    <w:r>
      <w:t xml:space="preserve"> – </w:t>
    </w:r>
    <w:r w:rsidR="00BB0C4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55865" cy="273050"/>
              <wp:effectExtent l="0" t="0" r="0" b="12700"/>
              <wp:wrapNone/>
              <wp:docPr id="3" name="MSIPCM1ed542ee8a6669b26fd7a22c" descr="{&quot;HashCode&quot;:442047029,&quot;Height&quot;:841.0,&quot;Width&quot;:594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5586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B0C44" w:rsidRPr="00BB0C44" w:rsidP="00BB0C44" w14:textId="63CA1A2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BB0C44">
                            <w:rPr>
                              <w:rFonts w:ascii="Calibri" w:hAnsi="Calibri" w:cs="Calibri"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ed542ee8a6669b26fd7a22c" o:spid="_x0000_s2051" type="#_x0000_t202" alt="{&quot;HashCode&quot;:442047029,&quot;Height&quot;:841.0,&quot;Width&quot;:594.0,&quot;Placement&quot;:&quot;Footer&quot;,&quot;Index&quot;:&quot;Primary&quot;,&quot;Section&quot;:2,&quot;Top&quot;:0.0,&quot;Left&quot;:0.0}" style="width:594.95pt;height:21.5pt;margin-top:805.35pt;margin-left:0;mso-position-horizontal-relative:page;mso-position-vertical-relative:page;mso-wrap-distance-bottom:0;mso-wrap-distance-left:9pt;mso-wrap-distance-right:9pt;mso-wrap-distance-top:0;mso-wrap-style:square;position:absolute;visibility:visible;v-text-anchor:bottom;z-index:251663360" o:allowincell="f" filled="f" stroked="f" strokeweight="0.5pt">
              <v:textbox inset=",0,,0">
                <w:txbxContent>
                  <w:p w:rsidR="00BB0C44" w:rsidRPr="00BB0C44" w:rsidP="00BB0C44" w14:paraId="03A7112E" w14:textId="63CA1A2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BB0C44">
                      <w:rPr>
                        <w:rFonts w:ascii="Calibri" w:hAnsi="Calibri" w:cs="Calibri"/>
                        <w:color w:val="00000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  <w:r w:rsidRPr="00D8012A" w:rsidR="00910A82">
      <w:fldChar w:fldCharType="begin"/>
    </w:r>
    <w:r w:rsidRPr="00D8012A" w:rsidR="00910A82">
      <w:instrText xml:space="preserve"> PAGE  \* MERGEFORMAT </w:instrText>
    </w:r>
    <w:r w:rsidRPr="00D8012A" w:rsidR="00910A82">
      <w:fldChar w:fldCharType="separate"/>
    </w:r>
    <w:r w:rsidR="00091F1E">
      <w:rPr>
        <w:noProof/>
      </w:rPr>
      <w:t>16</w:t>
    </w:r>
    <w:r w:rsidRPr="00D8012A" w:rsidR="00910A82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0C44" w14:paraId="0CDCAE8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4E4DAA" w:rsidP="004E4DAA" w14:paraId="0F646B39" w14:textId="4284C155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Group ICT Risk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0C44" w14:paraId="2C070EF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5"/>
  </w:num>
  <w:num w:numId="14">
    <w:abstractNumId w:val="26"/>
  </w:num>
  <w:num w:numId="15">
    <w:abstractNumId w:val="2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4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2BE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46E1A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2DA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B0C44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knowledge.deutsche-boerse.de/spaces/ICTR/pages/919208170/To-Do+for+publishing+ICTR-CF+v8.0.0" TargetMode="External" /><Relationship Id="rId12" Type="http://schemas.openxmlformats.org/officeDocument/2006/relationships/hyperlink" Target="https://knowledge.deutsche-boerse.de/download/attachments/848102437/ICTR-CF_v7.00_result_20260806_1326.xlsx?api=v2&amp;modificationDate=1786015846163&amp;version=1" TargetMode="External" /><Relationship Id="rId13" Type="http://schemas.openxmlformats.org/officeDocument/2006/relationships/hyperlink" Target="https://knowledge.deutsche-boerse.de/download/attachments/848102437/ICTR-CF_v7.00_result_20260805_1456.xlsx?api=v2&amp;modificationDate=1785942059131&amp;version=1" TargetMode="External" /><Relationship Id="rId14" Type="http://schemas.openxmlformats.org/officeDocument/2006/relationships/hyperlink" Target="https://knowledge.deutsche-boerse.de/download/attachments/848102437/ICTR-CF_v7.00_result_20260721_1135.xlsx?api=v2&amp;modificationDate=1784634379606&amp;version=1" TargetMode="External" /><Relationship Id="rId15" Type="http://schemas.openxmlformats.org/officeDocument/2006/relationships/hyperlink" Target="https://knowledge.deutsche-boerse.de/download/attachments/848102437/Third%20Party%20ICT%20Risk%20Management%20Guideline_v2.0.docx?api=v2&amp;modificationDate=1786465864030&amp;version=7" TargetMode="External" /><Relationship Id="rId16" Type="http://schemas.openxmlformats.org/officeDocument/2006/relationships/hyperlink" Target="https://knowledge.deutsche-boerse.de/download/attachments/848102437/Network%20Security%20Guideline_v2.0.docx?api=v2&amp;modificationDate=1786465864778&amp;version=7" TargetMode="External" /><Relationship Id="rId17" Type="http://schemas.openxmlformats.org/officeDocument/2006/relationships/hyperlink" Target="https://knowledge.deutsche-boerse.de/download/attachments/848102437/Identity%20and%20Access%20Management%20Guideline_v2.0.docx?api=v2&amp;modificationDate=1786465865535&amp;version=7" TargetMode="External" /><Relationship Id="rId18" Type="http://schemas.openxmlformats.org/officeDocument/2006/relationships/hyperlink" Target="https://knowledge.deutsche-boerse.de/download/attachments/848102437/IDP%20%26%20NCLC%20Application%20Governance%20Guideline_v2.0.docx?api=v2&amp;modificationDate=1786465866053&amp;version=7" TargetMode="External" /><Relationship Id="rId19" Type="http://schemas.openxmlformats.org/officeDocument/2006/relationships/hyperlink" Target="https://knowledge.deutsche-boerse.de/download/attachments/848102437/ICT%20Patch%20and%20Vulnerability%20Management%20Guideline_v2.0.docx?api=v2&amp;modificationDate=1786465866766&amp;version=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knowledge.deutsche-boerse.de/download/attachments/848102437/ICT%20Risk%20Management%20Guideline_3.0.docx?api=v2&amp;modificationDate=1786465867525&amp;version=7" TargetMode="External" /><Relationship Id="rId21" Type="http://schemas.openxmlformats.org/officeDocument/2006/relationships/hyperlink" Target="https://knowledge.deutsche-boerse.de/download/attachments/848102437/ICTR%20AI%20Guideline%20v2.0_final.docx?api=v2&amp;modificationDate=1786465868263&amp;version=7" TargetMode="External" /><Relationship Id="rId22" Type="http://schemas.openxmlformats.org/officeDocument/2006/relationships/hyperlink" Target="https://knowledge.deutsche-boerse.de/download/attachments/848102437/Data%20Center%20and%20Physical%20Protection%20Guideline_v.2.0.docx?api=v2&amp;modificationDate=1786465868919&amp;version=7" TargetMode="External" /><Relationship Id="rId23" Type="http://schemas.openxmlformats.org/officeDocument/2006/relationships/hyperlink" Target="https://knowledge.deutsche-boerse.de/download/attachments/848102437/Data%20Security%20Governance%20Guideline_v3.0_final.docx?api=v2&amp;modificationDate=1786465869505&amp;version=7" TargetMode="External" /><Relationship Id="rId24" Type="http://schemas.openxmlformats.org/officeDocument/2006/relationships/hyperlink" Target="https://knowledge.deutsche-boerse.de/download/attachments/848102437/Encryption%20and%20Key%20Management%20Guideline_v2.0.docx?api=v2&amp;modificationDate=1786465870278&amp;version=7" TargetMode="External" /><Relationship Id="rId25" Type="http://schemas.openxmlformats.org/officeDocument/2006/relationships/hyperlink" Target="https://knowledge.deutsche-boerse.de/download/attachments/848102437/Human-related%20ICT%20Management%20Guideline_v2.0.docx?api=v2&amp;modificationDate=1786465871037&amp;version=7" TargetMode="External" /><Relationship Id="rId26" Type="http://schemas.openxmlformats.org/officeDocument/2006/relationships/hyperlink" Target="https://knowledge.deutsche-boerse.de/download/attachments/848102437/ICT%20Asset%20Management%20Guideline_v2.0.docx?api=v2&amp;modificationDate=1786465871623&amp;version=7" TargetMode="External" /><Relationship Id="rId27" Type="http://schemas.openxmlformats.org/officeDocument/2006/relationships/hyperlink" Target="https://knowledge.deutsche-boerse.de/download/attachments/848102437/ICT%20Incident%20%26%20Operational%20Event%20Management%20Guideline_v2.0.docx?api=v2&amp;modificationDate=1786465872416&amp;version=7" TargetMode="External" /><Relationship Id="rId28" Type="http://schemas.openxmlformats.org/officeDocument/2006/relationships/hyperlink" Target="https://knowledge.deutsche-boerse.de/download/attachments/848102437/ICT%20Operations%20Guideline_v2.0.docx?api=v2&amp;modificationDate=1786465873286&amp;version=7" TargetMode="External" /><Relationship Id="rId29" Type="http://schemas.openxmlformats.org/officeDocument/2006/relationships/hyperlink" Target="https://knowledge.deutsche-boerse.de/download/attachments/848102437/Software%20Development%20and%20ICT%20Change%20Management%20Guideline_v2.0.docx?api=v2&amp;modificationDate=1786465873768&amp;version=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knowledge.deutsche-boerse.de/download/attachments/848102437/Identity%20and%20Access%20Management%20Guideline%20v2.0.docx?api=v2&amp;modificationDate=1786432304275&amp;version=7" TargetMode="External" /><Relationship Id="rId31" Type="http://schemas.openxmlformats.org/officeDocument/2006/relationships/hyperlink" Target="https://knowledge.deutsche-boerse.de/download/attachments/848102437/Individual%20Data%20Processing%20and%20NoLow-code%20Application%20Governance%20Guideline%20v2.0.docx?api=v2&amp;modificationDate=1786432305668&amp;version=7" TargetMode="External" /><Relationship Id="rId32" Type="http://schemas.openxmlformats.org/officeDocument/2006/relationships/hyperlink" Target="https://knowledge.deutsche-boerse.de/download/attachments/848102437/Network%20Security%20Guideline%20v2.0.docx?api=v2&amp;modificationDate=1786432307089&amp;version=7" TargetMode="External" /><Relationship Id="rId33" Type="http://schemas.openxmlformats.org/officeDocument/2006/relationships/hyperlink" Target="https://knowledge.deutsche-boerse.de/download/attachments/848102437/Software%20Development%20and%20ICT%20Change%20Management%20Guideline%20v2.0.docx?api=v2&amp;modificationDate=1786432295233&amp;version=7" TargetMode="External" /><Relationship Id="rId34" Type="http://schemas.openxmlformats.org/officeDocument/2006/relationships/hyperlink" Target="https://knowledge.deutsche-boerse.de/download/attachments/848102437/Third-Party%20ICT%20Risk%20Management%20Guideline%20v2.0.docx?api=v2&amp;modificationDate=1786432295838&amp;version=7" TargetMode="External" /><Relationship Id="rId35" Type="http://schemas.openxmlformats.org/officeDocument/2006/relationships/hyperlink" Target="https://knowledge.deutsche-boerse.de/download/attachments/848102437/Data%20Center%20and%20Physical%20Protection%20Guideline%20v2.0.docx?api=v2&amp;modificationDate=1786432310738&amp;version=7" TargetMode="External" /><Relationship Id="rId36" Type="http://schemas.openxmlformats.org/officeDocument/2006/relationships/hyperlink" Target="https://knowledge.deutsche-boerse.de/download/attachments/848102437/Data%20Security%20Governance%20v3.0.docx?api=v2&amp;modificationDate=1786432311677&amp;version=8" TargetMode="External" /><Relationship Id="rId37" Type="http://schemas.openxmlformats.org/officeDocument/2006/relationships/hyperlink" Target="https://knowledge.deutsche-boerse.de/download/attachments/848102437/Encryption%20and%20Key%20Management%20Guideline%20v2.0.docx?api=v2&amp;modificationDate=1786432499504&amp;version=8" TargetMode="External" /><Relationship Id="rId38" Type="http://schemas.openxmlformats.org/officeDocument/2006/relationships/hyperlink" Target="https://knowledge.deutsche-boerse.de/download/attachments/848102437/Human-related%20ICT%20Management%20Guideline%20v2.0.docx?api=v2&amp;modificationDate=1786432309364&amp;version=7" TargetMode="External" /><Relationship Id="rId39" Type="http://schemas.openxmlformats.org/officeDocument/2006/relationships/hyperlink" Target="https://knowledge.deutsche-boerse.de/download/attachments/848102437/ICT%20Asset%20Management%20Guideline%20v2.0.docx?api=v2&amp;modificationDate=1786432296561&amp;version=7" TargetMode="External" /><Relationship Id="rId4" Type="http://schemas.openxmlformats.org/officeDocument/2006/relationships/customXml" Target="../customXml/item1.xml" /><Relationship Id="rId40" Type="http://schemas.openxmlformats.org/officeDocument/2006/relationships/hyperlink" Target="https://knowledge.deutsche-boerse.de/download/attachments/848102437/ICT%20Incident%20Operational%20Event%20Management%20Guideline%20v2.0.docx?api=v2&amp;modificationDate=1786432297568&amp;version=7" TargetMode="External" /><Relationship Id="rId41" Type="http://schemas.openxmlformats.org/officeDocument/2006/relationships/hyperlink" Target="https://knowledge.deutsche-boerse.de/download/attachments/848102437/ICT%20Operations%20Guideline%20v2.0.docx?api=v2&amp;modificationDate=1786432299190&amp;version=7" TargetMode="External" /><Relationship Id="rId42" Type="http://schemas.openxmlformats.org/officeDocument/2006/relationships/hyperlink" Target="https://knowledge.deutsche-boerse.de/download/attachments/848102437/ICT%20Patch%20and%20Vulnerability%20Management%20Guideline%20v2.0.docx?api=v2&amp;modificationDate=1786432300346&amp;version=7" TargetMode="External" /><Relationship Id="rId43" Type="http://schemas.openxmlformats.org/officeDocument/2006/relationships/hyperlink" Target="https://knowledge.deutsche-boerse.de/download/attachments/848102437/ICT%20Risk%20AI%20Guideline%20v2.0.docx?api=v2&amp;modificationDate=1786432301406&amp;version=7" TargetMode="External" /><Relationship Id="rId44" Type="http://schemas.openxmlformats.org/officeDocument/2006/relationships/hyperlink" Target="https://knowledge.deutsche-boerse.de/download/attachments/848102437/ICT%20Risk%20Management%20Guideline%20v3.0.docx?api=v2&amp;modificationDate=1786432302572&amp;version=7" TargetMode="External" /><Relationship Id="rId45" Type="http://schemas.openxmlformats.org/officeDocument/2006/relationships/footer" Target="footer4.xml" /><Relationship Id="rId46" Type="http://schemas.openxmlformats.org/officeDocument/2006/relationships/theme" Target="theme/theme1.xml" /><Relationship Id="rId47" Type="http://schemas.openxmlformats.org/officeDocument/2006/relationships/numbering" Target="numbering.xml" /><Relationship Id="rId48" Type="http://schemas.openxmlformats.org/officeDocument/2006/relationships/styles" Target="styles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16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116</cp:revision>
  <dcterms:created xsi:type="dcterms:W3CDTF">2026-09-08T07:26:19Z</dcterms:created>
  <dcterms:modified xsi:type="dcterms:W3CDTF">2026-09-08T07:26:19Z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  <property fmtid="{D5CDD505-2E9C-101B-9397-08002B2CF9AE}" pid="3" name="MSIP_Label_2e952e98-911c-4aff-840a-f71bc6baaf7f_ActionId">
    <vt:lpwstr>dbbd1aba-d35d-43e3-aac8-422d6640cb80</vt:lpwstr>
  </property>
  <property fmtid="{D5CDD505-2E9C-101B-9397-08002B2CF9AE}" pid="4" name="MSIP_Label_2e952e98-911c-4aff-840a-f71bc6baaf7f_ContentBits">
    <vt:lpwstr>2</vt:lpwstr>
  </property>
  <property fmtid="{D5CDD505-2E9C-101B-9397-08002B2CF9AE}" pid="5" name="MSIP_Label_2e952e98-911c-4aff-840a-f71bc6baaf7f_Enabled">
    <vt:lpwstr>true</vt:lpwstr>
  </property>
  <property fmtid="{D5CDD505-2E9C-101B-9397-08002B2CF9AE}" pid="6" name="MSIP_Label_2e952e98-911c-4aff-840a-f71bc6baaf7f_Method">
    <vt:lpwstr>Standard</vt:lpwstr>
  </property>
  <property fmtid="{D5CDD505-2E9C-101B-9397-08002B2CF9AE}" pid="7" name="MSIP_Label_2e952e98-911c-4aff-840a-f71bc6baaf7f_Name">
    <vt:lpwstr>2e952e98-911c-4aff-840a-f71bc6baaf7f</vt:lpwstr>
  </property>
  <property fmtid="{D5CDD505-2E9C-101B-9397-08002B2CF9AE}" pid="8" name="MSIP_Label_2e952e98-911c-4aff-840a-f71bc6baaf7f_SetDate">
    <vt:lpwstr>2023-01-02T12:53:22Z</vt:lpwstr>
  </property>
  <property fmtid="{D5CDD505-2E9C-101B-9397-08002B2CF9AE}" pid="9" name="MSIP_Label_2e952e98-911c-4aff-840a-f71bc6baaf7f_SiteId">
    <vt:lpwstr>e00ddcdf-1e0f-4be5-a37a-894a4731986a</vt:lpwstr>
  </property>
</Properties>
</file>