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FB00B" w14:textId="2F087A52" w:rsidR="007B46E2" w:rsidRPr="00F906CB" w:rsidRDefault="0096518C" w:rsidP="006C711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Seasonality</w:t>
      </w:r>
    </w:p>
    <w:p w14:paraId="4B017753" w14:textId="1262A6A8" w:rsidR="006C7114" w:rsidRPr="00F906CB" w:rsidRDefault="0096518C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Introduction</w:t>
      </w:r>
    </w:p>
    <w:p w14:paraId="2C153068" w14:textId="6389A2B8" w:rsidR="006C7114" w:rsidRPr="00F906CB" w:rsidRDefault="0096518C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report investigates whether it is feasible to make accurate predictions of the energy prices. The goal of this report is not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actually produce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such predictions, but merely to demonstrate, using statistical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techniques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whether it is possible. Specifically, hourly prices on electricity in the period 2022-10-26 to 2025-04-09 are used to test whether there is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seasonality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hourly, monthly and day of week level. If these vary systematically, then there is room to build predictions based on this (using regressions analysis introduced later in this course).  </w:t>
      </w:r>
    </w:p>
    <w:p w14:paraId="77D4E373" w14:textId="77777777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38E7888" w14:textId="124B8FB6" w:rsidR="006C7114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Descriptive statistics</w:t>
      </w:r>
    </w:p>
    <w:p w14:paraId="6FBAE6C6" w14:textId="379E5EE1" w:rsidR="00822161" w:rsidRP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1: Summary statistics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116"/>
      </w:tblGrid>
      <w:tr w:rsidR="00822161" w:rsidRPr="00822161" w14:paraId="3FDDB2FE" w14:textId="77777777" w:rsidTr="00822161">
        <w:trPr>
          <w:trHeight w:val="300"/>
          <w:jc w:val="center"/>
        </w:trPr>
        <w:tc>
          <w:tcPr>
            <w:tcW w:w="2400" w:type="dxa"/>
            <w:gridSpan w:val="2"/>
            <w:noWrap/>
            <w:hideMark/>
          </w:tcPr>
          <w:p w14:paraId="5A6A6CD3" w14:textId="77777777" w:rsidR="00822161" w:rsidRPr="00822161" w:rsidRDefault="008221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summary stats</w:t>
            </w:r>
          </w:p>
        </w:tc>
      </w:tr>
      <w:tr w:rsidR="00822161" w:rsidRPr="00822161" w14:paraId="3467EE02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37289A08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989" w:type="dxa"/>
            <w:noWrap/>
            <w:hideMark/>
          </w:tcPr>
          <w:p w14:paraId="2BAA03FE" w14:textId="51D5C9AD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086967</w:t>
            </w:r>
          </w:p>
        </w:tc>
      </w:tr>
      <w:tr w:rsidR="00822161" w:rsidRPr="00822161" w14:paraId="1AF70577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12228830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89" w:type="dxa"/>
            <w:noWrap/>
            <w:hideMark/>
          </w:tcPr>
          <w:p w14:paraId="51CF5B86" w14:textId="4811A2E7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069661</w:t>
            </w:r>
          </w:p>
        </w:tc>
      </w:tr>
      <w:tr w:rsidR="00822161" w:rsidRPr="00822161" w14:paraId="61484CB0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11995B48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989" w:type="dxa"/>
            <w:noWrap/>
            <w:hideMark/>
          </w:tcPr>
          <w:p w14:paraId="434FA3B6" w14:textId="77777777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21504</w:t>
            </w:r>
          </w:p>
        </w:tc>
      </w:tr>
    </w:tbl>
    <w:p w14:paraId="1743A6DC" w14:textId="029B9175" w:rsidR="006C7114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Notes: This table contains standard </w:t>
      </w:r>
      <w:r w:rsidR="001E40A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BD55B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ary statistics</w:t>
      </w:r>
    </w:p>
    <w:p w14:paraId="4E9A4C1C" w14:textId="77777777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F18E1C" w14:textId="71537AC1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2: Summary statistics by year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1116"/>
        <w:gridCol w:w="1116"/>
        <w:gridCol w:w="1116"/>
        <w:gridCol w:w="1116"/>
      </w:tblGrid>
      <w:tr w:rsidR="00822161" w:rsidRPr="00822161" w14:paraId="139D5929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2BA21C54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05259D68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116" w:type="dxa"/>
            <w:noWrap/>
            <w:hideMark/>
          </w:tcPr>
          <w:p w14:paraId="0F145EEC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116" w:type="dxa"/>
            <w:noWrap/>
            <w:hideMark/>
          </w:tcPr>
          <w:p w14:paraId="1B8A49CB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116" w:type="dxa"/>
            <w:noWrap/>
            <w:hideMark/>
          </w:tcPr>
          <w:p w14:paraId="233DC438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822161" w:rsidRPr="00822161" w14:paraId="3451AB3F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167231F2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116" w:type="dxa"/>
            <w:noWrap/>
            <w:hideMark/>
          </w:tcPr>
          <w:p w14:paraId="35F2BF4C" w14:textId="34CB6DC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098766</w:t>
            </w:r>
          </w:p>
        </w:tc>
        <w:tc>
          <w:tcPr>
            <w:tcW w:w="1116" w:type="dxa"/>
            <w:noWrap/>
            <w:hideMark/>
          </w:tcPr>
          <w:p w14:paraId="3CA18ACB" w14:textId="2EE1236D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070863</w:t>
            </w:r>
          </w:p>
        </w:tc>
        <w:tc>
          <w:tcPr>
            <w:tcW w:w="1116" w:type="dxa"/>
            <w:noWrap/>
            <w:hideMark/>
          </w:tcPr>
          <w:p w14:paraId="1C5672D4" w14:textId="6CA0901C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081255</w:t>
            </w:r>
          </w:p>
        </w:tc>
        <w:tc>
          <w:tcPr>
            <w:tcW w:w="1116" w:type="dxa"/>
            <w:noWrap/>
            <w:hideMark/>
          </w:tcPr>
          <w:p w14:paraId="3B7FE3C4" w14:textId="2A1FDEC2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191502</w:t>
            </w:r>
          </w:p>
        </w:tc>
      </w:tr>
      <w:tr w:rsidR="00822161" w:rsidRPr="00822161" w14:paraId="1B5FFF4F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3C236FF2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6" w:type="dxa"/>
            <w:noWrap/>
            <w:hideMark/>
          </w:tcPr>
          <w:p w14:paraId="368A6B82" w14:textId="45EFD3A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055489</w:t>
            </w:r>
          </w:p>
        </w:tc>
        <w:tc>
          <w:tcPr>
            <w:tcW w:w="1116" w:type="dxa"/>
            <w:noWrap/>
            <w:hideMark/>
          </w:tcPr>
          <w:p w14:paraId="774B36D6" w14:textId="7B72E0B0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052209</w:t>
            </w:r>
          </w:p>
        </w:tc>
        <w:tc>
          <w:tcPr>
            <w:tcW w:w="1116" w:type="dxa"/>
            <w:noWrap/>
            <w:hideMark/>
          </w:tcPr>
          <w:p w14:paraId="1B839D11" w14:textId="3DDECFEC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050119</w:t>
            </w:r>
          </w:p>
        </w:tc>
        <w:tc>
          <w:tcPr>
            <w:tcW w:w="1116" w:type="dxa"/>
            <w:noWrap/>
            <w:hideMark/>
          </w:tcPr>
          <w:p w14:paraId="232D4941" w14:textId="27ED7711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139442</w:t>
            </w:r>
          </w:p>
        </w:tc>
      </w:tr>
      <w:tr w:rsidR="00822161" w:rsidRPr="00822161" w14:paraId="2110137E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4CD2321F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Obsevations</w:t>
            </w:r>
            <w:proofErr w:type="spellEnd"/>
          </w:p>
        </w:tc>
        <w:tc>
          <w:tcPr>
            <w:tcW w:w="1116" w:type="dxa"/>
            <w:noWrap/>
            <w:hideMark/>
          </w:tcPr>
          <w:p w14:paraId="36D9A07C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2351</w:t>
            </w:r>
          </w:p>
        </w:tc>
        <w:tc>
          <w:tcPr>
            <w:tcW w:w="1116" w:type="dxa"/>
            <w:noWrap/>
            <w:hideMark/>
          </w:tcPr>
          <w:p w14:paraId="55EE8AFD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8784</w:t>
            </w:r>
          </w:p>
        </w:tc>
        <w:tc>
          <w:tcPr>
            <w:tcW w:w="1116" w:type="dxa"/>
            <w:noWrap/>
            <w:hideMark/>
          </w:tcPr>
          <w:p w14:paraId="3B56F2DD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8760</w:t>
            </w:r>
          </w:p>
        </w:tc>
        <w:tc>
          <w:tcPr>
            <w:tcW w:w="1116" w:type="dxa"/>
            <w:noWrap/>
            <w:hideMark/>
          </w:tcPr>
          <w:p w14:paraId="11AFD1CB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1585</w:t>
            </w:r>
          </w:p>
        </w:tc>
      </w:tr>
    </w:tbl>
    <w:p w14:paraId="5365E1B1" w14:textId="7821087C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 This table contains standard summary statistics by year</w:t>
      </w:r>
    </w:p>
    <w:p w14:paraId="337E4F85" w14:textId="6FE76C52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1: CI on energy prices</w:t>
      </w:r>
    </w:p>
    <w:p w14:paraId="7B97A1D5" w14:textId="2FAF99AE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A7868B" wp14:editId="77B10916">
            <wp:extent cx="4572000" cy="2743200"/>
            <wp:effectExtent l="0" t="0" r="0" b="0"/>
            <wp:docPr id="6836214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6E830B-DA2B-037C-8931-2EEDF7B8A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404618" w14:textId="15A977A5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 This figure shows the 95% confidence interval using the normal distribution around the mean for each year</w:t>
      </w:r>
    </w:p>
    <w:p w14:paraId="294271DD" w14:textId="77777777" w:rsidR="006C7114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DB1A7" w14:textId="72FDD1DF" w:rsidR="00822161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Interpretation (add more explanation):</w:t>
      </w:r>
    </w:p>
    <w:p w14:paraId="76D7F0DA" w14:textId="77777777" w:rsidR="00822161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6B617" w14:textId="0B1B43A6" w:rsidR="00822161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average energy price is 0.087 EUR per kWh with a standard deviation of 0.07 (Table 1)</w:t>
      </w:r>
    </w:p>
    <w:p w14:paraId="77C636DE" w14:textId="5DEEF420" w:rsidR="00454E19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standard deviation is relatively stable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over time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except for in 2022, which is also a year, with higher energy prices than the other years (Table 2)</w:t>
      </w:r>
    </w:p>
    <w:p w14:paraId="61902BAE" w14:textId="43DA25B6" w:rsidR="00454E19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95% confidence interval around the average prices shows no overlap between any of the years, although the year 2022 also displays visibly higher prices (Figure 1)</w:t>
      </w:r>
    </w:p>
    <w:p w14:paraId="36419B40" w14:textId="5BDF7277" w:rsidR="00454E19" w:rsidRPr="00822161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concern with the data for 2022 and 2025 is that we have fewer observations. If there are systematic differences across the month of the year, then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skew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our results</w:t>
      </w:r>
    </w:p>
    <w:p w14:paraId="3EBDD00D" w14:textId="77777777" w:rsidR="00822161" w:rsidRPr="00F906CB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647EF" w14:textId="38D160DC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Statistical testing</w:t>
      </w:r>
    </w:p>
    <w:p w14:paraId="3A1FCF0B" w14:textId="77777777" w:rsidR="00454E19" w:rsidRDefault="00454E19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set up three null hypotheses to test one by one, which probes for different types of seasonality:</w:t>
      </w:r>
    </w:p>
    <w:p w14:paraId="7AE3D2E4" w14:textId="708E9715" w:rsidR="00454E19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Day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proofErr w:type="gramEnd"/>
    </w:p>
    <w:p w14:paraId="30A034EA" w14:textId="19B2883E" w:rsidR="00454E19" w:rsidRDefault="00454E19" w:rsidP="00454E19">
      <w:pPr>
        <w:pStyle w:val="ListParagraph"/>
        <w:ind w:left="1304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Monday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Sunday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53B6D25" w14:textId="1F33FA7E" w:rsidR="006C7114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Month of the year</w:t>
      </w:r>
    </w:p>
    <w:p w14:paraId="4B51EE6C" w14:textId="28CBC5C0" w:rsidR="00454E19" w:rsidRDefault="00454E19" w:rsidP="00454E19">
      <w:pPr>
        <w:pStyle w:val="ListParagraph"/>
        <w:ind w:firstLine="5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Jan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Feb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Dec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22FD350C" w14:textId="7157DB4F" w:rsidR="00454E19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Hour of the day</w:t>
      </w:r>
    </w:p>
    <w:p w14:paraId="7110B9FA" w14:textId="1A845FF2" w:rsidR="00454E19" w:rsidRDefault="00454E19" w:rsidP="00454E19">
      <w:pPr>
        <w:pStyle w:val="ListParagraph"/>
        <w:ind w:firstLine="5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00:00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01:00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23:00</m:t>
            </m:r>
          </m:sub>
        </m:sSub>
      </m:oMath>
      <w:r w:rsidRPr="00454E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F2FFA4C" w14:textId="77777777" w:rsidR="00454E19" w:rsidRDefault="00454E19" w:rsidP="00454E19">
      <w:pPr>
        <w:pStyle w:val="ListParagraph"/>
        <w:ind w:firstLine="5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316A2" w14:textId="310FC249" w:rsid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test each of these using ANOVA</w:t>
      </w:r>
    </w:p>
    <w:p w14:paraId="6C751425" w14:textId="6E477180" w:rsidR="004052B5" w:rsidRDefault="004052B5" w:rsidP="004052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3: ANOVA by day of week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116"/>
        <w:gridCol w:w="960"/>
        <w:gridCol w:w="1116"/>
        <w:gridCol w:w="1116"/>
        <w:gridCol w:w="960"/>
        <w:gridCol w:w="1116"/>
      </w:tblGrid>
      <w:tr w:rsidR="004052B5" w:rsidRPr="004052B5" w14:paraId="400BFEF4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0DD4564E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1116" w:type="dxa"/>
            <w:noWrap/>
            <w:hideMark/>
          </w:tcPr>
          <w:p w14:paraId="25FFB5E5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5DF1D793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1116" w:type="dxa"/>
            <w:noWrap/>
            <w:hideMark/>
          </w:tcPr>
          <w:p w14:paraId="21E803E3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1116" w:type="dxa"/>
            <w:noWrap/>
            <w:hideMark/>
          </w:tcPr>
          <w:p w14:paraId="5CE9DB01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2839067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116" w:type="dxa"/>
            <w:noWrap/>
            <w:hideMark/>
          </w:tcPr>
          <w:p w14:paraId="5C478D7E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4052B5" w:rsidRPr="004052B5" w14:paraId="08DEA201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2740AADD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1116" w:type="dxa"/>
            <w:noWrap/>
            <w:hideMark/>
          </w:tcPr>
          <w:p w14:paraId="76E79A0D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2,607956</w:t>
            </w:r>
          </w:p>
        </w:tc>
        <w:tc>
          <w:tcPr>
            <w:tcW w:w="960" w:type="dxa"/>
            <w:noWrap/>
            <w:hideMark/>
          </w:tcPr>
          <w:p w14:paraId="2E0DE6A6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noWrap/>
            <w:hideMark/>
          </w:tcPr>
          <w:p w14:paraId="665646F1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0,434659</w:t>
            </w:r>
          </w:p>
        </w:tc>
        <w:tc>
          <w:tcPr>
            <w:tcW w:w="1116" w:type="dxa"/>
            <w:noWrap/>
            <w:hideMark/>
          </w:tcPr>
          <w:p w14:paraId="16EC872F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91,84231</w:t>
            </w:r>
          </w:p>
        </w:tc>
        <w:tc>
          <w:tcPr>
            <w:tcW w:w="960" w:type="dxa"/>
            <w:noWrap/>
            <w:hideMark/>
          </w:tcPr>
          <w:p w14:paraId="0B0AE4AD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2,6E-114</w:t>
            </w:r>
          </w:p>
        </w:tc>
        <w:tc>
          <w:tcPr>
            <w:tcW w:w="1116" w:type="dxa"/>
            <w:noWrap/>
            <w:hideMark/>
          </w:tcPr>
          <w:p w14:paraId="3BF38914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2,099017</w:t>
            </w:r>
          </w:p>
        </w:tc>
      </w:tr>
      <w:tr w:rsidR="004052B5" w:rsidRPr="004052B5" w14:paraId="06B4A8E5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5FF9BCC1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1116" w:type="dxa"/>
            <w:noWrap/>
            <w:hideMark/>
          </w:tcPr>
          <w:p w14:paraId="0ACB2164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101,7382</w:t>
            </w:r>
          </w:p>
        </w:tc>
        <w:tc>
          <w:tcPr>
            <w:tcW w:w="960" w:type="dxa"/>
            <w:noWrap/>
            <w:hideMark/>
          </w:tcPr>
          <w:p w14:paraId="2DCCB4AC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21497</w:t>
            </w:r>
          </w:p>
        </w:tc>
        <w:tc>
          <w:tcPr>
            <w:tcW w:w="1116" w:type="dxa"/>
            <w:noWrap/>
            <w:hideMark/>
          </w:tcPr>
          <w:p w14:paraId="213BFEEE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0,004733</w:t>
            </w:r>
          </w:p>
        </w:tc>
        <w:tc>
          <w:tcPr>
            <w:tcW w:w="1116" w:type="dxa"/>
            <w:noWrap/>
            <w:hideMark/>
          </w:tcPr>
          <w:p w14:paraId="15AFBF23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24470EB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66AC9A9F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2B5" w:rsidRPr="004052B5" w14:paraId="7F22B368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5BC01894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737BD93A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14982C0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2C29E32E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5DFD370C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635B14F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64DFF764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2B5" w:rsidRPr="004052B5" w14:paraId="7B889522" w14:textId="77777777" w:rsidTr="002A3695">
        <w:trPr>
          <w:trHeight w:val="315"/>
          <w:jc w:val="center"/>
        </w:trPr>
        <w:tc>
          <w:tcPr>
            <w:tcW w:w="1820" w:type="dxa"/>
            <w:noWrap/>
            <w:hideMark/>
          </w:tcPr>
          <w:p w14:paraId="71499530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6" w:type="dxa"/>
            <w:noWrap/>
            <w:hideMark/>
          </w:tcPr>
          <w:p w14:paraId="2EED4EBF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60F2B60C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1116" w:type="dxa"/>
            <w:noWrap/>
            <w:hideMark/>
          </w:tcPr>
          <w:p w14:paraId="5A3EE132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6" w:type="dxa"/>
            <w:noWrap/>
            <w:hideMark/>
          </w:tcPr>
          <w:p w14:paraId="39521827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D75539B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6" w:type="dxa"/>
            <w:noWrap/>
            <w:hideMark/>
          </w:tcPr>
          <w:p w14:paraId="39152711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C26FF34" w14:textId="77777777" w:rsid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8B19F" w14:textId="27BB2541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4: ANOVA by month of the year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0"/>
        <w:gridCol w:w="1116"/>
        <w:gridCol w:w="960"/>
        <w:gridCol w:w="1116"/>
        <w:gridCol w:w="1116"/>
        <w:gridCol w:w="960"/>
        <w:gridCol w:w="1116"/>
      </w:tblGrid>
      <w:tr w:rsidR="002A3695" w:rsidRPr="002A3695" w14:paraId="64D04A66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67B48ED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14:paraId="14D8A5C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565C645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3182150E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960" w:type="dxa"/>
            <w:noWrap/>
            <w:hideMark/>
          </w:tcPr>
          <w:p w14:paraId="666E7D72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37CF639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2B93C2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2A3695" w:rsidRPr="002A3695" w14:paraId="0E55B06D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25C30B7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469C8B7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9,618658</w:t>
            </w:r>
          </w:p>
        </w:tc>
        <w:tc>
          <w:tcPr>
            <w:tcW w:w="960" w:type="dxa"/>
            <w:noWrap/>
            <w:hideMark/>
          </w:tcPr>
          <w:p w14:paraId="7E9FDC0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C9CDE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0,874423</w:t>
            </w:r>
          </w:p>
        </w:tc>
        <w:tc>
          <w:tcPr>
            <w:tcW w:w="960" w:type="dxa"/>
            <w:noWrap/>
            <w:hideMark/>
          </w:tcPr>
          <w:p w14:paraId="39ED792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198,3913</w:t>
            </w:r>
          </w:p>
        </w:tc>
        <w:tc>
          <w:tcPr>
            <w:tcW w:w="960" w:type="dxa"/>
            <w:noWrap/>
            <w:hideMark/>
          </w:tcPr>
          <w:p w14:paraId="664CA8C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3A034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1,789093</w:t>
            </w:r>
          </w:p>
        </w:tc>
      </w:tr>
      <w:tr w:rsidR="002A3695" w:rsidRPr="002A3695" w14:paraId="0FA502D2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085E0EA8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1B64FA5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94,72749</w:t>
            </w:r>
          </w:p>
        </w:tc>
        <w:tc>
          <w:tcPr>
            <w:tcW w:w="960" w:type="dxa"/>
            <w:noWrap/>
            <w:hideMark/>
          </w:tcPr>
          <w:p w14:paraId="0BE4444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21492</w:t>
            </w:r>
          </w:p>
        </w:tc>
        <w:tc>
          <w:tcPr>
            <w:tcW w:w="960" w:type="dxa"/>
            <w:noWrap/>
            <w:hideMark/>
          </w:tcPr>
          <w:p w14:paraId="4F1D2B5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0,004408</w:t>
            </w:r>
          </w:p>
        </w:tc>
        <w:tc>
          <w:tcPr>
            <w:tcW w:w="960" w:type="dxa"/>
            <w:noWrap/>
            <w:hideMark/>
          </w:tcPr>
          <w:p w14:paraId="2D15967B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03AC4A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996F79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44BC38A5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4869F72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43B43E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0A79E6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974877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67DED5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063DC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27BDC38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2559330A" w14:textId="77777777" w:rsidTr="002A3695">
        <w:trPr>
          <w:trHeight w:val="315"/>
          <w:jc w:val="center"/>
        </w:trPr>
        <w:tc>
          <w:tcPr>
            <w:tcW w:w="2020" w:type="dxa"/>
            <w:noWrap/>
            <w:hideMark/>
          </w:tcPr>
          <w:p w14:paraId="03D5E5C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3FDD33A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24143DA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960" w:type="dxa"/>
            <w:noWrap/>
            <w:hideMark/>
          </w:tcPr>
          <w:p w14:paraId="378E064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E93F77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D8934A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3B5826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EAB991D" w14:textId="5215BA1F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EEEC65" w14:textId="4DA76FAC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5: ANOVA by hour of the day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1116"/>
        <w:gridCol w:w="960"/>
        <w:gridCol w:w="1116"/>
        <w:gridCol w:w="1116"/>
        <w:gridCol w:w="960"/>
        <w:gridCol w:w="1116"/>
      </w:tblGrid>
      <w:tr w:rsidR="002A3695" w:rsidRPr="002A3695" w14:paraId="09979E4A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0902425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14:paraId="54C76A38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0142CAD4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7A6BCA6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960" w:type="dxa"/>
            <w:noWrap/>
            <w:hideMark/>
          </w:tcPr>
          <w:p w14:paraId="143FE14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71B13CEC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77B206C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2A3695" w:rsidRPr="002A3695" w14:paraId="4D6DDE7C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8A0223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524CC38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7,127623</w:t>
            </w:r>
          </w:p>
        </w:tc>
        <w:tc>
          <w:tcPr>
            <w:tcW w:w="960" w:type="dxa"/>
            <w:noWrap/>
            <w:hideMark/>
          </w:tcPr>
          <w:p w14:paraId="65F643C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92D71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0,309897</w:t>
            </w:r>
          </w:p>
        </w:tc>
        <w:tc>
          <w:tcPr>
            <w:tcW w:w="960" w:type="dxa"/>
            <w:noWrap/>
            <w:hideMark/>
          </w:tcPr>
          <w:p w14:paraId="2351CD1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68,47028</w:t>
            </w:r>
          </w:p>
        </w:tc>
        <w:tc>
          <w:tcPr>
            <w:tcW w:w="960" w:type="dxa"/>
            <w:noWrap/>
            <w:hideMark/>
          </w:tcPr>
          <w:p w14:paraId="1434E4D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CA40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1,529742</w:t>
            </w:r>
          </w:p>
        </w:tc>
      </w:tr>
      <w:tr w:rsidR="002A3695" w:rsidRPr="002A3695" w14:paraId="0E08ADF6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AFD267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2CBA9BB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97,21853</w:t>
            </w:r>
          </w:p>
        </w:tc>
        <w:tc>
          <w:tcPr>
            <w:tcW w:w="960" w:type="dxa"/>
            <w:noWrap/>
            <w:hideMark/>
          </w:tcPr>
          <w:p w14:paraId="0DF5BE6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21480</w:t>
            </w:r>
          </w:p>
        </w:tc>
        <w:tc>
          <w:tcPr>
            <w:tcW w:w="960" w:type="dxa"/>
            <w:noWrap/>
            <w:hideMark/>
          </w:tcPr>
          <w:p w14:paraId="27969BB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0,004526</w:t>
            </w:r>
          </w:p>
        </w:tc>
        <w:tc>
          <w:tcPr>
            <w:tcW w:w="960" w:type="dxa"/>
            <w:noWrap/>
            <w:hideMark/>
          </w:tcPr>
          <w:p w14:paraId="57DF64B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0286A2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97DE6B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01DA266B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E0661A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5DE033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12F097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48AC69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AF156B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798656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C75E4D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3349EB15" w14:textId="77777777" w:rsidTr="002A3695">
        <w:trPr>
          <w:trHeight w:val="315"/>
          <w:jc w:val="center"/>
        </w:trPr>
        <w:tc>
          <w:tcPr>
            <w:tcW w:w="1479" w:type="dxa"/>
            <w:noWrap/>
            <w:hideMark/>
          </w:tcPr>
          <w:p w14:paraId="29007D7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12D9E04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4B7CD39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960" w:type="dxa"/>
            <w:noWrap/>
            <w:hideMark/>
          </w:tcPr>
          <w:p w14:paraId="0ECD0CC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B6F595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9C29FB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A7706BB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AC90323" w14:textId="77777777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3A77B8" w14:textId="77777777" w:rsidR="00454E19" w:rsidRP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C8B64" w14:textId="0DD833F0" w:rsidR="00454E19" w:rsidRPr="00454E19" w:rsidRDefault="00454E19" w:rsidP="00454E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4E19" w:rsidRPr="00454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4AF9C" w14:textId="77777777" w:rsidR="00D61864" w:rsidRDefault="00D61864" w:rsidP="00115E35">
      <w:pPr>
        <w:spacing w:after="0" w:line="240" w:lineRule="auto"/>
      </w:pPr>
      <w:r>
        <w:separator/>
      </w:r>
    </w:p>
  </w:endnote>
  <w:endnote w:type="continuationSeparator" w:id="0">
    <w:p w14:paraId="1C5B9D5A" w14:textId="77777777" w:rsidR="00D61864" w:rsidRDefault="00D61864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76881" w14:textId="77777777" w:rsidR="00D61864" w:rsidRDefault="00D61864" w:rsidP="00115E35">
      <w:pPr>
        <w:spacing w:after="0" w:line="240" w:lineRule="auto"/>
      </w:pPr>
      <w:r>
        <w:separator/>
      </w:r>
    </w:p>
  </w:footnote>
  <w:footnote w:type="continuationSeparator" w:id="0">
    <w:p w14:paraId="33F0E8DD" w14:textId="77777777" w:rsidR="00D61864" w:rsidRDefault="00D61864" w:rsidP="0011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5FEF"/>
    <w:multiLevelType w:val="hybridMultilevel"/>
    <w:tmpl w:val="ED30C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09E4"/>
    <w:multiLevelType w:val="hybridMultilevel"/>
    <w:tmpl w:val="5CE6703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03E0"/>
    <w:multiLevelType w:val="hybridMultilevel"/>
    <w:tmpl w:val="D09EB9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69382">
    <w:abstractNumId w:val="0"/>
  </w:num>
  <w:num w:numId="2" w16cid:durableId="955986664">
    <w:abstractNumId w:val="2"/>
  </w:num>
  <w:num w:numId="3" w16cid:durableId="28659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4"/>
    <w:rsid w:val="00033327"/>
    <w:rsid w:val="0003435D"/>
    <w:rsid w:val="0003486B"/>
    <w:rsid w:val="00115E35"/>
    <w:rsid w:val="001502F1"/>
    <w:rsid w:val="00174AE2"/>
    <w:rsid w:val="001E40A0"/>
    <w:rsid w:val="002A1263"/>
    <w:rsid w:val="002A3695"/>
    <w:rsid w:val="003C3083"/>
    <w:rsid w:val="004052B5"/>
    <w:rsid w:val="004529EC"/>
    <w:rsid w:val="00454E19"/>
    <w:rsid w:val="00691EDE"/>
    <w:rsid w:val="006C7114"/>
    <w:rsid w:val="006D56F4"/>
    <w:rsid w:val="007B46E2"/>
    <w:rsid w:val="00807DED"/>
    <w:rsid w:val="00822161"/>
    <w:rsid w:val="00836EB4"/>
    <w:rsid w:val="00931E05"/>
    <w:rsid w:val="0096518C"/>
    <w:rsid w:val="00A72CF2"/>
    <w:rsid w:val="00BA13C9"/>
    <w:rsid w:val="00BD55BD"/>
    <w:rsid w:val="00BE32A1"/>
    <w:rsid w:val="00D61864"/>
    <w:rsid w:val="00DC3A81"/>
    <w:rsid w:val="00E87314"/>
    <w:rsid w:val="00EC1A9A"/>
    <w:rsid w:val="00EE1CD7"/>
    <w:rsid w:val="00F30FFA"/>
    <w:rsid w:val="00F475AA"/>
    <w:rsid w:val="00F906CB"/>
    <w:rsid w:val="00F918D0"/>
    <w:rsid w:val="00F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9BBAF"/>
  <w15:chartTrackingRefBased/>
  <w15:docId w15:val="{7D5D2881-2AD8-4AB7-96EC-E9E285E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6CB"/>
    <w:rPr>
      <w:color w:val="666666"/>
    </w:rPr>
  </w:style>
  <w:style w:type="table" w:styleId="TableGrid">
    <w:name w:val="Table Grid"/>
    <w:basedOn w:val="TableNormal"/>
    <w:uiPriority w:val="39"/>
    <w:rsid w:val="0082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-vs\AppData\Local\Temp\1\Templafy\WordVsto\npkanij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Teaching\Statistics\Introductory_statistics\Lecture%2010%20-%20ANOVA\Examples\Solved\Electricity_prices_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95% CI on electricity prices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'Summary statistics'!$A$21</c:f>
              <c:strCache>
                <c:ptCount val="1"/>
                <c:pt idx="0">
                  <c:v>Lower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'Summary statistics'!$B$20:$E$20</c:f>
              <c:numCache>
                <c:formatCode>General</c:formatCode>
                <c:ptCount val="4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  <c:pt idx="3">
                  <c:v>2025</c:v>
                </c:pt>
              </c:numCache>
            </c:numRef>
          </c:cat>
          <c:val>
            <c:numRef>
              <c:f>'Summary statistics'!$B$21:$E$21</c:f>
              <c:numCache>
                <c:formatCode>General</c:formatCode>
                <c:ptCount val="4"/>
                <c:pt idx="0">
                  <c:v>0.18463769231632904</c:v>
                </c:pt>
                <c:pt idx="1">
                  <c:v>8.0205676389813907E-2</c:v>
                </c:pt>
                <c:pt idx="2">
                  <c:v>6.9771088970163903E-2</c:v>
                </c:pt>
                <c:pt idx="3">
                  <c:v>9.6522804942801715E-2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F3-4848-AA13-9AB80407A7B3}"/>
            </c:ext>
          </c:extLst>
        </c:ser>
        <c:ser>
          <c:idx val="1"/>
          <c:order val="1"/>
          <c:tx>
            <c:strRef>
              <c:f>'Summary statistics'!$A$22</c:f>
              <c:strCache>
                <c:ptCount val="1"/>
                <c:pt idx="0">
                  <c:v>Upper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'Summary statistics'!$B$20:$E$20</c:f>
              <c:numCache>
                <c:formatCode>General</c:formatCode>
                <c:ptCount val="4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  <c:pt idx="3">
                  <c:v>2025</c:v>
                </c:pt>
              </c:numCache>
            </c:numRef>
          </c:cat>
          <c:val>
            <c:numRef>
              <c:f>'Summary statistics'!$B$22:$E$22</c:f>
              <c:numCache>
                <c:formatCode>General</c:formatCode>
                <c:ptCount val="4"/>
                <c:pt idx="0">
                  <c:v>0.19836726667420645</c:v>
                </c:pt>
                <c:pt idx="1">
                  <c:v>8.2304755117034778E-2</c:v>
                </c:pt>
                <c:pt idx="2">
                  <c:v>7.1954714763897948E-2</c:v>
                </c:pt>
                <c:pt idx="3">
                  <c:v>0.10100878161610966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F3-4848-AA13-9AB80407A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0583184"/>
        <c:axId val="1030587864"/>
      </c:lineChart>
      <c:catAx>
        <c:axId val="103058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30587864"/>
        <c:crosses val="autoZero"/>
        <c:auto val="1"/>
        <c:lblAlgn val="ctr"/>
        <c:lblOffset val="100"/>
        <c:noMultiLvlLbl val="0"/>
      </c:catAx>
      <c:valAx>
        <c:axId val="103058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3058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4AB8C649-791A-43C6-B77A-F03E4A584C2B}">
  <ds:schemaRefs/>
</ds:datastoreItem>
</file>

<file path=customXml/itemProps2.xml><?xml version="1.0" encoding="utf-8"?>
<ds:datastoreItem xmlns:ds="http://schemas.openxmlformats.org/officeDocument/2006/customXml" ds:itemID="{4438C9D5-CA01-495F-81BB-547FFFD0D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npkanije.dotx</Template>
  <TotalTime>1185</TotalTime>
  <Pages>3</Pages>
  <Words>394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</dc:creator>
  <cp:keywords/>
  <dc:description/>
  <cp:lastModifiedBy>Christian Vedel</cp:lastModifiedBy>
  <cp:revision>3</cp:revision>
  <dcterms:created xsi:type="dcterms:W3CDTF">2025-04-09T17:45:00Z</dcterms:created>
  <dcterms:modified xsi:type="dcterms:W3CDTF">2025-04-10T13:26:00Z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637830426821146717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