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X7d94f84804ed304f21dc2428340f7ebbced1408"/>
      <w:r>
        <w:t xml:space="preserve">Cell-type-specific feature selection via Quadratic Unconstrained Binary Optimization for cross-cohort multiple sclerosis classification from single-cell RNA sequencing</w:t>
      </w:r>
      <w:bookmarkEnd w:id="20"/>
    </w:p>
    <w:p>
      <w:pPr>
        <w:pStyle w:val="FirstParagraph"/>
      </w:pPr>
      <w:r>
        <w:rPr>
          <w:b/>
        </w:rPr>
        <w:t xml:space="preserve">Mizuho Asada¹²³, Takahisa Mikami³⁴, Daisuke Tominaga⁵, Michael Levy³⁴,</w:t>
      </w:r>
      <w:r>
        <w:t xml:space="preserve">*</w:t>
      </w:r>
    </w:p>
    <w:p>
      <w:pPr>
        <w:pStyle w:val="BodyText"/>
      </w:pPr>
      <w:r>
        <w:t xml:space="preserve">¹ Laboratory of Medical Molecular Analytics, Meiji Pharmaceutical University, Tokyo, Japan</w:t>
      </w:r>
      <w:r>
        <w:t xml:space="preserve"> </w:t>
      </w:r>
      <w:r>
        <w:t xml:space="preserve">² Department of Anesthesiology, Institute of Science Tokyo, Tokyo, Japan</w:t>
      </w:r>
      <w:r>
        <w:t xml:space="preserve"> </w:t>
      </w:r>
      <w:r>
        <w:t xml:space="preserve">³ Neuroimmunology Clinic and Research Laboratory, Division of Neuroimmunology and Neuroinfectious Disease, Department of Neurology, Massachusetts General Hospital, 65 Landsdowne St., Cambridge, MA 02139, USA</w:t>
      </w:r>
      <w:r>
        <w:t xml:space="preserve"> </w:t>
      </w:r>
      <w:r>
        <w:t xml:space="preserve">⁴ Harvard Medical School, Boston, MA, USA</w:t>
      </w:r>
      <w:r>
        <w:t xml:space="preserve"> </w:t>
      </w:r>
      <w:r>
        <w:t xml:space="preserve">⁵ Division of Mathematical Sciences and Life Informatics, Meiji Pharmaceutical University, Tokyo, Japan</w:t>
      </w:r>
    </w:p>
    <w:p>
      <w:pPr>
        <w:pStyle w:val="BodyText"/>
      </w:pPr>
      <w:r>
        <w:t xml:space="preserve">* To whom correspondence should be addressed. Email: mlevy11@mgh.harvard.edu</w:t>
      </w:r>
    </w:p>
    <w:p>
      <w:pPr>
        <w:pStyle w:val="BodyText"/>
      </w:pPr>
      <w:r>
        <w:rPr>
          <w:b/>
        </w:rPr>
        <w:t xml:space="preserve">Article type</w:t>
      </w:r>
      <w:r>
        <w:t xml:space="preserve">: Original Paper</w:t>
      </w:r>
    </w:p>
    <w:p>
      <w:pPr>
        <w:pStyle w:val="BodyText"/>
      </w:pPr>
      <w:r>
        <w:rPr>
          <w:b/>
        </w:rPr>
        <w:t xml:space="preserve">Subject section</w:t>
      </w:r>
      <w:r>
        <w:t xml:space="preserve">: Genome analysis / Gene expression</w:t>
      </w:r>
    </w:p>
    <w:p>
      <w:r>
        <w:pict>
          <v:rect style="width:0;height:1.5pt" o:hralign="center" o:hrstd="t" o:hr="t"/>
        </w:pict>
      </w:r>
    </w:p>
    <w:p>
      <w:pPr>
        <w:pStyle w:val="Heading2"/>
      </w:pPr>
      <w:bookmarkStart w:id="21" w:name="abstract"/>
      <w:r>
        <w:t xml:space="preserve">Abstract</w:t>
      </w:r>
      <w:bookmarkEnd w:id="21"/>
    </w:p>
    <w:p>
      <w:pPr>
        <w:pStyle w:val="FirstParagraph"/>
      </w:pPr>
      <w:r>
        <w:rPr>
          <w:b/>
        </w:rPr>
        <w:t xml:space="preserve">Motivation</w:t>
      </w:r>
      <w:r>
        <w:t xml:space="preserve">: Single-cell RNA sequencing (scRNA-seq) has accelerated biomarker discovery in multiple sclerosis (MS), yet cross-cohort reproducibility of candidate gene panels remains limited by batch effects and donor variability. Existing feature-selection methods optimize either statistical relevance, through differential-expression-based selection, or sparsity, through penalized regression such as LASSO and Elastic Net. They rarely control for redundancy among co-regulated genes within a cell-type-specific framework. Univariate filters yield panels saturated with co-expressed gene clusters, whereas penalized regression couples redundancy reduction to classifier loss.</w:t>
      </w:r>
    </w:p>
    <w:p>
      <w:pPr>
        <w:pStyle w:val="BodyText"/>
      </w:pPr>
      <w:r>
        <w:rPr>
          <w:b/>
        </w:rPr>
        <w:t xml:space="preserve">Results</w:t>
      </w:r>
      <w:r>
        <w:t xml:space="preserve">: We introduce a per-cell-type gene-panel selection framework based on Quadratic Unconstrained Binary Optimization (QUBO) that jointly optimizes three complementary objectives, namely relevance, pairwise non-redundancy and cardinality, within a single quadratic cost function decoupled from the downstream classifier. Applied to a four-cohort integrated MS scRNA-seq compendium (50 patients, 99 samples, 385,116 cells), QUBO panels achieved cross-cohort held-out AUC of 0.788 (CSF, σ = 0.044) and 0.768 (PBMC, σ = 0.033) under Leave-One-Cohort-Out validation, ranking first among five matched methods (DE-top, HVG, LASSO, Elastic Net and QUBO). Without prior knowledge, the resulting panels recovered all 13 candidate-pool genes of an independently published B-cell pathogenic signature (Ramesh</w:t>
      </w:r>
      <w:r>
        <w:t xml:space="preserve"> </w:t>
      </w:r>
      <w:r>
        <w:rPr>
          <w:i/>
        </w:rPr>
        <w:t xml:space="preserve">et al.</w:t>
      </w:r>
      <w:r>
        <w:t xml:space="preserve">, 2020). Per-cell AUCell scoring of the QUBO B-cell panel produced an MS-versus-HD median-activity difference of +0.049 (q = 5.7 × 10⁻¹⁵), confirming biological relevance at single-cell resolution.</w:t>
      </w:r>
    </w:p>
    <w:p>
      <w:pPr>
        <w:pStyle w:val="BodyText"/>
      </w:pPr>
      <w:r>
        <w:rPr>
          <w:b/>
        </w:rPr>
        <w:t xml:space="preserve">Availability and implementation</w:t>
      </w:r>
      <w:r>
        <w:t xml:space="preserve">: The pipeline is implemented in Python and R, released under the MIT license at https://github.com/christina-18/scRNA-QUBO with reproducible Docker and conda environments and worked examples on the four public cohorts.</w:t>
      </w:r>
    </w:p>
    <w:p>
      <w:pPr>
        <w:pStyle w:val="BodyText"/>
      </w:pPr>
      <w:r>
        <w:rPr>
          <w:b/>
        </w:rPr>
        <w:t xml:space="preserve">Contact</w:t>
      </w:r>
      <w:r>
        <w:t xml:space="preserve">: mlevy11@mgh.harvard.edu</w:t>
      </w:r>
    </w:p>
    <w:p>
      <w:pPr>
        <w:pStyle w:val="BodyText"/>
      </w:pPr>
      <w:r>
        <w:rPr>
          <w:b/>
        </w:rPr>
        <w:t xml:space="preserve">Supplementary information</w:t>
      </w:r>
      <w:r>
        <w:t xml:space="preserve">: Supplementary data are available at</w:t>
      </w:r>
      <w:r>
        <w:t xml:space="preserve"> </w:t>
      </w:r>
      <w:r>
        <w:rPr>
          <w:i/>
        </w:rPr>
        <w:t xml:space="preserve">Bioinformatics</w:t>
      </w:r>
      <w:r>
        <w:t xml:space="preserve"> </w:t>
      </w:r>
      <w:r>
        <w:t xml:space="preserve">online.</w:t>
      </w:r>
    </w:p>
    <w:p>
      <w:r>
        <w:pict>
          <v:rect style="width:0;height:1.5pt" o:hralign="center" o:hrstd="t" o:hr="t"/>
        </w:pict>
      </w:r>
    </w:p>
    <w:p>
      <w:pPr>
        <w:pStyle w:val="Heading2"/>
      </w:pPr>
      <w:bookmarkStart w:id="22" w:name="introduction"/>
      <w:r>
        <w:t xml:space="preserve">1 Introduction</w:t>
      </w:r>
      <w:bookmarkEnd w:id="22"/>
    </w:p>
    <w:p>
      <w:pPr>
        <w:pStyle w:val="FirstParagraph"/>
      </w:pPr>
      <w:r>
        <w:t xml:space="preserve">Multiple sclerosis (MS) is a chronic autoimmune disease of the central nervous system for which diagnostic and prognostic biomarkers remain limited to magnetic resonance imaging and the detection of cerebrospinal fluid (CSF) oligoclonal bands. Single-cell RNA sequencing (scRNA-seq) has accelerated MS biomarker discovery by resolving immune-cell heterogeneity in CSF and peripheral blood mononuclear cells (PBMC) (Schafflick</w:t>
      </w:r>
      <w:r>
        <w:t xml:space="preserve"> </w:t>
      </w:r>
      <w:r>
        <w:rPr>
          <w:i/>
        </w:rPr>
        <w:t xml:space="preserve">et al.</w:t>
      </w:r>
      <w:r>
        <w:t xml:space="preserve">, 2020; Pappalardo</w:t>
      </w:r>
      <w:r>
        <w:t xml:space="preserve"> </w:t>
      </w:r>
      <w:r>
        <w:rPr>
          <w:i/>
        </w:rPr>
        <w:t xml:space="preserve">et al.</w:t>
      </w:r>
      <w:r>
        <w:t xml:space="preserve">, 2020; Ramesh</w:t>
      </w:r>
      <w:r>
        <w:t xml:space="preserve"> </w:t>
      </w:r>
      <w:r>
        <w:rPr>
          <w:i/>
        </w:rPr>
        <w:t xml:space="preserve">et al.</w:t>
      </w:r>
      <w:r>
        <w:t xml:space="preserve">, 2020; Heming</w:t>
      </w:r>
      <w:r>
        <w:t xml:space="preserve"> </w:t>
      </w:r>
      <w:r>
        <w:rPr>
          <w:i/>
        </w:rPr>
        <w:t xml:space="preserve">et al.</w:t>
      </w:r>
      <w:r>
        <w:t xml:space="preserve">, 2021). However, cross-cohort reproducibility of candidate gene panels remains poor as a consequence of batch effects, sequencing-platform differences and donor heterogeneity (Heumos</w:t>
      </w:r>
      <w:r>
        <w:t xml:space="preserve"> </w:t>
      </w:r>
      <w:r>
        <w:rPr>
          <w:i/>
        </w:rPr>
        <w:t xml:space="preserve">et al.</w:t>
      </w:r>
      <w:r>
        <w:t xml:space="preserve">, 2023). A reproducible, cell-type-specific biomarker framework is therefore required for translation to clinical use.</w:t>
      </w:r>
    </w:p>
    <w:p>
      <w:pPr>
        <w:pStyle w:val="BodyText"/>
      </w:pPr>
      <w:r>
        <w:t xml:space="preserve">Existing feature-selection strategies fall into two broad families. Univariate filters, such as the top-K differentially expressed genes (DE-top) ranked by edgeR, DESeq2 or limma-voom |t|-statistics, or the top-K highly variable genes (HVG), are simple but tend to select clusters of co-expressed genes (for example, multiple HLA class II family members) that contribute redundant information. Penalized regression methods (LASSO, Elastic Net) sparsify selections via L1 or L1+L2 regularization but couple redundancy reduction to a specific classifier loss, conflating selection with model fitting; selections are also unstable across resamples (Meinshausen and Bühlmann, 2010). Neither family enforces a hard cardinality constraint with explicit pairwise dissimilarity, both of which are essential for designing biomarker panels that are interpretable, clinically tractable and reproducible.</w:t>
      </w:r>
    </w:p>
    <w:p>
      <w:pPr>
        <w:pStyle w:val="BodyText"/>
      </w:pPr>
      <w:r>
        <w:t xml:space="preserve">Cheminformatics provides a complementary template: in compound library design, relevance, diversity and cardinality are jointly optimized (Snarey</w:t>
      </w:r>
      <w:r>
        <w:t xml:space="preserve"> </w:t>
      </w:r>
      <w:r>
        <w:rPr>
          <w:i/>
        </w:rPr>
        <w:t xml:space="preserve">et al.</w:t>
      </w:r>
      <w:r>
        <w:t xml:space="preserve">, 1997; Pearlman and Smith, 1998). The natural mathematical home for this triplet is Quadratic Unconstrained Binary Optimization (QUBO), a binary-variable quadratic minimization framework with mature classical (Simulated Annealing, Tabu Search) and quantum-annealing (D-Wave) solvers (Lucas, 2014; Glover</w:t>
      </w:r>
      <w:r>
        <w:t xml:space="preserve"> </w:t>
      </w:r>
      <w:r>
        <w:rPr>
          <w:i/>
        </w:rPr>
        <w:t xml:space="preserve">et al.</w:t>
      </w:r>
      <w:r>
        <w:t xml:space="preserve">, 2018).</w:t>
      </w:r>
    </w:p>
    <w:p>
      <w:pPr>
        <w:pStyle w:val="BodyText"/>
      </w:pPr>
      <w:r>
        <w:t xml:space="preserve">Here we adapt the QUBO framework to scRNA-seq biomarker selection. Our contributions are fourfold. First, we formulate per-cell-type biomarker selection as a QUBO with three terms (score-weighted relevance, correlation-penalized redundancy and soft cardinality) and a hyperparameter grid auto-selected by inner cross-validation. Second, we integrate QUBO selection into a soft-voting cell-type ensemble classifier, evaluated under Leave-One-Cohort-Out (LOCO) cross-validation across four public MS scRNA-seq cohorts (50 patients, 385,116 cells). Third, we benchmark QUBO against four selection baselines (DE-top, HVG, LASSO and Elastic Net) under matched candidate pool, K grid, classifier and ensemble, isolating the effect of the selection logic itself. Fourth, we provide independent biological validation through the recovery of all candidate-pool genes from a published B-cell signature (Ramesh</w:t>
      </w:r>
      <w:r>
        <w:t xml:space="preserve"> </w:t>
      </w:r>
      <w:r>
        <w:rPr>
          <w:i/>
        </w:rPr>
        <w:t xml:space="preserve">et al.</w:t>
      </w:r>
      <w:r>
        <w:t xml:space="preserve">, 2020) and through cell-level AUCell scoring of the resulting panels. We additionally disclose a methodological limitation, namely pseudobulk dilution of the T-cell signal, and outline a Multi-Instance Learning extension as future work. The pipeline is open-source at https://github.com/christina-18/scRNA-QUBO.</w:t>
      </w:r>
    </w:p>
    <w:p>
      <w:r>
        <w:pict>
          <v:rect style="width:0;height:1.5pt" o:hralign="center" o:hrstd="t" o:hr="t"/>
        </w:pict>
      </w:r>
    </w:p>
    <w:p>
      <w:pPr>
        <w:pStyle w:val="Heading2"/>
      </w:pPr>
      <w:bookmarkStart w:id="23" w:name="materials-and-methods"/>
      <w:r>
        <w:t xml:space="preserve">2 Materials and Methods</w:t>
      </w:r>
      <w:bookmarkEnd w:id="23"/>
    </w:p>
    <w:p>
      <w:pPr>
        <w:pStyle w:val="Heading3"/>
      </w:pPr>
      <w:bookmarkStart w:id="24" w:name="datasets-and-preprocessing"/>
      <w:r>
        <w:t xml:space="preserve">2.1 Datasets and preprocessing</w:t>
      </w:r>
      <w:bookmarkEnd w:id="24"/>
    </w:p>
    <w:p>
      <w:pPr>
        <w:pStyle w:val="FirstParagraph"/>
      </w:pPr>
      <w:r>
        <w:t xml:space="preserve">Four publicly available multiple sclerosis (MS) single-cell RNA-seq cohorts were integrated for analysis: Pappalardo</w:t>
      </w:r>
      <w:r>
        <w:t xml:space="preserve"> </w:t>
      </w:r>
      <w:r>
        <w:rPr>
          <w:i/>
        </w:rPr>
        <w:t xml:space="preserve">et al.</w:t>
      </w:r>
      <w:r>
        <w:t xml:space="preserve"> </w:t>
      </w:r>
      <w:r>
        <w:t xml:space="preserve">(2020) (PRJNA671484), Heming</w:t>
      </w:r>
      <w:r>
        <w:t xml:space="preserve"> </w:t>
      </w:r>
      <w:r>
        <w:rPr>
          <w:i/>
        </w:rPr>
        <w:t xml:space="preserve">et al.</w:t>
      </w:r>
      <w:r>
        <w:t xml:space="preserve"> </w:t>
      </w:r>
      <w:r>
        <w:t xml:space="preserve">(2021) (osmzhlab/MS-ence-cov), Ramesh</w:t>
      </w:r>
      <w:r>
        <w:t xml:space="preserve"> </w:t>
      </w:r>
      <w:r>
        <w:rPr>
          <w:i/>
        </w:rPr>
        <w:t xml:space="preserve">et al.</w:t>
      </w:r>
      <w:r>
        <w:t xml:space="preserve"> </w:t>
      </w:r>
      <w:r>
        <w:t xml:space="preserve">(2020) (PRJNA549712) and Touil</w:t>
      </w:r>
      <w:r>
        <w:t xml:space="preserve"> </w:t>
      </w:r>
      <w:r>
        <w:rPr>
          <w:i/>
        </w:rPr>
        <w:t xml:space="preserve">et al.</w:t>
      </w:r>
      <w:r>
        <w:t xml:space="preserve"> </w:t>
      </w:r>
      <w:r>
        <w:t xml:space="preserve">(2023) (PRJNA979258). The integrated dataset comprised 50 unique donors, 99 sample-tissue combinations and 385,116 cells across cerebrospinal fluid (CSF) and peripheral blood mononuclear cell (PBMC) compartments. Cohorts included 28 patients with MS and 22 healthy donors (HD), with matched demographic distributions between groups (Supplementary Table S1).</w:t>
      </w:r>
    </w:p>
    <w:p>
      <w:pPr>
        <w:pStyle w:val="BodyText"/>
      </w:pPr>
      <w:r>
        <w:t xml:space="preserve">Raw count matrices were downloaded from the original repositories and harmonized to HGNC gene symbols. All preprocessing was performed in R (version 4.5.0) using Seurat (version 5.3.1). Quality control was applied independently for each cohort prior to integration. Cells with fewer than 200 detected genes or mitochondrial RNA fraction exceeding 20% were excluded. Putative doublets were identified and removed using scDblFinder. Normalization and variance stabilization were performed using SCTransform on a per-cohort basis before integration.</w:t>
      </w:r>
    </w:p>
    <w:p>
      <w:pPr>
        <w:pStyle w:val="Heading3"/>
      </w:pPr>
      <w:bookmarkStart w:id="25" w:name="X53d0b8be653144ddae53a1746fedfb0a798af9d"/>
      <w:r>
        <w:t xml:space="preserve">2.2 Cell-type annotation and pseudobulk construction</w:t>
      </w:r>
      <w:bookmarkEnd w:id="25"/>
    </w:p>
    <w:p>
      <w:pPr>
        <w:pStyle w:val="FirstParagraph"/>
      </w:pPr>
      <w:r>
        <w:t xml:space="preserve">Cells were annotated using Azimuth</w:t>
      </w:r>
      <w:r>
        <w:t xml:space="preserve"> </w:t>
      </w:r>
      <w:r>
        <w:rPr>
          <w:rStyle w:val="VerbatimChar"/>
        </w:rPr>
        <w:t xml:space="preserve">predicted.celltype.l2</w:t>
      </w:r>
      <w:r>
        <w:t xml:space="preserve"> </w:t>
      </w:r>
      <w:r>
        <w:t xml:space="preserve">labels (Hao</w:t>
      </w:r>
      <w:r>
        <w:t xml:space="preserve"> </w:t>
      </w:r>
      <w:r>
        <w:rPr>
          <w:i/>
        </w:rPr>
        <w:t xml:space="preserve">et al.</w:t>
      </w:r>
      <w:r>
        <w:t xml:space="preserve">, 2021) and collapsed into eight broad immune subsets (B, Mono, CD4_T, CD8_T, NK, DC, dnT and gdT) to balance biological specificity, cross-cohort reproducibility, and sufficient donor-level cell coverage for stable pseudobulk estimation. Gene features were restricted to biologically informative signals by excluding mitochondrial genes, ribosomal genes (with the exception of RPLP0, RPLP1, RPLP2 and RPSA, retained for documented roles as laminin receptors and in blood-brain-barrier transmigration), heat-shock genes, nuclear long non-coding RNAs (e.g., MALAT1 and NEAT1) and a curated housekeeping list, following best-practice recommendations for single-cell analysis (Heumos</w:t>
      </w:r>
      <w:r>
        <w:t xml:space="preserve"> </w:t>
      </w:r>
      <w:r>
        <w:rPr>
          <w:i/>
        </w:rPr>
        <w:t xml:space="preserve">et al.</w:t>
      </w:r>
      <w:r>
        <w:t xml:space="preserve">, 2023). After filtering, approximately 7,960 genes remained.</w:t>
      </w:r>
    </w:p>
    <w:p>
      <w:pPr>
        <w:pStyle w:val="BodyText"/>
      </w:pPr>
      <w:r>
        <w:t xml:space="preserve">For each donor × cell type × tissue combination, mean pseudobulk expression profiles were constructed by averaging log-normalized expression values across cells belonging to the same group. Donors, rather than individual cells, were treated as the statistical unit throughout feature selection and model evaluation. This aggregation strategy reduces cell-level stochasticity and mitigates pseudoreplication while preserving cell-type-specific transcriptional structure. Pseudobulk profiles were subsequently restricted to the top 3,000 highly variable genes per cell type using Seurat</w:t>
      </w:r>
      <w:r>
        <w:t xml:space="preserve"> </w:t>
      </w:r>
      <w:r>
        <w:rPr>
          <w:rStyle w:val="VerbatimChar"/>
        </w:rPr>
        <w:t xml:space="preserve">FindVariableFeatures</w:t>
      </w:r>
      <w:r>
        <w:t xml:space="preserve"> </w:t>
      </w:r>
      <w:r>
        <w:t xml:space="preserve">with the</w:t>
      </w:r>
      <w:r>
        <w:t xml:space="preserve"> </w:t>
      </w:r>
      <w:r>
        <w:rPr>
          <w:rStyle w:val="VerbatimChar"/>
        </w:rPr>
        <w:t xml:space="preserve">vst</w:t>
      </w:r>
      <w:r>
        <w:t xml:space="preserve"> </w:t>
      </w:r>
      <w:r>
        <w:t xml:space="preserve">method.</w:t>
      </w:r>
    </w:p>
    <w:p>
      <w:pPr>
        <w:pStyle w:val="Heading3"/>
      </w:pPr>
      <w:bookmarkStart w:id="26" w:name="X963f790ea1dbcdbc759ff837a95591d30dca219"/>
      <w:r>
        <w:t xml:space="preserve">2.3 Cross-validation framework and leakage prevention</w:t>
      </w:r>
      <w:bookmarkEnd w:id="26"/>
    </w:p>
    <w:p>
      <w:pPr>
        <w:pStyle w:val="FirstParagraph"/>
      </w:pPr>
      <w:r>
        <w:t xml:space="preserve">To ensure unbiased evaluation and prevent information leakage, all data-splitting procedures were performed at the donor level rather than at the individual-cell level. Samples originating from the same donor were strictly assigned to either the training or the test partition, but never to both. Donor-level grouping was maintained throughout feature selection, hyperparameter optimization and model evaluation.</w:t>
      </w:r>
    </w:p>
    <w:p>
      <w:pPr>
        <w:pStyle w:val="BodyText"/>
      </w:pPr>
      <w:r>
        <w:t xml:space="preserve">Predictive performance was evaluated using cross-validation frameworks designed to assess both within-cohort robustness and cross-cohort generalizability. In the primary analysis, Leave-One-Cohort-Out (LOCO) cross-validation was performed: one of the three MS-containing cohorts (Pappalardo, Heming, Ramesh) was held out for testing while the remaining cohorts were used for training. The Touil cohort (HD only) was fixed to the training set throughout. This design evaluates the reproducibility of selected biomarker panels under cohort-specific technical and biological variation.</w:t>
      </w:r>
    </w:p>
    <w:p>
      <w:pPr>
        <w:pStyle w:val="BodyText"/>
      </w:pPr>
      <w:r>
        <w:t xml:space="preserve">All preprocessing steps that depend on expression distributions, including candidate-gene ranking, highly-variable-gene selection, QUBO optimization and classifier training, were performed exclusively within the training data of each fold. Test cohorts were not used at any stage of feature selection or hyperparameter tuning. Hyperparameters, including candidate-pool size and QUBO regularization parameters, were selected by nested cross-validation restricted to the training cohorts. This procedure prevented information leakage from test data into model selection and ensured an unbiased estimate of generalization performance.</w:t>
      </w:r>
    </w:p>
    <w:p>
      <w:pPr>
        <w:pStyle w:val="Heading3"/>
      </w:pPr>
      <w:bookmarkStart w:id="27" w:name="candidate-gene-pool-generation"/>
      <w:r>
        <w:t xml:space="preserve">2.4 Candidate gene pool generation</w:t>
      </w:r>
      <w:bookmarkEnd w:id="27"/>
    </w:p>
    <w:p>
      <w:pPr>
        <w:pStyle w:val="FirstParagraph"/>
      </w:pPr>
      <w:r>
        <w:t xml:space="preserve">Candidate gene pools were generated independently within each training fold to prevent information leakage. For each cell type, differential expression statistics were computed from donor-level pseudobulk expression profiles comparing MS and healthy donor samples within the training data only. Genes were ranked by the absolute t-statistic of a covariate-adjusted linear model with diagnosis as the predictor of interest and age, sex, sequencing batch and log₁₀ cells/donor as nuisance covariates, applied per gene to the donor-level mean-pseudobulk log-normalized expression. We selected this linear-model formulation over Negative-Binomial-GLM-based methods (e.g., edgeR, limma-voom) because the pseudobulk values represent donor-averaged log-normalized expression rather than raw counts, and because empirical Bayes dispersion shrinkage in NB-GLM frameworks produced stable estimates for fewer than 20 of 3,000 input genes in heterogeneous T-cell and DC pseudobulk populations during pilot analyses (Supplementary Table SX). Linear models on log-normalized pseudobulk are statistically appropriate in this setting and consistent with the recommendations of Squair</w:t>
      </w:r>
      <w:r>
        <w:t xml:space="preserve"> </w:t>
      </w:r>
      <w:r>
        <w:rPr>
          <w:i/>
        </w:rPr>
        <w:t xml:space="preserve">et al.</w:t>
      </w:r>
      <w:r>
        <w:t xml:space="preserve"> </w:t>
      </w:r>
      <w:r>
        <w:t xml:space="preserve">(2021) and Crowell</w:t>
      </w:r>
      <w:r>
        <w:t xml:space="preserve"> </w:t>
      </w:r>
      <w:r>
        <w:rPr>
          <w:i/>
        </w:rPr>
        <w:t xml:space="preserve">et al.</w:t>
      </w:r>
      <w:r>
        <w:t xml:space="preserve"> </w:t>
      </w:r>
      <w:r>
        <w:t xml:space="preserve">(2020).</w:t>
      </w:r>
    </w:p>
    <w:p>
      <w:pPr>
        <w:pStyle w:val="BodyText"/>
      </w:pPr>
      <w:r>
        <w:t xml:space="preserve">Prior to ranking, biologically uninformative or technically confounded features (mitochondrial, ribosomal, heat-shock and curated housekeeping genes) were excluded as described in §2.2. To reduce dimensionality while preserving sufficient diversity for combinatorial optimization, the top 100 ranked genes were retained as candidate features per cell type for downstream QUBO optimization and baseline feature-selection methods. Candidate-pool generation was repeated independently for each cross-validation fold, ensuring that test data did not influence feature ranking or candidate selection. All feature-selection methods were evaluated using matched candidate pools, classifier architectures and evaluation procedures, isolating the effect of feature-selection logic itself.</w:t>
      </w:r>
    </w:p>
    <w:p>
      <w:pPr>
        <w:pStyle w:val="Heading3"/>
      </w:pPr>
      <w:bookmarkStart w:id="28" w:name="qubo-formulation"/>
      <w:r>
        <w:t xml:space="preserve">2.5 QUBO formulation</w:t>
      </w:r>
      <w:bookmarkEnd w:id="28"/>
    </w:p>
    <w:p>
      <w:pPr>
        <w:pStyle w:val="FirstParagraph"/>
      </w:pPr>
      <w:r>
        <w:t xml:space="preserve">For each cell type and cross-validation fold, candidate gene selection was formulated as a Quadratic Unconstrained Binary Optimization (QUBO) problem. Let</w:t>
      </w:r>
      <w:r>
        <w:t xml:space="preserve"> </w:t>
      </w:r>
      <m:oMath>
        <m:sSub>
          <m:e>
            <m:r>
              <m:t>x</m:t>
            </m:r>
          </m:e>
          <m:sub>
            <m:r>
              <m:t>i</m:t>
            </m:r>
          </m:sub>
        </m:sSub>
        <m:r>
          <m:t>∈</m:t>
        </m:r>
        <m:r>
          <m:t>{</m:t>
        </m:r>
        <m:r>
          <m:t>0</m:t>
        </m:r>
        <m:r>
          <m:t>,</m:t>
        </m:r>
        <m:r>
          <m:t>1</m:t>
        </m:r>
        <m:r>
          <m:t>}</m:t>
        </m:r>
      </m:oMath>
      <w:r>
        <w:t xml:space="preserve"> </w:t>
      </w:r>
      <w:r>
        <w:t xml:space="preserve">denote whether candidate gene</w:t>
      </w:r>
      <w:r>
        <w:t xml:space="preserve"> </w:t>
      </w:r>
      <m:oMath>
        <m:r>
          <m:t>i</m:t>
        </m:r>
      </m:oMath>
      <w:r>
        <w:t xml:space="preserve"> </w:t>
      </w:r>
      <w:r>
        <w:t xml:space="preserve">is selected, where</w:t>
      </w:r>
      <w:r>
        <w:t xml:space="preserve"> </w:t>
      </w:r>
      <m:oMath>
        <m:sSub>
          <m:e>
            <m:r>
              <m:t>x</m:t>
            </m:r>
          </m:e>
          <m:sub>
            <m:r>
              <m:t>i</m:t>
            </m:r>
          </m:sub>
        </m:sSub>
        <m:r>
          <m:t>=</m:t>
        </m:r>
        <m:r>
          <m:t>1</m:t>
        </m:r>
      </m:oMath>
      <w:r>
        <w:t xml:space="preserve"> </w:t>
      </w:r>
      <w:r>
        <w:t xml:space="preserve">indicates selection and</w:t>
      </w:r>
      <w:r>
        <w:t xml:space="preserve"> </w:t>
      </w:r>
      <m:oMath>
        <m:sSub>
          <m:e>
            <m:r>
              <m:t>x</m:t>
            </m:r>
          </m:e>
          <m:sub>
            <m:r>
              <m:t>i</m:t>
            </m:r>
          </m:sub>
        </m:sSub>
        <m:r>
          <m:t>=</m:t>
        </m:r>
        <m:r>
          <m:t>0</m:t>
        </m:r>
      </m:oMath>
      <w:r>
        <w:t xml:space="preserve"> </w:t>
      </w:r>
      <w:r>
        <w:t xml:space="preserve">indicates exclusion. The objective function was designed to jointly maximize gene-level relevance, penalize pairwise redundancy and control the number of selected genes:</w:t>
      </w:r>
    </w:p>
    <w:p>
      <w:pPr>
        <w:pStyle w:val="BodyText"/>
      </w:pPr>
      <m:oMathPara>
        <m:oMathParaPr>
          <m:jc m:val="center"/>
        </m:oMathParaPr>
        <m:oMath>
          <m:limLow>
            <m:e>
              <m:r>
                <m:rPr>
                  <m:nor/>
                  <m:sty m:val="p"/>
                </m:rPr>
                <m:t>min</m:t>
              </m:r>
            </m:e>
            <m:lim>
              <m:r>
                <m:rPr>
                  <m:sty m:val="b"/>
                </m:rPr>
                <m:t>x</m:t>
              </m:r>
              <m:r>
                <m:t>∈</m:t>
              </m:r>
              <m:r>
                <m:t>{</m:t>
              </m:r>
              <m:r>
                <m:t>0</m:t>
              </m:r>
              <m:r>
                <m:t>,</m:t>
              </m:r>
              <m:r>
                <m:t>1</m:t>
              </m:r>
              <m:sSup>
                <m:e>
                  <m:r>
                    <m:t>}</m:t>
                  </m:r>
                </m:e>
                <m:sup>
                  <m:r>
                    <m:t>N</m:t>
                  </m:r>
                </m:sup>
              </m:sSup>
            </m:lim>
          </m:limLow>
          <m:d>
            <m:dPr>
              <m:begChr m:val="["/>
              <m:endChr m:val="]"/>
              <m:grow/>
            </m:dPr>
            <m:e>
              <m:r>
                <m:t>−</m:t>
              </m:r>
              <m:r>
                <m:t>α</m:t>
              </m:r>
              <m:nary>
                <m:naryPr>
                  <m:chr m:val="∑"/>
                  <m:limLoc m:val="undOvr"/>
                  <m:subHide m:val="0"/>
                  <m:supHide m:val="0"/>
                </m:naryPr>
                <m:sub>
                  <m:r>
                    <m:t>i</m:t>
                  </m:r>
                  <m:r>
                    <m:t>=</m:t>
                  </m:r>
                  <m:r>
                    <m:t>1</m:t>
                  </m:r>
                </m:sub>
                <m:sup>
                  <m:r>
                    <m:t>N</m:t>
                  </m:r>
                </m:sup>
                <m:e>
                  <m:sSub>
                    <m:e>
                      <m:acc>
                        <m:accPr>
                          <m:chr m:val="̃"/>
                        </m:accPr>
                        <m:e>
                          <m:r>
                            <m:t>r</m:t>
                          </m:r>
                        </m:e>
                      </m:acc>
                    </m:e>
                    <m:sub>
                      <m:r>
                        <m:t>i</m:t>
                      </m:r>
                    </m:sub>
                  </m:sSub>
                </m:e>
              </m:nary>
              <m:r>
                <m:t> </m:t>
              </m:r>
              <m:sSub>
                <m:e>
                  <m:r>
                    <m:t>x</m:t>
                  </m:r>
                </m:e>
                <m:sub>
                  <m:r>
                    <m:t>i</m:t>
                  </m:r>
                </m:sub>
              </m:sSub>
              <m:r>
                <m:t> </m:t>
              </m:r>
              <m:r>
                <m:t>+</m:t>
              </m:r>
              <m:r>
                <m:t> </m:t>
              </m:r>
              <m:r>
                <m:t>β</m:t>
              </m:r>
              <m:nary>
                <m:naryPr>
                  <m:chr m:val="∑"/>
                  <m:limLoc m:val="undOvr"/>
                  <m:subHide m:val="0"/>
                  <m:supHide m:val="1"/>
                </m:naryPr>
                <m:sub>
                  <m:r>
                    <m:t>i</m:t>
                  </m:r>
                  <m:r>
                    <m:t>&lt;</m:t>
                  </m:r>
                  <m:r>
                    <m:t>j</m:t>
                  </m:r>
                </m:sub>
                <m:sup>
                  <m:r>
                    <m:t>​</m:t>
                  </m:r>
                </m:sup>
                <m:e>
                  <m:r>
                    <m:t>|</m:t>
                  </m:r>
                </m:e>
              </m:nary>
              <m:sSub>
                <m:e>
                  <m:r>
                    <m:t>ρ</m:t>
                  </m:r>
                </m:e>
                <m:sub>
                  <m:r>
                    <m:t>i</m:t>
                  </m:r>
                  <m:r>
                    <m:t>j</m:t>
                  </m:r>
                </m:sub>
              </m:sSub>
              <m:r>
                <m:t>|</m:t>
              </m:r>
              <m:r>
                <m:t> </m:t>
              </m:r>
              <m:sSub>
                <m:e>
                  <m:r>
                    <m:t>x</m:t>
                  </m:r>
                </m:e>
                <m:sub>
                  <m:r>
                    <m:t>i</m:t>
                  </m:r>
                </m:sub>
              </m:sSub>
              <m:sSub>
                <m:e>
                  <m:r>
                    <m:t>x</m:t>
                  </m:r>
                </m:e>
                <m:sub>
                  <m:r>
                    <m:t>j</m:t>
                  </m:r>
                </m:sub>
              </m:sSub>
              <m:r>
                <m:t> </m:t>
              </m:r>
              <m:r>
                <m:t>+</m:t>
              </m:r>
              <m:r>
                <m:t> </m:t>
              </m:r>
              <m:r>
                <m:t>λ</m:t>
              </m:r>
              <m:sSup>
                <m:e>
                  <m:d>
                    <m:dPr>
                      <m:begChr m:val="("/>
                      <m:endChr m:val=")"/>
                      <m:grow/>
                    </m:dPr>
                    <m:e>
                      <m:nary>
                        <m:naryPr>
                          <m:chr m:val="∑"/>
                          <m:limLoc m:val="undOvr"/>
                          <m:subHide m:val="0"/>
                          <m:supHide m:val="0"/>
                        </m:naryPr>
                        <m:sub>
                          <m:r>
                            <m:t>i</m:t>
                          </m:r>
                          <m:r>
                            <m:t>=</m:t>
                          </m:r>
                          <m:r>
                            <m:t>1</m:t>
                          </m:r>
                        </m:sub>
                        <m:sup>
                          <m:r>
                            <m:t>N</m:t>
                          </m:r>
                        </m:sup>
                        <m:e>
                          <m:sSub>
                            <m:e>
                              <m:r>
                                <m:t>x</m:t>
                              </m:r>
                            </m:e>
                            <m:sub>
                              <m:r>
                                <m:t>i</m:t>
                              </m:r>
                            </m:sub>
                          </m:sSub>
                        </m:e>
                      </m:nary>
                      <m:r>
                        <m:t>−</m:t>
                      </m:r>
                      <m:r>
                        <m:t>K</m:t>
                      </m:r>
                    </m:e>
                  </m:d>
                </m:e>
                <m:sup>
                  <m:r>
                    <m:t>2</m:t>
                  </m:r>
                </m:sup>
              </m:sSup>
            </m:e>
          </m:d>
          <m:r>
            <m:t>,</m:t>
          </m:r>
        </m:oMath>
      </m:oMathPara>
    </w:p>
    <w:p>
      <w:pPr>
        <w:pStyle w:val="FirstParagraph"/>
      </w:pPr>
      <w:r>
        <w:t xml:space="preserve">where</w:t>
      </w:r>
      <w:r>
        <w:t xml:space="preserve"> </w:t>
      </w:r>
      <m:oMath>
        <m:r>
          <m:t>N</m:t>
        </m:r>
      </m:oMath>
      <w:r>
        <w:t xml:space="preserve"> </w:t>
      </w:r>
      <w:r>
        <w:t xml:space="preserve">is the number of candidate genes and</w:t>
      </w:r>
      <w:r>
        <w:t xml:space="preserve"> </w:t>
      </w:r>
      <m:oMath>
        <m:r>
          <m:t>K</m:t>
        </m:r>
      </m:oMath>
      <w:r>
        <w:t xml:space="preserve"> </w:t>
      </w:r>
      <w:r>
        <w:t xml:space="preserve">is the target panel size. The first term represents gene-level relevance, with</w:t>
      </w:r>
      <w:r>
        <w:t xml:space="preserve"> </w:t>
      </w:r>
      <m:oMath>
        <m:sSub>
          <m:e>
            <m:acc>
              <m:accPr>
                <m:chr m:val="̃"/>
              </m:accPr>
              <m:e>
                <m:r>
                  <m:t>r</m:t>
                </m:r>
              </m:e>
            </m:acc>
          </m:e>
          <m:sub>
            <m:r>
              <m:t>i</m:t>
            </m:r>
          </m:sub>
        </m:sSub>
      </m:oMath>
      <w:r>
        <w:t xml:space="preserve"> </w:t>
      </w:r>
      <w:r>
        <w:t xml:space="preserve">denoting the normalized differential score of gene</w:t>
      </w:r>
      <w:r>
        <w:t xml:space="preserve"> </w:t>
      </w:r>
      <m:oMath>
        <m:r>
          <m:t>i</m:t>
        </m:r>
      </m:oMath>
      <w:r>
        <w:t xml:space="preserve">, computed from the absolute t-statistic of the covariate-adjusted linear model described in §2.4. The negative sign encourages the selection of genes with high discriminative relevance. The second term penalizes pairwise redundancy, with</w:t>
      </w:r>
      <w:r>
        <w:t xml:space="preserve"> </w:t>
      </w:r>
      <m:oMath>
        <m:sSub>
          <m:e>
            <m:r>
              <m:t>ρ</m:t>
            </m:r>
          </m:e>
          <m:sub>
            <m:r>
              <m:t>i</m:t>
            </m:r>
            <m:r>
              <m:t>j</m:t>
            </m:r>
          </m:sub>
        </m:sSub>
      </m:oMath>
      <w:r>
        <w:t xml:space="preserve"> </w:t>
      </w:r>
      <w:r>
        <w:t xml:space="preserve">the Pearson correlation between genes</w:t>
      </w:r>
      <w:r>
        <w:t xml:space="preserve"> </w:t>
      </w:r>
      <m:oMath>
        <m:r>
          <m:t>i</m:t>
        </m:r>
      </m:oMath>
      <w:r>
        <w:t xml:space="preserve"> </w:t>
      </w:r>
      <w:r>
        <w:t xml:space="preserve">and</w:t>
      </w:r>
      <w:r>
        <w:t xml:space="preserve"> </w:t>
      </w:r>
      <m:oMath>
        <m:r>
          <m:t>j</m:t>
        </m:r>
      </m:oMath>
      <w:r>
        <w:t xml:space="preserve"> </w:t>
      </w:r>
      <w:r>
        <w:t xml:space="preserve">across training-donor pseudobulk profiles. The use of</w:t>
      </w:r>
      <w:r>
        <w:t xml:space="preserve"> </w:t>
      </w:r>
      <m:oMath>
        <m:r>
          <m:t>|</m:t>
        </m:r>
        <m:sSub>
          <m:e>
            <m:r>
              <m:t>ρ</m:t>
            </m:r>
          </m:e>
          <m:sub>
            <m:r>
              <m:t>i</m:t>
            </m:r>
            <m:r>
              <m:t>j</m:t>
            </m:r>
          </m:sub>
        </m:sSub>
        <m:r>
          <m:t>|</m:t>
        </m:r>
      </m:oMath>
      <w:r>
        <w:t xml:space="preserve"> </w:t>
      </w:r>
      <w:r>
        <w:t xml:space="preserve">penalizes both positively and negatively correlated gene pairs, discouraging redundant transcriptional signals. The third term is a soft cardinality constraint that encourages the solution to select approximately</w:t>
      </w:r>
      <w:r>
        <w:t xml:space="preserve"> </w:t>
      </w:r>
      <m:oMath>
        <m:r>
          <m:t>K</m:t>
        </m:r>
      </m:oMath>
      <w:r>
        <w:t xml:space="preserve"> </w:t>
      </w:r>
      <w:r>
        <w:t xml:space="preserve">genes. The scalars</w:t>
      </w:r>
      <w:r>
        <w:t xml:space="preserve"> </w:t>
      </w:r>
      <m:oMath>
        <m:r>
          <m:t>α</m:t>
        </m:r>
      </m:oMath>
      <w:r>
        <w:t xml:space="preserve">,</w:t>
      </w:r>
      <w:r>
        <w:t xml:space="preserve"> </w:t>
      </w:r>
      <m:oMath>
        <m:r>
          <m:t>β</m:t>
        </m:r>
      </m:oMath>
      <w:r>
        <w:t xml:space="preserve"> </w:t>
      </w:r>
      <w:r>
        <w:t xml:space="preserve">and</w:t>
      </w:r>
      <w:r>
        <w:t xml:space="preserve"> </w:t>
      </w:r>
      <m:oMath>
        <m:r>
          <m:t>λ</m:t>
        </m:r>
      </m:oMath>
      <w:r>
        <w:t xml:space="preserve"> </w:t>
      </w:r>
      <w:r>
        <w:t xml:space="preserve">are non-negative weights; in our reported analyses</w:t>
      </w:r>
      <w:r>
        <w:t xml:space="preserve"> </w:t>
      </w:r>
      <m:oMath>
        <m:r>
          <m:t>α</m:t>
        </m:r>
        <m:r>
          <m:t>=</m:t>
        </m:r>
        <m:r>
          <m:t>1</m:t>
        </m:r>
      </m:oMath>
      <w:r>
        <w:t xml:space="preserve"> </w:t>
      </w:r>
      <w:r>
        <w:t xml:space="preserve">and</w:t>
      </w:r>
      <w:r>
        <w:t xml:space="preserve"> </w:t>
      </w:r>
      <m:oMath>
        <m:r>
          <m:t>β</m:t>
        </m:r>
        <m:r>
          <m:t>=</m:t>
        </m:r>
        <m:r>
          <m:t>γ</m:t>
        </m:r>
        <m:r>
          <m:t>∈</m:t>
        </m:r>
        <m:r>
          <m:t>{</m:t>
        </m:r>
        <m:r>
          <m:t>0.5</m:t>
        </m:r>
        <m:r>
          <m:t>,</m:t>
        </m:r>
        <m:r>
          <m:t>1.0</m:t>
        </m:r>
        <m:r>
          <m:t>}</m:t>
        </m:r>
      </m:oMath>
      <w:r>
        <w:t xml:space="preserve"> </w:t>
      </w:r>
      <w:r>
        <w:t xml:space="preserve">was tuned by inner cross-validation, with</w:t>
      </w:r>
      <w:r>
        <w:t xml:space="preserve"> </w:t>
      </w:r>
      <m:oMath>
        <m:r>
          <m:t>λ</m:t>
        </m:r>
        <m:r>
          <m:t>∈</m:t>
        </m:r>
        <m:r>
          <m:t>{</m:t>
        </m:r>
        <m:r>
          <m:t>2</m:t>
        </m:r>
        <m:r>
          <m:t>,</m:t>
        </m:r>
        <m:r>
          <m:t>5</m:t>
        </m:r>
        <m:r>
          <m:t>}</m:t>
        </m:r>
      </m:oMath>
      <w:r>
        <w:t xml:space="preserve">.</w:t>
      </w:r>
    </w:p>
    <w:p>
      <w:pPr>
        <w:pStyle w:val="BodyText"/>
      </w:pPr>
      <w:r>
        <w:t xml:space="preserve">This objective can be expressed in standard QUBO matrix form as</w:t>
      </w:r>
    </w:p>
    <w:p>
      <w:pPr>
        <w:pStyle w:val="BodyText"/>
      </w:pPr>
      <m:oMathPara>
        <m:oMathParaPr>
          <m:jc m:val="center"/>
        </m:oMathParaPr>
        <m:oMath>
          <m:limLow>
            <m:e>
              <m:r>
                <m:rPr>
                  <m:nor/>
                  <m:sty m:val="p"/>
                </m:rPr>
                <m:t>min</m:t>
              </m:r>
            </m:e>
            <m:lim>
              <m:r>
                <m:rPr>
                  <m:sty m:val="b"/>
                </m:rPr>
                <m:t>x</m:t>
              </m:r>
              <m:r>
                <m:t>∈</m:t>
              </m:r>
              <m:r>
                <m:t>{</m:t>
              </m:r>
              <m:r>
                <m:t>0</m:t>
              </m:r>
              <m:r>
                <m:t>,</m:t>
              </m:r>
              <m:r>
                <m:t>1</m:t>
              </m:r>
              <m:sSup>
                <m:e>
                  <m:r>
                    <m:t>}</m:t>
                  </m:r>
                </m:e>
                <m:sup>
                  <m:r>
                    <m:t>N</m:t>
                  </m:r>
                </m:sup>
              </m:sSup>
            </m:lim>
          </m:limLow>
          <m:sSup>
            <m:e>
              <m:r>
                <m:rPr>
                  <m:sty m:val="b"/>
                </m:rPr>
                <m:t>x</m:t>
              </m:r>
            </m:e>
            <m:sup>
              <m:r>
                <m:t>⊤</m:t>
              </m:r>
            </m:sup>
          </m:sSup>
          <m:r>
            <m:rPr>
              <m:sty m:val="b"/>
            </m:rPr>
            <m:t>Q</m:t>
          </m:r>
          <m:r>
            <m:t> </m:t>
          </m:r>
          <m:r>
            <m:rPr>
              <m:sty m:val="b"/>
            </m:rPr>
            <m:t>x</m:t>
          </m:r>
          <m:r>
            <m:t>,</m:t>
          </m:r>
        </m:oMath>
      </m:oMathPara>
    </w:p>
    <w:p>
      <w:pPr>
        <w:pStyle w:val="FirstParagraph"/>
      </w:pPr>
      <w:r>
        <w:t xml:space="preserve">where the diagonal elements of</w:t>
      </w:r>
      <w:r>
        <w:t xml:space="preserve"> </w:t>
      </w:r>
      <m:oMath>
        <m:r>
          <m:rPr>
            <m:sty m:val="b"/>
          </m:rPr>
          <m:t>Q</m:t>
        </m:r>
      </m:oMath>
      <w:r>
        <w:t xml:space="preserve"> </w:t>
      </w:r>
      <w:r>
        <w:t xml:space="preserve">encode gene relevance and cardinality contributions and the off-diagonal elements encode pairwise redundancy penalties. The same matrix</w:t>
      </w:r>
      <w:r>
        <w:t xml:space="preserve"> </w:t>
      </w:r>
      <m:oMath>
        <m:r>
          <m:rPr>
            <m:sty m:val="b"/>
          </m:rPr>
          <m:t>Q</m:t>
        </m:r>
      </m:oMath>
      <w:r>
        <w:t xml:space="preserve"> </w:t>
      </w:r>
      <w:r>
        <w:t xml:space="preserve">is solvable on classical (Simulated Annealing, Tabu Search) and quantum-annealing (D-Wave) hardware, ensuring methodological portability. All relevance scores and correlation matrices were computed exclusively from training-fold data to prevent information leakage. The QUBO was solved with classical Simulated Annealing (</w:t>
      </w:r>
      <w:r>
        <w:rPr>
          <w:rStyle w:val="VerbatimChar"/>
        </w:rPr>
        <w:t xml:space="preserve">dwave-neal</w:t>
      </w:r>
      <w:r>
        <w:t xml:space="preserve">) using 100 reads and 1,000 sweeps per instance, with the target cardinality</w:t>
      </w:r>
      <w:r>
        <w:t xml:space="preserve"> </w:t>
      </w:r>
      <m:oMath>
        <m:r>
          <m:t>K</m:t>
        </m:r>
        <m:r>
          <m:t>∈</m:t>
        </m:r>
        <m:r>
          <m:t>{</m:t>
        </m:r>
        <m:r>
          <m:t>10</m:t>
        </m:r>
        <m:r>
          <m:t>,</m:t>
        </m:r>
        <m:r>
          <m:t>20</m:t>
        </m:r>
        <m:r>
          <m:t>,</m:t>
        </m:r>
        <m:r>
          <m:t>30</m:t>
        </m:r>
        <m:r>
          <m:t>}</m:t>
        </m:r>
      </m:oMath>
      <w:r>
        <w:t xml:space="preserve"> </w:t>
      </w:r>
      <w:r>
        <w:t xml:space="preserve">auto-selected per (cell type × fold) by inner 5-fold cross-validation. To stabilize QUBO selection against the stochasticity of Simulated Annealing, we additionally evaluated a consensus mode comprising 10 independent SA runs with seed offsets, returning the top-K genes by selection frequency.</w:t>
      </w:r>
    </w:p>
    <w:p>
      <w:pPr>
        <w:pStyle w:val="Heading3"/>
      </w:pPr>
      <w:bookmarkStart w:id="29" w:name="baseline-feature-selection-methods"/>
      <w:r>
        <w:t xml:space="preserve">2.6 Baseline feature-selection methods</w:t>
      </w:r>
      <w:bookmarkEnd w:id="29"/>
    </w:p>
    <w:p>
      <w:pPr>
        <w:pStyle w:val="FirstParagraph"/>
      </w:pPr>
      <w:r>
        <w:t xml:space="preserve">QUBO-based feature selection was compared against four commonly used baseline approaches: differential-expression ranking (DE-top), highly variable genes (HVG), LASSO and Elastic Net. For the DE-top baseline, genes were ranked by the absolute linear-model t-statistic computed from training-donor pseudobulk profiles (as in §2.4), and the top-K genes were selected. The HVG baseline used Seurat</w:t>
      </w:r>
      <w:r>
        <w:t xml:space="preserve"> </w:t>
      </w:r>
      <w:r>
        <w:rPr>
          <w:rStyle w:val="VerbatimChar"/>
        </w:rPr>
        <w:t xml:space="preserve">FindVariableFeatures</w:t>
      </w:r>
      <w:r>
        <w:t xml:space="preserve"> </w:t>
      </w:r>
      <w:r>
        <w:t xml:space="preserve">with the</w:t>
      </w:r>
      <w:r>
        <w:t xml:space="preserve"> </w:t>
      </w:r>
      <w:r>
        <w:rPr>
          <w:rStyle w:val="VerbatimChar"/>
        </w:rPr>
        <w:t xml:space="preserve">vst</w:t>
      </w:r>
      <w:r>
        <w:t xml:space="preserve"> </w:t>
      </w:r>
      <w:r>
        <w:t xml:space="preserve">method to select genes with the highest expression variability within the training data, without using the MS-versus-HD label. Embedded feature-selection baselines were implemented using L1-penalized (LASSO) and L1+L2-penalized (Elastic Net,</w:t>
      </w:r>
      <w:r>
        <w:t xml:space="preserve"> </w:t>
      </w:r>
      <w:r>
        <w:rPr>
          <w:rStyle w:val="VerbatimChar"/>
        </w:rPr>
        <w:t xml:space="preserve">l1_ratio = 0.5</w:t>
      </w:r>
      <w:r>
        <w:t xml:space="preserve">) logistic regression in</w:t>
      </w:r>
      <w:r>
        <w:t xml:space="preserve"> </w:t>
      </w:r>
      <w:r>
        <w:rPr>
          <w:rStyle w:val="VerbatimChar"/>
        </w:rPr>
        <w:t xml:space="preserve">scikit-learn</w:t>
      </w:r>
      <w:r>
        <w:t xml:space="preserve">. The regularization strength</w:t>
      </w:r>
      <w:r>
        <w:t xml:space="preserve"> </w:t>
      </w:r>
      <m:oMath>
        <m:r>
          <m:t>C</m:t>
        </m:r>
      </m:oMath>
      <w:r>
        <w:t xml:space="preserve"> </w:t>
      </w:r>
      <w:r>
        <w:t xml:space="preserve">was tuned over a five-value grid by inner cross-validation restricted to the training folds, and genes with non-zero coefficients were retained as the selected feature set; selection is stochastic in</w:t>
      </w:r>
      <w:r>
        <w:t xml:space="preserve"> </w:t>
      </w:r>
      <m:oMath>
        <m:r>
          <m:t>C</m:t>
        </m:r>
      </m:oMath>
      <w:r>
        <w:t xml:space="preserve">, while the DE-top and HVG selections are deterministic given the outer training data.</w:t>
      </w:r>
    </w:p>
    <w:p>
      <w:pPr>
        <w:pStyle w:val="BodyText"/>
      </w:pPr>
      <w:r>
        <w:t xml:space="preserve">To ensure fair comparison across methods, all approaches used matched candidate pools, the same target-cardinality grid</w:t>
      </w:r>
      <w:r>
        <w:t xml:space="preserve"> </w:t>
      </w:r>
      <m:oMath>
        <m:r>
          <m:t>K</m:t>
        </m:r>
        <m:r>
          <m:t>∈</m:t>
        </m:r>
        <m:r>
          <m:t>{</m:t>
        </m:r>
        <m:r>
          <m:t>10</m:t>
        </m:r>
        <m:r>
          <m:t>,</m:t>
        </m:r>
        <m:r>
          <m:t>20</m:t>
        </m:r>
        <m:r>
          <m:t>,</m:t>
        </m:r>
        <m:r>
          <m:t>30</m:t>
        </m:r>
        <m:r>
          <m:t>}</m:t>
        </m:r>
      </m:oMath>
      <w:r>
        <w:t xml:space="preserve">, identical classifier architectures (§2.7), the same cross-validation framework and identical evaluation metrics. This design isolated the effect of the feature-selection logic from differences in cardinality budget, classifier choice or evaluation procedure.</w:t>
      </w:r>
    </w:p>
    <w:p>
      <w:pPr>
        <w:pStyle w:val="Heading3"/>
      </w:pPr>
      <w:bookmarkStart w:id="30" w:name="classification-and-evaluation"/>
      <w:r>
        <w:t xml:space="preserve">2.7 Classification and evaluation</w:t>
      </w:r>
      <w:bookmarkEnd w:id="30"/>
    </w:p>
    <w:p>
      <w:pPr>
        <w:pStyle w:val="FirstParagraph"/>
      </w:pPr>
      <w:r>
        <w:t xml:space="preserve">Selected gene panels were evaluated using L2-regularized logistic regression classifiers (</w:t>
      </w:r>
      <w:r>
        <w:rPr>
          <w:rStyle w:val="VerbatimChar"/>
        </w:rPr>
        <w:t xml:space="preserve">scikit-learn</w:t>
      </w:r>
      <w:r>
        <w:t xml:space="preserve">, C = 1.0) trained independently for each cell type using donor-level pseudobulk expression profiles. Classification performance was assessed for the discrimination of MS versus HD donors. For multi-cell-type prediction, cell-type-specific MS probabilities</w:t>
      </w:r>
      <w:r>
        <w:t xml:space="preserve"> </w:t>
      </w:r>
      <m:oMath>
        <m:sSub>
          <m:e>
            <m:r>
              <m:t>p</m:t>
            </m:r>
          </m:e>
          <m:sub>
            <m:r>
              <m:t>c</m:t>
            </m:r>
          </m:sub>
        </m:sSub>
      </m:oMath>
      <w:r>
        <w:t xml:space="preserve"> </w:t>
      </w:r>
      <w:r>
        <w:t xml:space="preserve">were combined by soft-voting ensemble averaging:</w:t>
      </w:r>
    </w:p>
    <w:p>
      <w:pPr>
        <w:pStyle w:val="BodyText"/>
      </w:pPr>
      <m:oMathPara>
        <m:oMathParaPr>
          <m:jc m:val="center"/>
        </m:oMathParaPr>
        <m:oMath>
          <m:sSub>
            <m:e>
              <m:r>
                <m:t>p</m:t>
              </m:r>
            </m:e>
            <m:sub>
              <m:r>
                <m:rPr>
                  <m:nor/>
                  <m:sty m:val="p"/>
                </m:rPr>
                <m:t>patient</m:t>
              </m:r>
            </m:sub>
          </m:sSub>
          <m:r>
            <m:t>=</m:t>
          </m:r>
          <m:f>
            <m:fPr>
              <m:type m:val="bar"/>
            </m:fPr>
            <m:num>
              <m:r>
                <m:t>1</m:t>
              </m:r>
            </m:num>
            <m:den>
              <m:r>
                <m:t>|</m:t>
              </m:r>
              <m:r>
                <m:rPr>
                  <m:sty m:val="p"/>
                  <m:scr m:val="script"/>
                </m:rPr>
                <m:t>C</m:t>
              </m:r>
              <m:r>
                <m:t>|</m:t>
              </m:r>
            </m:den>
          </m:f>
          <m:nary>
            <m:naryPr>
              <m:chr m:val="∑"/>
              <m:limLoc m:val="undOvr"/>
              <m:subHide m:val="0"/>
              <m:supHide m:val="1"/>
            </m:naryPr>
            <m:sub>
              <m:r>
                <m:t>c</m:t>
              </m:r>
              <m:r>
                <m:t>∈</m:t>
              </m:r>
              <m:r>
                <m:rPr>
                  <m:sty m:val="p"/>
                  <m:scr m:val="script"/>
                </m:rPr>
                <m:t>C</m:t>
              </m:r>
            </m:sub>
            <m:sup>
              <m:r>
                <m:t>​</m:t>
              </m:r>
            </m:sup>
            <m:e>
              <m:sSub>
                <m:e>
                  <m:r>
                    <m:t>p</m:t>
                  </m:r>
                </m:e>
                <m:sub>
                  <m:r>
                    <m:t>c</m:t>
                  </m:r>
                </m:sub>
              </m:sSub>
            </m:e>
          </m:nary>
          <m:r>
            <m:t>,</m:t>
          </m:r>
        </m:oMath>
      </m:oMathPara>
    </w:p>
    <w:p>
      <w:pPr>
        <w:pStyle w:val="FirstParagraph"/>
      </w:pPr>
      <w:r>
        <w:t xml:space="preserve">where</w:t>
      </w:r>
      <w:r>
        <w:t xml:space="preserve"> </w:t>
      </w:r>
      <m:oMath>
        <m:r>
          <m:rPr>
            <m:sty m:val="p"/>
            <m:scr m:val="script"/>
          </m:rPr>
          <m:t>C</m:t>
        </m:r>
      </m:oMath>
      <w:r>
        <w:t xml:space="preserve"> </w:t>
      </w:r>
      <w:r>
        <w:t xml:space="preserve">denotes the set of cell types in which at least one gene was selected. The same classifier architecture and ensemble procedure were used for all feature-selection methods, isolating the effect of feature-selection logic from downstream modeling differences.</w:t>
      </w:r>
    </w:p>
    <w:p>
      <w:pPr>
        <w:pStyle w:val="BodyText"/>
      </w:pPr>
      <w:r>
        <w:t xml:space="preserve">Predictive performance was quantified using the area under the receiver operating characteristic curve (AUC), the area under the precision-recall curve (average precision, AP), the F1 score, Matthews’s correlation coefficient (MCC) and the cross-cohort standard deviation of AUC (</w:t>
      </w:r>
      <m:oMath>
        <m:sSub>
          <m:e>
            <m:r>
              <m:t>σ</m:t>
            </m:r>
          </m:e>
          <m:sub>
            <m:r>
              <m:rPr>
                <m:nor/>
                <m:sty m:val="p"/>
              </m:rPr>
              <m:t>AUC</m:t>
            </m:r>
          </m:sub>
        </m:sSub>
      </m:oMath>
      <w:r>
        <w:t xml:space="preserve">, computed as the standard deviation of per-cohort mean AUCs). All evaluation metrics were computed exclusively on held-out donors from the corresponding cross-validation fold.</w:t>
      </w:r>
    </w:p>
    <w:p>
      <w:pPr>
        <w:pStyle w:val="BodyText"/>
      </w:pPr>
      <w:r>
        <w:t xml:space="preserve">In addition to predictive performance, selected gene sets were evaluated for compactness and redundancy. Redundancy was quantified as the mean absolute pairwise Pearson correlation among selected genes within training-donor pseudobulk profiles. Selection stability across folds was assessed using selection frequency and the pairwise Jaccard similarity of selected gene subsets. Biological interpretability was examined post hoc using curated gene-set enrichment (hypergeometric tests against five MS-relevant signatures with Benjamini–Hochberg correction), independent literature-signature recovery (the 27-gene B-cell signature of Ramesh</w:t>
      </w:r>
      <w:r>
        <w:t xml:space="preserve"> </w:t>
      </w:r>
      <w:r>
        <w:rPr>
          <w:i/>
        </w:rPr>
        <w:t xml:space="preserve">et al.</w:t>
      </w:r>
      <w:r>
        <w:t xml:space="preserve"> </w:t>
      </w:r>
      <w:r>
        <w:t xml:space="preserve">(2020) was not used at any stage of our pipeline) and cell-level activity scoring of the selected panels with AUCell (Aibar</w:t>
      </w:r>
      <w:r>
        <w:t xml:space="preserve"> </w:t>
      </w:r>
      <w:r>
        <w:rPr>
          <w:i/>
        </w:rPr>
        <w:t xml:space="preserve">et al.</w:t>
      </w:r>
      <w:r>
        <w:t xml:space="preserve">, 2017). These post-hoc analyses were not incorporated into model training or feature selection.</w:t>
      </w:r>
    </w:p>
    <w:p>
      <w:pPr>
        <w:pStyle w:val="Heading3"/>
      </w:pPr>
      <w:bookmarkStart w:id="31" w:name="reproducibility-and-software"/>
      <w:r>
        <w:t xml:space="preserve">2.8 Reproducibility and software</w:t>
      </w:r>
      <w:bookmarkEnd w:id="31"/>
    </w:p>
    <w:p>
      <w:pPr>
        <w:pStyle w:val="FirstParagraph"/>
      </w:pPr>
      <w:r>
        <w:t xml:space="preserve">All analyses were performed using R (version 4.5.0) and Python (version 3.11). Single-cell preprocessing and pseudobulk construction were conducted using Seurat (version 5.3.1) and scDblFinder. Differential expression statistics, baseline feature selection and ensemble classification were implemented in</w:t>
      </w:r>
      <w:r>
        <w:t xml:space="preserve"> </w:t>
      </w:r>
      <w:r>
        <w:rPr>
          <w:rStyle w:val="VerbatimChar"/>
        </w:rPr>
        <w:t xml:space="preserve">scikit-learn</w:t>
      </w:r>
      <w:r>
        <w:t xml:space="preserve">. QUBO optimization was performed using the D-Wave Ocean SDK (</w:t>
      </w:r>
      <w:r>
        <w:rPr>
          <w:rStyle w:val="VerbatimChar"/>
        </w:rPr>
        <w:t xml:space="preserve">dwave-neal</w:t>
      </w:r>
      <w:r>
        <w:t xml:space="preserve"> </w:t>
      </w:r>
      <w:r>
        <w:t xml:space="preserve">for classical Simulated Annealing). Random seeds were fixed where applicable to ensure reproducibility of stochastic procedures, including QUBO optimization and cross-validation splits. All preprocessing, feature-selection, model-training and evaluation steps were organized into a fully reproducible pipeline. Source code and analysis scripts will be made publicly available at https://github.com/christina-18/scRNA-QUBO upon publication.</w:t>
      </w:r>
    </w:p>
    <w:p>
      <w:r>
        <w:pict>
          <v:rect style="width:0;height:1.5pt" o:hralign="center" o:hrstd="t" o:hr="t"/>
        </w:pict>
      </w:r>
    </w:p>
    <w:p>
      <w:pPr>
        <w:pStyle w:val="Heading2"/>
      </w:pPr>
      <w:bookmarkStart w:id="32" w:name="results"/>
      <w:r>
        <w:t xml:space="preserve">3 Results</w:t>
      </w:r>
      <w:bookmarkEnd w:id="32"/>
    </w:p>
    <w:p>
      <w:pPr>
        <w:pStyle w:val="Heading3"/>
      </w:pPr>
      <w:bookmarkStart w:id="33" w:name="cross-cohort-biomarker-performance"/>
      <w:r>
        <w:t xml:space="preserve">3.1 Cross-cohort biomarker performance</w:t>
      </w:r>
      <w:bookmarkEnd w:id="33"/>
    </w:p>
    <w:p>
      <w:pPr>
        <w:pStyle w:val="FirstParagraph"/>
      </w:pPr>
      <w:r>
        <w:t xml:space="preserve">Across the four-cohort LOCO design, QUBO achieved the highest held-out AUC in both compartments: AUC = 0.788 (σ = 0.044) in CSF and AUC = 0.768 (σ = 0.033) in PBMC (Table 1). The cross-cohort spread σ_AUC for QUBO (0.044) was substantially tighter than that of LASSO (0.068; +55%), comparable to Elastic Net (0.041), and considerably better than DE-top (0.065) or HVG (0.048). Across four metrics (AUC, F1, MCC, AP), QUBO ranked first on AUC, F1 and MCC and was narrowly second on AP, behind Elastic Net (Δ = 0.024, not statistically significant). Because cardinality and classifier choice were matched across methods, the QUBO advantage is attributable to the selected feature combinations rather than to differences in panel size or fitting algorithm.</w:t>
      </w:r>
    </w:p>
    <w:p>
      <w:pPr>
        <w:pStyle w:val="BodyText"/>
      </w:pPr>
      <w:r>
        <w:t xml:space="preserve">The per-cohort breakdown for CSF supports the same conclusion: QUBO scored 0.807, 0.738 and 0.819 on Pappalardo, Heming and Ramesh respectively, all within a tight 0.74–0.82 range, in contrast to the wider 0.72–0.85 range of LASSO. The narrow QUBO range is consistent with clinical translatability, where cross-site stability is essential.</w:t>
      </w:r>
    </w:p>
    <w:p>
      <w:pPr>
        <w:pStyle w:val="Heading3"/>
      </w:pPr>
      <w:bookmarkStart w:id="34" w:name="Xd0524ee97571d5f7233abc3e5fedfe44911c4b4"/>
      <w:r>
        <w:t xml:space="preserve">3.2 Cell-type-specific gene panels recover MS biology</w:t>
      </w:r>
      <w:bookmarkEnd w:id="34"/>
    </w:p>
    <w:p>
      <w:pPr>
        <w:pStyle w:val="FirstParagraph"/>
      </w:pPr>
      <w:r>
        <w:t xml:space="preserve">QUBO selected on average 17 genes per cell type per fold (range 10–30). The union across all panels comprised 448 unique genes, of which 21 formed a stable core that was recurrently selected in at least 50% of per-cell-type panels.</w:t>
      </w:r>
    </w:p>
    <w:p>
      <w:pPr>
        <w:pStyle w:val="BodyText"/>
      </w:pPr>
      <w:r>
        <w:t xml:space="preserve">Heatmap visualization (Figure 2) of the top-5 union panels per cell type across the five effective CSF cell types (B, Mono, NK, dnT and gdT) shows that each panel reflects its native cell-type biology. The B-cell panel emphasized plasma and IgM components (IGHM and the secretory machinery gene SPCS2). The monocyte panel combined iron-rim biology (FTL, FTH1) with MHC II antigen presentation (HLA-DPB1, IFI30, CD74) and myeloid defense markers (CST3, LYZ). The NK panel was dominated by the cytotoxic axis (KLRB1, KLRC1, CCL5, CRIP1, LTB). The dnT panel combined cytotoxic and Type I interferon programs (GZMA, ISG15, IL32). The gdT panel showed a cytotoxic and activation signature (TPT1, SRGN, CD69, GZMA). Curated gene-set enrichment of the stable core showed iron metabolism (Hametner</w:t>
      </w:r>
      <w:r>
        <w:t xml:space="preserve"> </w:t>
      </w:r>
      <w:r>
        <w:rPr>
          <w:i/>
        </w:rPr>
        <w:t xml:space="preserve">et al.</w:t>
      </w:r>
      <w:r>
        <w:t xml:space="preserve">, 2013) at fold enrichment 36× (q = 2 × 10⁻³), cytotoxic effectors at 18×, and the MHC II pathway at 16×, all significant after FDR correction.</w:t>
      </w:r>
    </w:p>
    <w:p>
      <w:pPr>
        <w:pStyle w:val="Heading3"/>
      </w:pPr>
      <w:bookmarkStart w:id="35" w:name="X8bc98c295904f950ab59f48302b6ac07ef8b741"/>
      <w:r>
        <w:t xml:space="preserve">3.3 External validation against published signatures</w:t>
      </w:r>
      <w:bookmarkEnd w:id="35"/>
    </w:p>
    <w:p>
      <w:pPr>
        <w:pStyle w:val="FirstParagraph"/>
      </w:pPr>
      <w:r>
        <w:t xml:space="preserve">We compared QUBO selections against the 27-gene clonally expanded pathogenic B-cell signature reported by Ramesh</w:t>
      </w:r>
      <w:r>
        <w:t xml:space="preserve"> </w:t>
      </w:r>
      <w:r>
        <w:rPr>
          <w:i/>
        </w:rPr>
        <w:t xml:space="preserve">et al.</w:t>
      </w:r>
      <w:r>
        <w:t xml:space="preserve"> </w:t>
      </w:r>
      <w:r>
        <w:t xml:space="preserve">(2020), which was not used at any stage of our pipeline. Of the 13 Ramesh genes that survived our biology, HVG and expression-level filters and reached the candidate pool, all 13 were present in the QUBO panels (hypergeometric test: fold enrichment 2.44, p = 8.3 × 10⁻⁶). A second curated signature (CSF immune dynamics, 22 genes) yielded 9 of 12 recoveries (fold enrichment 1.83, p = 0.018). Convergence with two methodologically independent published signatures provides non-circular evidence that QUBO selections capture biologically meaningful axes rather than statistical artifacts.</w:t>
      </w:r>
    </w:p>
    <w:p>
      <w:pPr>
        <w:pStyle w:val="Heading3"/>
      </w:pPr>
      <w:bookmarkStart w:id="36" w:name="Xa0875bac818be08c03bcbe1254024d88f7ec698"/>
      <w:r>
        <w:t xml:space="preserve">3.4 Per-cell AUCell scoring confirms biology at single-cell resolution</w:t>
      </w:r>
      <w:bookmarkEnd w:id="36"/>
    </w:p>
    <w:p>
      <w:pPr>
        <w:pStyle w:val="FirstParagraph"/>
      </w:pPr>
      <w:r>
        <w:t xml:space="preserve">Independently of QUBO selection, we scored seven literature-curated MS gene sets across all eight cell types using AUCell (Aibar</w:t>
      </w:r>
      <w:r>
        <w:t xml:space="preserve"> </w:t>
      </w:r>
      <w:r>
        <w:rPr>
          <w:i/>
        </w:rPr>
        <w:t xml:space="preserve">et al.</w:t>
      </w:r>
      <w:r>
        <w:t xml:space="preserve">, 2017) at single-cell resolution. Expected MS pathology axes were recovered in a cell-type-specific manner: CD8 T cells × Type I IFN (q = 1.3 × 10⁻⁷), NK cells × cytotoxic effectors (q &lt; 10⁻⁵) and monocytes × MHC II together with iron-rim genes (q &lt; 10⁻⁵).</w:t>
      </w:r>
    </w:p>
    <w:p>
      <w:pPr>
        <w:pStyle w:val="BodyText"/>
      </w:pPr>
      <w:r>
        <w:t xml:space="preserve">We additionally scored the QUBO-selected panels themselves on a per-cell basis. The B-cell QUBO panel produced an MS-versus-HD median-activity difference of +0.049 with q = 5.7 × 10⁻¹⁵, the strongest single-cell-level effect across all cell types and direct evidence that the panel discriminates MS at single-cell granularity rather than only at the donor pseudobulk level. Monocyte and NK panels showed similarly significant cell-level effects (q &lt; 10⁻⁸).</w:t>
      </w:r>
    </w:p>
    <w:p>
      <w:pPr>
        <w:pStyle w:val="Heading3"/>
      </w:pPr>
      <w:bookmarkStart w:id="37" w:name="X4723367a53b80bdb76c68ba02740232047a5b75"/>
      <w:r>
        <w:t xml:space="preserve">3.5 Limitation: pseudobulk dilution in T cells</w:t>
      </w:r>
      <w:bookmarkEnd w:id="37"/>
    </w:p>
    <w:p>
      <w:pPr>
        <w:pStyle w:val="FirstParagraph"/>
      </w:pPr>
      <w:r>
        <w:t xml:space="preserve">In CSF, CD4_T, CD8_T and DC produced no QUBO-selected genes because the candidate pool itself had been exhausted by the HVG, biology and DE filters (CD4_T retained one candidate gene, CD8_T retained none and DC retained none). This affected all five methods equally and is therefore not a QUBO-specific failure. The mechanism is pseudobulk dilution: CD4 and CD8 are mixtures of functional subtypes (Th1, Th17, Treg, Tfh; Tem, Tcm, Trm, exhausted, MAIT), and donor-level pseudobulk averaging dilutes the minority disease-driving subset signals (Th17, CD8 effectors) within the approximately 90% of resting baseline T cells. CD4_T was the most abundant CSF cell type, comprising 98,000 cells, yet contributed nothing to the panel; this defines the most consequential methodological limitation of the present approach.</w:t>
      </w:r>
    </w:p>
    <w:p>
      <w:r>
        <w:pict>
          <v:rect style="width:0;height:1.5pt" o:hralign="center" o:hrstd="t" o:hr="t"/>
        </w:pict>
      </w:r>
    </w:p>
    <w:p>
      <w:pPr>
        <w:pStyle w:val="Heading2"/>
      </w:pPr>
      <w:bookmarkStart w:id="38" w:name="discussion"/>
      <w:r>
        <w:t xml:space="preserve">4 Discussion</w:t>
      </w:r>
      <w:bookmarkEnd w:id="38"/>
    </w:p>
    <w:p>
      <w:pPr>
        <w:pStyle w:val="FirstParagraph"/>
      </w:pPr>
      <w:r>
        <w:t xml:space="preserve">We have introduced QUBO-based per-cell-type biomarker selection for scRNA-seq, the first framework, to our knowledge, that jointly optimizes relevance, pairwise non-redundancy and cardinality within a single quadratic objective decoupled from the downstream classifier. Across four MS cohorts (50 patients, 385,000 cells, LOCO design), QUBO achieved the highest cross-cohort AUC and the second-tightest σ_AUC among five matched methods, while recovering known MS biology axes (iron rim, MHC II, cytotoxic effectors, Type I IFN and plasma cells). External validation through the recovery of an independently published 13-gene B-cell signature, together with single-cell AUCell scoring of the QUBO panels (q = 5.7 × 10⁻¹⁵ for B-cell discrimination), provides non-circular biological evidence that the panels are interpretable and meaningful rather than statistical optima.</w:t>
      </w:r>
    </w:p>
    <w:p>
      <w:pPr>
        <w:pStyle w:val="BodyText"/>
      </w:pPr>
      <w:r>
        <w:t xml:space="preserve">LASSO and Elastic Net implicitly handle redundancy via L1 and L2 regularization, but redundancy reduction is coupled to the classifier loss, making selection unstable across resamples and dependent on the regularization path. QUBO decouples selection from fitting, which allows arbitrary downstream classifiers and provides explicit, interpretable redundancy control via the gene-pair correlation matrix. By contrast, univariate filters such as DE-top and HVG produce panels saturated with co-expressed clusters (for instance, multiple HLA class II family members ranking jointly), thereby wasting cardinality budget; the</w:t>
      </w:r>
      <w:r>
        <w:t xml:space="preserve"> </w:t>
      </w:r>
      <m:oMath>
        <m:r>
          <m:t>γ</m:t>
        </m:r>
        <m:r>
          <m:t> </m:t>
        </m:r>
        <m:sSup>
          <m:e>
            <m:r>
              <m:rPr>
                <m:sty m:val="b"/>
              </m:rPr>
              <m:t>x</m:t>
            </m:r>
          </m:e>
          <m:sup>
            <m:r>
              <m:t>⊤</m:t>
            </m:r>
          </m:sup>
        </m:sSup>
        <m:r>
          <m:rPr>
            <m:sty m:val="b"/>
          </m:rPr>
          <m:t>R</m:t>
        </m:r>
        <m:r>
          <m:rPr>
            <m:sty m:val="b"/>
          </m:rPr>
          <m:t>x</m:t>
        </m:r>
      </m:oMath>
      <w:r>
        <w:t xml:space="preserve"> </w:t>
      </w:r>
      <w:r>
        <w:t xml:space="preserve">penalty in the QUBO formulation actively spreads selection across distinct pathways, as evidenced by the cell-type-specific recovery of multiple MS axes per panel.</w:t>
      </w:r>
    </w:p>
    <w:p>
      <w:pPr>
        <w:pStyle w:val="BodyText"/>
      </w:pPr>
      <w:r>
        <w:t xml:space="preserve">Several limitations should be acknowledged. First, pseudobulk dilution of the T-cell signal is fundamental to any donor-level pseudobulk method and therefore affects all five methods evaluated here, but it is the most consequential limitation in the CSF compartment. Second, simulated annealing is a heuristic, and its runtime grows quadratically with candidate-pool size; we mitigated this by capping the pool at the top 100 genes by |t|, which suffices for the present setting but may require adaptation for genome-wide selection. Third, EDSS scores, disease duration and disease-modifying-therapy history were unavailable from the public metadata, so a clinical phenotype-stratified extension is left to a Phase 2 effort with site collaborations.</w:t>
      </w:r>
    </w:p>
    <w:p>
      <w:pPr>
        <w:pStyle w:val="BodyText"/>
      </w:pPr>
      <w:r>
        <w:t xml:space="preserve">Three directions are suggested for future work. First, a Multi-Instance Learning (MIL) extension, in which each donor is treated as a bag of cells with attention-weighted surfacing of disease-driving subsets such as Th17 and Trm cells, would avoid pseudobulk averaging and directly address the T-cell dilution. QUBO would retain its role in gene selection and gain a complementary role in informative-cell coreset selection per donor. Second, the framework can be extended to recently published cohorts (Jacobs</w:t>
      </w:r>
      <w:r>
        <w:t xml:space="preserve"> </w:t>
      </w:r>
      <w:r>
        <w:rPr>
          <w:i/>
        </w:rPr>
        <w:t xml:space="preserve">et al.</w:t>
      </w:r>
      <w:r>
        <w:t xml:space="preserve">, 2024, 354,000 CSF cells across 123 untreated MS patients; Ban</w:t>
      </w:r>
      <w:r>
        <w:t xml:space="preserve"> </w:t>
      </w:r>
      <w:r>
        <w:rPr>
          <w:i/>
        </w:rPr>
        <w:t xml:space="preserve">et al.</w:t>
      </w:r>
      <w:r>
        <w:t xml:space="preserve">, 2024, 97,000 CSF cells with eQTL annotations) under a 6-fold LOCO design. Third, quantum-annealing solvers such as D-Wave Hybrid-CQM may enable genome-wide QUBO selection without the candidate-pool truncation used here.</w:t>
      </w:r>
    </w:p>
    <w:p>
      <w:r>
        <w:pict>
          <v:rect style="width:0;height:1.5pt" o:hralign="center" o:hrstd="t" o:hr="t"/>
        </w:pict>
      </w:r>
    </w:p>
    <w:p>
      <w:pPr>
        <w:pStyle w:val="Heading2"/>
      </w:pPr>
      <w:bookmarkStart w:id="39" w:name="funding"/>
      <w:r>
        <w:t xml:space="preserve">Funding</w:t>
      </w:r>
      <w:bookmarkEnd w:id="39"/>
    </w:p>
    <w:p>
      <w:pPr>
        <w:pStyle w:val="FirstParagraph"/>
      </w:pPr>
      <w:r>
        <w:t xml:space="preserve">This work received no specific funding from any agency in the public, commercial or not-for-profit sectors.</w:t>
      </w:r>
    </w:p>
    <w:p>
      <w:pPr>
        <w:pStyle w:val="Heading2"/>
      </w:pPr>
      <w:bookmarkStart w:id="40" w:name="conflicts-of-interest"/>
      <w:r>
        <w:t xml:space="preserve">Conflicts of Interest</w:t>
      </w:r>
      <w:bookmarkEnd w:id="40"/>
    </w:p>
    <w:p>
      <w:pPr>
        <w:pStyle w:val="FirstParagraph"/>
      </w:pPr>
      <w:r>
        <w:t xml:space="preserve">The authors declare no competing interests.</w:t>
      </w:r>
    </w:p>
    <w:p>
      <w:pPr>
        <w:pStyle w:val="Heading2"/>
      </w:pPr>
      <w:bookmarkStart w:id="41" w:name="acknowledgements"/>
      <w:r>
        <w:t xml:space="preserve">Acknowledgements</w:t>
      </w:r>
      <w:bookmarkEnd w:id="41"/>
    </w:p>
    <w:p>
      <w:pPr>
        <w:pStyle w:val="FirstParagraph"/>
      </w:pPr>
      <w:r>
        <w:t xml:space="preserve">The authors thank the Pappalardo, Heming, Ramesh and Touil groups for making their scRNA-seq data publicly available, which made the cross-cohort integration in this study possible. The authors also thank the BWH-MGH Multiple Sclerosis and Neuroimmunology Fellowship Program at Mass General Brigham for providing the research environment in which this work was carried out.</w:t>
      </w:r>
    </w:p>
    <w:p>
      <w:pPr>
        <w:pStyle w:val="Heading2"/>
      </w:pPr>
      <w:bookmarkStart w:id="42" w:name="data-availability"/>
      <w:r>
        <w:t xml:space="preserve">Data Availability</w:t>
      </w:r>
      <w:bookmarkEnd w:id="42"/>
    </w:p>
    <w:p>
      <w:pPr>
        <w:pStyle w:val="FirstParagraph"/>
      </w:pPr>
      <w:r>
        <w:t xml:space="preserve">All four input cohorts are available at the original repositories: Pappalardo</w:t>
      </w:r>
      <w:r>
        <w:t xml:space="preserve"> </w:t>
      </w:r>
      <w:r>
        <w:rPr>
          <w:i/>
        </w:rPr>
        <w:t xml:space="preserve">et al.</w:t>
      </w:r>
      <w:r>
        <w:t xml:space="preserve"> </w:t>
      </w:r>
      <w:r>
        <w:t xml:space="preserve">(2020), BioProject PRJNA671484; Heming</w:t>
      </w:r>
      <w:r>
        <w:t xml:space="preserve"> </w:t>
      </w:r>
      <w:r>
        <w:rPr>
          <w:i/>
        </w:rPr>
        <w:t xml:space="preserve">et al.</w:t>
      </w:r>
      <w:r>
        <w:t xml:space="preserve"> </w:t>
      </w:r>
      <w:r>
        <w:t xml:space="preserve">(2021), osmzhlab repository; Ramesh</w:t>
      </w:r>
      <w:r>
        <w:t xml:space="preserve"> </w:t>
      </w:r>
      <w:r>
        <w:rPr>
          <w:i/>
        </w:rPr>
        <w:t xml:space="preserve">et al.</w:t>
      </w:r>
      <w:r>
        <w:t xml:space="preserve"> </w:t>
      </w:r>
      <w:r>
        <w:t xml:space="preserve">(2020), PRJNA549712; Touil</w:t>
      </w:r>
      <w:r>
        <w:t xml:space="preserve"> </w:t>
      </w:r>
      <w:r>
        <w:rPr>
          <w:i/>
        </w:rPr>
        <w:t xml:space="preserve">et al.</w:t>
      </w:r>
      <w:r>
        <w:t xml:space="preserve"> </w:t>
      </w:r>
      <w:r>
        <w:t xml:space="preserve">(2023), PRJNA979258. Pre-processed pseudobulk matrices, all selected gene lists, intermediate results and full reproducibility scripts are released at https://github.com/christina-18/scRNA-QUBO with version-pinned conda and Docker environments.</w:t>
      </w:r>
    </w:p>
    <w:p>
      <w:r>
        <w:pict>
          <v:rect style="width:0;height:1.5pt" o:hralign="center" o:hrstd="t" o:hr="t"/>
        </w:pict>
      </w:r>
    </w:p>
    <w:p>
      <w:pPr>
        <w:pStyle w:val="Heading2"/>
      </w:pPr>
      <w:bookmarkStart w:id="43" w:name="references"/>
      <w:r>
        <w:t xml:space="preserve">References</w:t>
      </w:r>
      <w:bookmarkEnd w:id="43"/>
    </w:p>
    <w:p>
      <w:pPr>
        <w:pStyle w:val="FirstParagraph"/>
      </w:pPr>
      <w:r>
        <w:t xml:space="preserve">Aibar, S., González-Blas, C.B., Moerman, T.</w:t>
      </w:r>
      <w:r>
        <w:t xml:space="preserve"> </w:t>
      </w:r>
      <w:r>
        <w:rPr>
          <w:i/>
        </w:rPr>
        <w:t xml:space="preserve">et al.</w:t>
      </w:r>
      <w:r>
        <w:t xml:space="preserve"> </w:t>
      </w:r>
      <w:r>
        <w:t xml:space="preserve">(2017) SCENIC: single-cell regulatory network inference and clustering.</w:t>
      </w:r>
      <w:r>
        <w:t xml:space="preserve"> </w:t>
      </w:r>
      <w:r>
        <w:rPr>
          <w:i/>
        </w:rPr>
        <w:t xml:space="preserve">Nat. Methods</w:t>
      </w:r>
      <w:r>
        <w:t xml:space="preserve">,</w:t>
      </w:r>
      <w:r>
        <w:t xml:space="preserve"> </w:t>
      </w:r>
      <w:r>
        <w:rPr>
          <w:b/>
        </w:rPr>
        <w:t xml:space="preserve">14</w:t>
      </w:r>
      <w:r>
        <w:t xml:space="preserve">, 1083–1086.</w:t>
      </w:r>
    </w:p>
    <w:p>
      <w:pPr>
        <w:pStyle w:val="BodyText"/>
      </w:pPr>
      <w:r>
        <w:t xml:space="preserve">Ban, M., Bredikhin, D., Huang, Y.</w:t>
      </w:r>
      <w:r>
        <w:t xml:space="preserve"> </w:t>
      </w:r>
      <w:r>
        <w:rPr>
          <w:i/>
        </w:rPr>
        <w:t xml:space="preserve">et al.</w:t>
      </w:r>
      <w:r>
        <w:t xml:space="preserve"> </w:t>
      </w:r>
      <w:r>
        <w:t xml:space="preserve">(2024) Expression profiling of cerebrospinal fluid identifies dysregulated antiviral mechanisms in multiple sclerosis.</w:t>
      </w:r>
      <w:r>
        <w:t xml:space="preserve"> </w:t>
      </w:r>
      <w:r>
        <w:rPr>
          <w:i/>
        </w:rPr>
        <w:t xml:space="preserve">Brain</w:t>
      </w:r>
      <w:r>
        <w:t xml:space="preserve">,</w:t>
      </w:r>
      <w:r>
        <w:t xml:space="preserve"> </w:t>
      </w:r>
      <w:r>
        <w:rPr>
          <w:b/>
        </w:rPr>
        <w:t xml:space="preserve">147</w:t>
      </w:r>
      <w:r>
        <w:t xml:space="preserve">, 554–565.</w:t>
      </w:r>
    </w:p>
    <w:p>
      <w:pPr>
        <w:pStyle w:val="BodyText"/>
      </w:pPr>
      <w:r>
        <w:t xml:space="preserve">Glover, F., Kochenberger, G. and Du, Y. (2018) A tutorial on formulating and using QUBO models.</w:t>
      </w:r>
      <w:r>
        <w:t xml:space="preserve"> </w:t>
      </w:r>
      <w:r>
        <w:rPr>
          <w:i/>
        </w:rPr>
        <w:t xml:space="preserve">arXiv:1811.11538</w:t>
      </w:r>
      <w:r>
        <w:t xml:space="preserve">.</w:t>
      </w:r>
    </w:p>
    <w:p>
      <w:pPr>
        <w:pStyle w:val="BodyText"/>
      </w:pPr>
      <w:r>
        <w:t xml:space="preserve">Hametner, S., Wimmer, I., Haider, L.</w:t>
      </w:r>
      <w:r>
        <w:t xml:space="preserve"> </w:t>
      </w:r>
      <w:r>
        <w:rPr>
          <w:i/>
        </w:rPr>
        <w:t xml:space="preserve">et al.</w:t>
      </w:r>
      <w:r>
        <w:t xml:space="preserve"> </w:t>
      </w:r>
      <w:r>
        <w:t xml:space="preserve">(2013) Iron and neurodegeneration in the multiple sclerosis brain.</w:t>
      </w:r>
      <w:r>
        <w:t xml:space="preserve"> </w:t>
      </w:r>
      <w:r>
        <w:rPr>
          <w:i/>
        </w:rPr>
        <w:t xml:space="preserve">Ann. Neurol.</w:t>
      </w:r>
      <w:r>
        <w:t xml:space="preserve">,</w:t>
      </w:r>
      <w:r>
        <w:t xml:space="preserve"> </w:t>
      </w:r>
      <w:r>
        <w:rPr>
          <w:b/>
        </w:rPr>
        <w:t xml:space="preserve">74</w:t>
      </w:r>
      <w:r>
        <w:t xml:space="preserve">, 848–861.</w:t>
      </w:r>
    </w:p>
    <w:p>
      <w:pPr>
        <w:pStyle w:val="BodyText"/>
      </w:pPr>
      <w:r>
        <w:t xml:space="preserve">Hao, Y., Hao, S., Andersen-Nissen, E.</w:t>
      </w:r>
      <w:r>
        <w:t xml:space="preserve"> </w:t>
      </w:r>
      <w:r>
        <w:rPr>
          <w:i/>
        </w:rPr>
        <w:t xml:space="preserve">et al.</w:t>
      </w:r>
      <w:r>
        <w:t xml:space="preserve"> </w:t>
      </w:r>
      <w:r>
        <w:t xml:space="preserve">(2021) Integrated analysis of multimodal single-cell data.</w:t>
      </w:r>
      <w:r>
        <w:t xml:space="preserve"> </w:t>
      </w:r>
      <w:r>
        <w:rPr>
          <w:i/>
        </w:rPr>
        <w:t xml:space="preserve">Cell</w:t>
      </w:r>
      <w:r>
        <w:t xml:space="preserve">,</w:t>
      </w:r>
      <w:r>
        <w:t xml:space="preserve"> </w:t>
      </w:r>
      <w:r>
        <w:rPr>
          <w:b/>
        </w:rPr>
        <w:t xml:space="preserve">184</w:t>
      </w:r>
      <w:r>
        <w:t xml:space="preserve">, 3573–3587.</w:t>
      </w:r>
    </w:p>
    <w:p>
      <w:pPr>
        <w:pStyle w:val="BodyText"/>
      </w:pPr>
      <w:r>
        <w:t xml:space="preserve">Heming, M., Li, X., Räuber, S.</w:t>
      </w:r>
      <w:r>
        <w:t xml:space="preserve"> </w:t>
      </w:r>
      <w:r>
        <w:rPr>
          <w:i/>
        </w:rPr>
        <w:t xml:space="preserve">et al.</w:t>
      </w:r>
      <w:r>
        <w:t xml:space="preserve"> </w:t>
      </w:r>
      <w:r>
        <w:t xml:space="preserve">(2021) Neurological manifestations of COVID-19 feature T cell exhaustion and dedifferentiated monocytes in cerebrospinal fluid.</w:t>
      </w:r>
      <w:r>
        <w:t xml:space="preserve"> </w:t>
      </w:r>
      <w:r>
        <w:rPr>
          <w:i/>
        </w:rPr>
        <w:t xml:space="preserve">Immunity</w:t>
      </w:r>
      <w:r>
        <w:t xml:space="preserve">,</w:t>
      </w:r>
      <w:r>
        <w:t xml:space="preserve"> </w:t>
      </w:r>
      <w:r>
        <w:rPr>
          <w:b/>
        </w:rPr>
        <w:t xml:space="preserve">54</w:t>
      </w:r>
      <w:r>
        <w:t xml:space="preserve">, 164–175.</w:t>
      </w:r>
    </w:p>
    <w:p>
      <w:pPr>
        <w:pStyle w:val="BodyText"/>
      </w:pPr>
      <w:r>
        <w:t xml:space="preserve">Heumos, L., Schaar, A.C., Lance, C.</w:t>
      </w:r>
      <w:r>
        <w:t xml:space="preserve"> </w:t>
      </w:r>
      <w:r>
        <w:rPr>
          <w:i/>
        </w:rPr>
        <w:t xml:space="preserve">et al.</w:t>
      </w:r>
      <w:r>
        <w:t xml:space="preserve"> </w:t>
      </w:r>
      <w:r>
        <w:t xml:space="preserve">(2023) Best practices for single-cell analysis across modalities.</w:t>
      </w:r>
      <w:r>
        <w:t xml:space="preserve"> </w:t>
      </w:r>
      <w:r>
        <w:rPr>
          <w:i/>
        </w:rPr>
        <w:t xml:space="preserve">Nat. Rev. Genet.</w:t>
      </w:r>
      <w:r>
        <w:t xml:space="preserve">,</w:t>
      </w:r>
      <w:r>
        <w:t xml:space="preserve"> </w:t>
      </w:r>
      <w:r>
        <w:rPr>
          <w:b/>
        </w:rPr>
        <w:t xml:space="preserve">24</w:t>
      </w:r>
      <w:r>
        <w:t xml:space="preserve">, 550–572.</w:t>
      </w:r>
    </w:p>
    <w:p>
      <w:pPr>
        <w:pStyle w:val="BodyText"/>
      </w:pPr>
      <w:r>
        <w:t xml:space="preserve">International Multiple Sclerosis Genetics Consortium (IMSGC) (2019) Multiple sclerosis genomic map implicates peripheral immune cells and microglia in susceptibility.</w:t>
      </w:r>
      <w:r>
        <w:t xml:space="preserve"> </w:t>
      </w:r>
      <w:r>
        <w:rPr>
          <w:i/>
        </w:rPr>
        <w:t xml:space="preserve">Science</w:t>
      </w:r>
      <w:r>
        <w:t xml:space="preserve">,</w:t>
      </w:r>
      <w:r>
        <w:t xml:space="preserve"> </w:t>
      </w:r>
      <w:r>
        <w:rPr>
          <w:b/>
        </w:rPr>
        <w:t xml:space="preserve">365</w:t>
      </w:r>
      <w:r>
        <w:t xml:space="preserve">, eaav7188.</w:t>
      </w:r>
    </w:p>
    <w:p>
      <w:pPr>
        <w:pStyle w:val="BodyText"/>
      </w:pPr>
      <w:r>
        <w:t xml:space="preserve">Jacobs, B.M., Tank, P., Bestwick, J.P.</w:t>
      </w:r>
      <w:r>
        <w:t xml:space="preserve"> </w:t>
      </w:r>
      <w:r>
        <w:rPr>
          <w:i/>
        </w:rPr>
        <w:t xml:space="preserve">et al.</w:t>
      </w:r>
      <w:r>
        <w:t xml:space="preserve"> </w:t>
      </w:r>
      <w:r>
        <w:t xml:space="preserve">(2024) Single-cell analysis of cerebrospinal fluid reveals common features of neuroinflammation.</w:t>
      </w:r>
      <w:r>
        <w:t xml:space="preserve"> </w:t>
      </w:r>
      <w:r>
        <w:rPr>
          <w:i/>
        </w:rPr>
        <w:t xml:space="preserve">Cell Rep. Med.</w:t>
      </w:r>
      <w:r>
        <w:t xml:space="preserve">,</w:t>
      </w:r>
      <w:r>
        <w:t xml:space="preserve"> </w:t>
      </w:r>
      <w:r>
        <w:rPr>
          <w:b/>
        </w:rPr>
        <w:t xml:space="preserve">6</w:t>
      </w:r>
      <w:r>
        <w:t xml:space="preserve">, 101733.</w:t>
      </w:r>
    </w:p>
    <w:p>
      <w:pPr>
        <w:pStyle w:val="BodyText"/>
      </w:pPr>
      <w:r>
        <w:t xml:space="preserve">Lucas, A. (2014) Ising formulations of many NP problems.</w:t>
      </w:r>
      <w:r>
        <w:t xml:space="preserve"> </w:t>
      </w:r>
      <w:r>
        <w:rPr>
          <w:i/>
        </w:rPr>
        <w:t xml:space="preserve">Front. Phys.</w:t>
      </w:r>
      <w:r>
        <w:t xml:space="preserve">,</w:t>
      </w:r>
      <w:r>
        <w:t xml:space="preserve"> </w:t>
      </w:r>
      <w:r>
        <w:rPr>
          <w:b/>
        </w:rPr>
        <w:t xml:space="preserve">2</w:t>
      </w:r>
      <w:r>
        <w:t xml:space="preserve">, 5.</w:t>
      </w:r>
    </w:p>
    <w:p>
      <w:pPr>
        <w:pStyle w:val="BodyText"/>
      </w:pPr>
      <w:r>
        <w:t xml:space="preserve">Meinshausen, N. and Bühlmann, P. (2010) Stability selection.</w:t>
      </w:r>
      <w:r>
        <w:t xml:space="preserve"> </w:t>
      </w:r>
      <w:r>
        <w:rPr>
          <w:i/>
        </w:rPr>
        <w:t xml:space="preserve">J. R. Stat. Soc. B</w:t>
      </w:r>
      <w:r>
        <w:t xml:space="preserve">,</w:t>
      </w:r>
      <w:r>
        <w:t xml:space="preserve"> </w:t>
      </w:r>
      <w:r>
        <w:rPr>
          <w:b/>
        </w:rPr>
        <w:t xml:space="preserve">72</w:t>
      </w:r>
      <w:r>
        <w:t xml:space="preserve">, 417–473.</w:t>
      </w:r>
    </w:p>
    <w:p>
      <w:pPr>
        <w:pStyle w:val="BodyText"/>
      </w:pPr>
      <w:r>
        <w:t xml:space="preserve">Pappalardo, J.L., Zhang, L., Pecsok, M.K.</w:t>
      </w:r>
      <w:r>
        <w:t xml:space="preserve"> </w:t>
      </w:r>
      <w:r>
        <w:rPr>
          <w:i/>
        </w:rPr>
        <w:t xml:space="preserve">et al.</w:t>
      </w:r>
      <w:r>
        <w:t xml:space="preserve"> </w:t>
      </w:r>
      <w:r>
        <w:t xml:space="preserve">(2020) Transcriptomic and clonal characterization of T cells in the human central nervous system.</w:t>
      </w:r>
      <w:r>
        <w:t xml:space="preserve"> </w:t>
      </w:r>
      <w:r>
        <w:rPr>
          <w:i/>
        </w:rPr>
        <w:t xml:space="preserve">Sci. Immunol.</w:t>
      </w:r>
      <w:r>
        <w:t xml:space="preserve">,</w:t>
      </w:r>
      <w:r>
        <w:t xml:space="preserve"> </w:t>
      </w:r>
      <w:r>
        <w:rPr>
          <w:b/>
        </w:rPr>
        <w:t xml:space="preserve">5</w:t>
      </w:r>
      <w:r>
        <w:t xml:space="preserve">, eabb8786.</w:t>
      </w:r>
    </w:p>
    <w:p>
      <w:pPr>
        <w:pStyle w:val="BodyText"/>
      </w:pPr>
      <w:r>
        <w:t xml:space="preserve">Pearlman, R.S. and Smith, K.M. (1998) Novel software tools for chemical diversity.</w:t>
      </w:r>
      <w:r>
        <w:t xml:space="preserve"> </w:t>
      </w:r>
      <w:r>
        <w:rPr>
          <w:i/>
        </w:rPr>
        <w:t xml:space="preserve">Perspect. Drug Discov. Des.</w:t>
      </w:r>
      <w:r>
        <w:t xml:space="preserve">,</w:t>
      </w:r>
      <w:r>
        <w:t xml:space="preserve"> </w:t>
      </w:r>
      <w:r>
        <w:rPr>
          <w:b/>
        </w:rPr>
        <w:t xml:space="preserve">9–11</w:t>
      </w:r>
      <w:r>
        <w:t xml:space="preserve">, 339–353.</w:t>
      </w:r>
    </w:p>
    <w:p>
      <w:pPr>
        <w:pStyle w:val="BodyText"/>
      </w:pPr>
      <w:r>
        <w:t xml:space="preserve">Ramesh, A., Schubert, R.D., Greenfield, A.L.</w:t>
      </w:r>
      <w:r>
        <w:t xml:space="preserve"> </w:t>
      </w:r>
      <w:r>
        <w:rPr>
          <w:i/>
        </w:rPr>
        <w:t xml:space="preserve">et al.</w:t>
      </w:r>
      <w:r>
        <w:t xml:space="preserve"> </w:t>
      </w:r>
      <w:r>
        <w:t xml:space="preserve">(2020) A pathogenic and clonally expanded B cell transcriptome in active multiple sclerosis.</w:t>
      </w:r>
      <w:r>
        <w:t xml:space="preserve"> </w:t>
      </w:r>
      <w:r>
        <w:rPr>
          <w:i/>
        </w:rPr>
        <w:t xml:space="preserve">Proc. Natl. Acad. Sci. USA</w:t>
      </w:r>
      <w:r>
        <w:t xml:space="preserve">,</w:t>
      </w:r>
      <w:r>
        <w:t xml:space="preserve"> </w:t>
      </w:r>
      <w:r>
        <w:rPr>
          <w:b/>
        </w:rPr>
        <w:t xml:space="preserve">117</w:t>
      </w:r>
      <w:r>
        <w:t xml:space="preserve">, 22932–22943.</w:t>
      </w:r>
    </w:p>
    <w:p>
      <w:pPr>
        <w:pStyle w:val="BodyText"/>
      </w:pPr>
      <w:r>
        <w:t xml:space="preserve">Schafflick, D., Xu, C.A., Hartlehnert, M.</w:t>
      </w:r>
      <w:r>
        <w:t xml:space="preserve"> </w:t>
      </w:r>
      <w:r>
        <w:rPr>
          <w:i/>
        </w:rPr>
        <w:t xml:space="preserve">et al.</w:t>
      </w:r>
      <w:r>
        <w:t xml:space="preserve"> </w:t>
      </w:r>
      <w:r>
        <w:t xml:space="preserve">(2020) Integrated single cell analysis of blood and cerebrospinal fluid leukocytes in multiple sclerosis.</w:t>
      </w:r>
      <w:r>
        <w:t xml:space="preserve"> </w:t>
      </w:r>
      <w:r>
        <w:rPr>
          <w:i/>
        </w:rPr>
        <w:t xml:space="preserve">Nat. Commun.</w:t>
      </w:r>
      <w:r>
        <w:t xml:space="preserve">,</w:t>
      </w:r>
      <w:r>
        <w:t xml:space="preserve"> </w:t>
      </w:r>
      <w:r>
        <w:rPr>
          <w:b/>
        </w:rPr>
        <w:t xml:space="preserve">11</w:t>
      </w:r>
      <w:r>
        <w:t xml:space="preserve">, 247.</w:t>
      </w:r>
    </w:p>
    <w:p>
      <w:pPr>
        <w:pStyle w:val="BodyText"/>
      </w:pPr>
      <w:r>
        <w:t xml:space="preserve">Snarey, M., Terrett, N.K., Willett, P. and Wilton, D.J. (1997) Comparison of algorithms for dissimilarity-based compound selection.</w:t>
      </w:r>
      <w:r>
        <w:t xml:space="preserve"> </w:t>
      </w:r>
      <w:r>
        <w:rPr>
          <w:i/>
        </w:rPr>
        <w:t xml:space="preserve">J. Mol. Graph. Model.</w:t>
      </w:r>
      <w:r>
        <w:t xml:space="preserve">,</w:t>
      </w:r>
      <w:r>
        <w:t xml:space="preserve"> </w:t>
      </w:r>
      <w:r>
        <w:rPr>
          <w:b/>
        </w:rPr>
        <w:t xml:space="preserve">15</w:t>
      </w:r>
      <w:r>
        <w:t xml:space="preserve">, 372–385.</w:t>
      </w:r>
    </w:p>
    <w:p>
      <w:pPr>
        <w:pStyle w:val="BodyText"/>
      </w:pPr>
      <w:r>
        <w:t xml:space="preserve">Touil, T.</w:t>
      </w:r>
      <w:r>
        <w:t xml:space="preserve"> </w:t>
      </w:r>
      <w:r>
        <w:rPr>
          <w:i/>
        </w:rPr>
        <w:t xml:space="preserve">et al.</w:t>
      </w:r>
      <w:r>
        <w:t xml:space="preserve"> </w:t>
      </w:r>
      <w:r>
        <w:t xml:space="preserve">(2023) [Cryopreserved CSF reference dataset].</w:t>
      </w:r>
      <w:r>
        <w:t xml:space="preserve"> </w:t>
      </w:r>
      <w:r>
        <w:rPr>
          <w:i/>
        </w:rPr>
        <w:t xml:space="preserve">Citation TBD</w:t>
      </w:r>
      <w:r>
        <w:t xml:space="preserve">.</w:t>
      </w:r>
    </w:p>
    <w:p>
      <w:pPr>
        <w:pStyle w:val="BodyText"/>
      </w:pPr>
      <w:r>
        <w:t xml:space="preserve">van Langelaar, J., Rijvers, L., Smolders, J. and van Luijn, M.M. (2020) B and T cells driving multiple sclerosis: identity, mechanisms and potential triggers.</w:t>
      </w:r>
      <w:r>
        <w:t xml:space="preserve"> </w:t>
      </w:r>
      <w:r>
        <w:rPr>
          <w:i/>
        </w:rPr>
        <w:t xml:space="preserve">Front. Immunol.</w:t>
      </w:r>
      <w:r>
        <w:t xml:space="preserve">,</w:t>
      </w:r>
      <w:r>
        <w:t xml:space="preserve"> </w:t>
      </w:r>
      <w:r>
        <w:rPr>
          <w:b/>
        </w:rPr>
        <w:t xml:space="preserve">11</w:t>
      </w:r>
      <w:r>
        <w:t xml:space="preserve">, 760.</w:t>
      </w:r>
    </w:p>
    <w:p>
      <w:r>
        <w:pict>
          <v:rect style="width:0;height:1.5pt" o:hralign="center" o:hrstd="t" o:hr="t"/>
        </w:pict>
      </w:r>
    </w:p>
    <w:p>
      <w:pPr>
        <w:pStyle w:val="Heading2"/>
      </w:pPr>
      <w:bookmarkStart w:id="44" w:name="figure-and-table-legends"/>
      <w:r>
        <w:t xml:space="preserve">Figure and Table Legends</w:t>
      </w:r>
      <w:bookmarkEnd w:id="44"/>
    </w:p>
    <w:p>
      <w:pPr>
        <w:pStyle w:val="FirstParagraph"/>
      </w:pPr>
      <w:r>
        <w:rPr>
          <w:b/>
        </w:rPr>
        <w:t xml:space="preserve">Figure 1.</w:t>
      </w:r>
      <w:r>
        <w:t xml:space="preserve"> </w:t>
      </w:r>
      <w:r>
        <w:t xml:space="preserve">Cross-cohort held-out AUC by selection method in CSF and PBMC compartments. Error bars indicate σ_AUC (the standard deviation of mean AUC across the held-out cohorts).</w:t>
      </w:r>
    </w:p>
    <w:p>
      <w:pPr>
        <w:pStyle w:val="BodyText"/>
      </w:pPr>
      <w:r>
        <w:rPr>
          <w:b/>
        </w:rPr>
        <w:t xml:space="preserve">Figure 2.</w:t>
      </w:r>
      <w:r>
        <w:t xml:space="preserve"> </w:t>
      </w:r>
      <w:r>
        <w:t xml:space="preserve">Heatmap of QUBO-selected gene panels showing selection frequency across cell types, with curated MS pathology axes annotated on the right margin.</w:t>
      </w:r>
    </w:p>
    <w:p>
      <w:pPr>
        <w:pStyle w:val="BodyText"/>
      </w:pPr>
      <w:r>
        <w:rPr>
          <w:b/>
        </w:rPr>
        <w:t xml:space="preserve">Figure 3.</w:t>
      </w:r>
      <w:r>
        <w:t xml:space="preserve"> </w:t>
      </w:r>
      <w:r>
        <w:t xml:space="preserve">Conceptual overview of the per-cell-type QUBO selection pipeline coupled to the soft-voting ensemble classifier.</w:t>
      </w:r>
    </w:p>
    <w:p>
      <w:pPr>
        <w:pStyle w:val="BodyText"/>
      </w:pPr>
      <w:r>
        <w:rPr>
          <w:b/>
        </w:rPr>
        <w:t xml:space="preserve">Figure 4.</w:t>
      </w:r>
      <w:r>
        <w:t xml:space="preserve"> </w:t>
      </w:r>
      <w:r>
        <w:t xml:space="preserve">Per-cell AUCell scoring of seven curated MS gene sets across the eight annotated cell types.</w:t>
      </w:r>
    </w:p>
    <w:p>
      <w:pPr>
        <w:pStyle w:val="BodyText"/>
      </w:pPr>
      <w:r>
        <w:rPr>
          <w:b/>
        </w:rPr>
        <w:t xml:space="preserve">Table 1.</w:t>
      </w:r>
      <w:r>
        <w:t xml:space="preserve"> </w:t>
      </w:r>
      <w:r>
        <w:t xml:space="preserve">Cross-cohort AUC and σ_AUC by method and tissue, together with mean panel size per cell type and per fold.</w:t>
      </w:r>
    </w:p>
    <w:p>
      <w:pPr>
        <w:pStyle w:val="BodyText"/>
      </w:pPr>
      <w:r>
        <w:rPr>
          <w:b/>
        </w:rPr>
        <w:t xml:space="preserve">Table 2.</w:t>
      </w:r>
      <w:r>
        <w:t xml:space="preserve"> </w:t>
      </w:r>
      <w:r>
        <w:t xml:space="preserve">Hyperparameter grids and selection determinism for each of the five methods.</w:t>
      </w:r>
    </w:p>
    <w:p>
      <w:pPr>
        <w:pStyle w:val="Heading3"/>
      </w:pPr>
      <w:bookmarkStart w:id="45" w:name="supplementary"/>
      <w:r>
        <w:t xml:space="preserve">Supplementary</w:t>
      </w:r>
      <w:bookmarkEnd w:id="45"/>
    </w:p>
    <w:p>
      <w:pPr>
        <w:pStyle w:val="FirstParagraph"/>
      </w:pPr>
      <w:r>
        <w:rPr>
          <w:b/>
        </w:rPr>
        <w:t xml:space="preserve">Supplementary Table M1.</w:t>
      </w:r>
      <w:r>
        <w:t xml:space="preserve"> </w:t>
      </w:r>
      <w:r>
        <w:t xml:space="preserve">Cell-type taxonomy (n = 14). Composition (l3 labels aggregated), biological motivation, and donor coverage at the threshold of at least 20 cells per donor in each Leave-One-Cohort-Out training configuration.</w:t>
      </w:r>
    </w:p>
    <w:p>
      <w:pPr>
        <w:pStyle w:val="BodyText"/>
      </w:pPr>
      <w:r>
        <w:rPr>
          <w:b/>
        </w:rPr>
        <w:t xml:space="preserve">Supplementary Table S1.</w:t>
      </w:r>
      <w:r>
        <w:t xml:space="preserve"> </w:t>
      </w:r>
      <w:r>
        <w:t xml:space="preserve">Patient demographics by cohort.</w:t>
      </w:r>
    </w:p>
    <w:p>
      <w:pPr>
        <w:pStyle w:val="BodyText"/>
      </w:pPr>
      <w:r>
        <w:rPr>
          <w:b/>
        </w:rPr>
        <w:t xml:space="preserve">Supplementary Table S2.</w:t>
      </w:r>
      <w:r>
        <w:t xml:space="preserve"> </w:t>
      </w:r>
      <w:r>
        <w:t xml:space="preserve">Per-cell-type top selected genes, frequency-ranked.</w:t>
      </w:r>
    </w:p>
    <w:p>
      <w:pPr>
        <w:pStyle w:val="BodyText"/>
      </w:pPr>
      <w:r>
        <w:rPr>
          <w:b/>
        </w:rPr>
        <w:t xml:space="preserve">Supplementary Table S3.</w:t>
      </w:r>
      <w:r>
        <w:t xml:space="preserve"> </w:t>
      </w:r>
      <w:r>
        <w:t xml:space="preserve">Hypergeometric enrichment results, full table.</w:t>
      </w:r>
    </w:p>
    <w:p>
      <w:pPr>
        <w:pStyle w:val="BodyText"/>
      </w:pPr>
      <w:r>
        <w:rPr>
          <w:b/>
        </w:rPr>
        <w:t xml:space="preserve">Supplementary Table S4.</w:t>
      </w:r>
      <w:r>
        <w:t xml:space="preserve"> </w:t>
      </w:r>
      <w:r>
        <w:t xml:space="preserve">Gene-count comparison across the five selection methods (CSF), reporting per-fold and per-cohort union counts.</w:t>
      </w:r>
    </w:p>
    <w:p>
      <w:pPr>
        <w:pStyle w:val="BodyText"/>
      </w:pPr>
      <w:r>
        <w:rPr>
          <w:b/>
        </w:rPr>
        <w:t xml:space="preserve">Supplementary Figure S1.</w:t>
      </w:r>
      <w:r>
        <w:t xml:space="preserve"> </w:t>
      </w:r>
      <w:r>
        <w:t xml:space="preserve">Per-cohort AUC distributions by method.</w:t>
      </w:r>
    </w:p>
    <w:p>
      <w:pPr>
        <w:pStyle w:val="BodyText"/>
      </w:pPr>
      <w:r>
        <w:rPr>
          <w:b/>
        </w:rPr>
        <w:t xml:space="preserve">Supplementary Figure S2.</w:t>
      </w:r>
      <w:r>
        <w:t xml:space="preserve"> </w:t>
      </w:r>
      <w:r>
        <w:t xml:space="preserve">QUBO formulation schematic and Simulated Annealing convergence diagnostics.</w:t>
      </w:r>
    </w:p>
    <w:p>
      <w:pPr>
        <w:pStyle w:val="BodyText"/>
      </w:pPr>
      <w:r>
        <w:rPr>
          <w:b/>
        </w:rPr>
        <w:t xml:space="preserve">Supplementary Figure S3.</w:t>
      </w:r>
      <w:r>
        <w:t xml:space="preserve"> </w:t>
      </w:r>
      <w:r>
        <w:t xml:space="preserve">Cell-type coverage diagnosis showing CD4 and CD8 dilution at the candidate-pool level.</w:t>
      </w:r>
    </w:p>
    <w:p>
      <w:pPr>
        <w:pStyle w:val="BodyText"/>
      </w:pPr>
      <w:r>
        <w:rPr>
          <w:b/>
        </w:rPr>
        <w:t xml:space="preserve">Supplementary Figure S4.</w:t>
      </w:r>
      <w:r>
        <w:t xml:space="preserve"> </w:t>
      </w:r>
      <w:r>
        <w:t xml:space="preserve">External validation of QUBO panels against the Ramesh</w:t>
      </w:r>
      <w:r>
        <w:t xml:space="preserve"> </w:t>
      </w:r>
      <w:r>
        <w:rPr>
          <w:i/>
        </w:rPr>
        <w:t xml:space="preserve">et al.</w:t>
      </w:r>
      <w:r>
        <w:t xml:space="preserve"> </w:t>
      </w:r>
      <w:r>
        <w:t xml:space="preserve">(2020) pathogenic B-cell signature.</w:t>
      </w:r>
    </w:p>
    <w:p>
      <w:pPr>
        <w:pStyle w:val="BodyText"/>
      </w:pPr>
      <w:r>
        <w:rPr>
          <w:b/>
        </w:rPr>
        <w:t xml:space="preserve">Supplementary Figure S5.</w:t>
      </w:r>
      <w:r>
        <w:t xml:space="preserve"> </w:t>
      </w:r>
      <w:r>
        <w:t xml:space="preserve">Per-cell AUCell scoring of the QUBO-selected panels.</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2026-05-08T20:15:56Z</dcterms:created>
  <dcterms:modified xsi:type="dcterms:W3CDTF">2026-05-08T20:15:56Z</dcterms:modified>
</cp:coreProperties>
</file>

<file path=docProps/custom.xml><?xml version="1.0" encoding="utf-8"?>
<Properties xmlns="http://schemas.openxmlformats.org/officeDocument/2006/custom-properties" xmlns:vt="http://schemas.openxmlformats.org/officeDocument/2006/docPropsVTypes"/>
</file>