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634B" w14:textId="0D9211B9" w:rsidR="00125D57" w:rsidRPr="00036DEC" w:rsidRDefault="00037B32">
      <w:pPr>
        <w:rPr>
          <w:sz w:val="22"/>
          <w:szCs w:val="22"/>
        </w:rPr>
      </w:pPr>
      <w:hyperlink r:id="rId5" w:history="1">
        <w:r w:rsidRPr="00036DEC">
          <w:rPr>
            <w:rStyle w:val="Hyperlink"/>
            <w:sz w:val="22"/>
            <w:szCs w:val="22"/>
          </w:rPr>
          <w:t>https://sp.neuronation.com/en/</w:t>
        </w:r>
      </w:hyperlink>
    </w:p>
    <w:p w14:paraId="37BE9A82" w14:textId="263A3ED3" w:rsidR="00037B32" w:rsidRPr="00036DEC" w:rsidRDefault="00037B32">
      <w:pPr>
        <w:rPr>
          <w:sz w:val="22"/>
          <w:szCs w:val="22"/>
        </w:rPr>
      </w:pPr>
    </w:p>
    <w:p w14:paraId="2388F713" w14:textId="4095CB30" w:rsidR="00037B32" w:rsidRPr="00036DEC" w:rsidRDefault="00037B32">
      <w:pPr>
        <w:rPr>
          <w:sz w:val="22"/>
          <w:szCs w:val="22"/>
        </w:rPr>
      </w:pPr>
      <w:r w:rsidRPr="00036DEC">
        <w:rPr>
          <w:noProof/>
          <w:sz w:val="22"/>
          <w:szCs w:val="22"/>
        </w:rPr>
        <w:drawing>
          <wp:inline distT="0" distB="0" distL="0" distR="0" wp14:anchorId="01174DBC" wp14:editId="1E132E52">
            <wp:extent cx="5419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038475"/>
                    </a:xfrm>
                    <a:prstGeom prst="rect">
                      <a:avLst/>
                    </a:prstGeom>
                    <a:noFill/>
                    <a:ln>
                      <a:noFill/>
                    </a:ln>
                  </pic:spPr>
                </pic:pic>
              </a:graphicData>
            </a:graphic>
          </wp:inline>
        </w:drawing>
      </w:r>
    </w:p>
    <w:p w14:paraId="4DA0B6CB" w14:textId="0B0147BA" w:rsidR="00037B32" w:rsidRPr="00036DEC" w:rsidRDefault="00037B32">
      <w:pPr>
        <w:rPr>
          <w:sz w:val="22"/>
          <w:szCs w:val="22"/>
        </w:rPr>
      </w:pPr>
    </w:p>
    <w:p w14:paraId="4B29690F" w14:textId="1AAF0288" w:rsidR="00037B32" w:rsidRPr="00036DEC" w:rsidRDefault="00037B32">
      <w:pPr>
        <w:rPr>
          <w:sz w:val="22"/>
          <w:szCs w:val="22"/>
        </w:rPr>
      </w:pPr>
      <w:r w:rsidRPr="00036DEC">
        <w:rPr>
          <w:noProof/>
          <w:sz w:val="22"/>
          <w:szCs w:val="22"/>
        </w:rPr>
        <w:drawing>
          <wp:inline distT="0" distB="0" distL="0" distR="0" wp14:anchorId="2B829B5D" wp14:editId="78A9FCBC">
            <wp:extent cx="6696783" cy="38957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3505" cy="3899635"/>
                    </a:xfrm>
                    <a:prstGeom prst="rect">
                      <a:avLst/>
                    </a:prstGeom>
                    <a:noFill/>
                    <a:ln>
                      <a:noFill/>
                    </a:ln>
                  </pic:spPr>
                </pic:pic>
              </a:graphicData>
            </a:graphic>
          </wp:inline>
        </w:drawing>
      </w:r>
    </w:p>
    <w:p w14:paraId="4700EA4E" w14:textId="626E0C42" w:rsidR="00037B32" w:rsidRPr="00036DEC" w:rsidRDefault="00037B32">
      <w:pPr>
        <w:rPr>
          <w:sz w:val="22"/>
          <w:szCs w:val="22"/>
        </w:rPr>
      </w:pPr>
    </w:p>
    <w:p w14:paraId="32D91BFD" w14:textId="0446F851" w:rsidR="00037B32" w:rsidRPr="00036DEC" w:rsidRDefault="00037B32">
      <w:pPr>
        <w:rPr>
          <w:sz w:val="22"/>
          <w:szCs w:val="22"/>
        </w:rPr>
      </w:pPr>
      <w:r w:rsidRPr="00036DEC">
        <w:rPr>
          <w:noProof/>
          <w:sz w:val="22"/>
          <w:szCs w:val="22"/>
        </w:rPr>
        <w:lastRenderedPageBreak/>
        <w:drawing>
          <wp:inline distT="0" distB="0" distL="0" distR="0" wp14:anchorId="267D39D0" wp14:editId="0CDE1C2F">
            <wp:extent cx="6715929" cy="31908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5870" cy="3195598"/>
                    </a:xfrm>
                    <a:prstGeom prst="rect">
                      <a:avLst/>
                    </a:prstGeom>
                    <a:noFill/>
                    <a:ln>
                      <a:noFill/>
                    </a:ln>
                  </pic:spPr>
                </pic:pic>
              </a:graphicData>
            </a:graphic>
          </wp:inline>
        </w:drawing>
      </w:r>
    </w:p>
    <w:p w14:paraId="31B0F13A" w14:textId="27C05EBA" w:rsidR="00037B32" w:rsidRPr="00036DEC" w:rsidRDefault="00037B32">
      <w:pPr>
        <w:rPr>
          <w:sz w:val="22"/>
          <w:szCs w:val="22"/>
        </w:rPr>
      </w:pPr>
    </w:p>
    <w:p w14:paraId="19FEDEF6" w14:textId="25B2C3D1" w:rsidR="00037B32" w:rsidRPr="00036DEC" w:rsidRDefault="00037B32">
      <w:pPr>
        <w:rPr>
          <w:sz w:val="22"/>
          <w:szCs w:val="22"/>
        </w:rPr>
      </w:pPr>
      <w:r w:rsidRPr="00036DEC">
        <w:rPr>
          <w:noProof/>
          <w:sz w:val="22"/>
          <w:szCs w:val="22"/>
        </w:rPr>
        <w:drawing>
          <wp:inline distT="0" distB="0" distL="0" distR="0" wp14:anchorId="528E9BC2" wp14:editId="148DF9BF">
            <wp:extent cx="6724327" cy="25431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882" cy="2547923"/>
                    </a:xfrm>
                    <a:prstGeom prst="rect">
                      <a:avLst/>
                    </a:prstGeom>
                    <a:noFill/>
                    <a:ln>
                      <a:noFill/>
                    </a:ln>
                  </pic:spPr>
                </pic:pic>
              </a:graphicData>
            </a:graphic>
          </wp:inline>
        </w:drawing>
      </w:r>
    </w:p>
    <w:p w14:paraId="560F01F1" w14:textId="3E492BA8" w:rsidR="00037B32" w:rsidRPr="00036DEC" w:rsidRDefault="00037B32">
      <w:pPr>
        <w:rPr>
          <w:sz w:val="22"/>
          <w:szCs w:val="22"/>
        </w:rPr>
      </w:pPr>
    </w:p>
    <w:p w14:paraId="181C947D" w14:textId="6BF2E9E1" w:rsidR="00037B32" w:rsidRPr="00036DEC" w:rsidRDefault="00037B32">
      <w:pPr>
        <w:rPr>
          <w:sz w:val="22"/>
          <w:szCs w:val="22"/>
        </w:rPr>
      </w:pPr>
      <w:r w:rsidRPr="00036DEC">
        <w:rPr>
          <w:noProof/>
          <w:sz w:val="22"/>
          <w:szCs w:val="22"/>
        </w:rPr>
        <w:drawing>
          <wp:inline distT="0" distB="0" distL="0" distR="0" wp14:anchorId="124EFE16" wp14:editId="31CEBAEC">
            <wp:extent cx="6600524"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6810" cy="2011689"/>
                    </a:xfrm>
                    <a:prstGeom prst="rect">
                      <a:avLst/>
                    </a:prstGeom>
                    <a:noFill/>
                    <a:ln>
                      <a:noFill/>
                    </a:ln>
                  </pic:spPr>
                </pic:pic>
              </a:graphicData>
            </a:graphic>
          </wp:inline>
        </w:drawing>
      </w:r>
    </w:p>
    <w:p w14:paraId="61035B5E" w14:textId="0FC25A8F" w:rsidR="0013491C" w:rsidRPr="00036DEC" w:rsidRDefault="0013491C">
      <w:pPr>
        <w:rPr>
          <w:sz w:val="22"/>
          <w:szCs w:val="22"/>
        </w:rPr>
      </w:pPr>
      <w:r w:rsidRPr="00036DEC">
        <w:rPr>
          <w:noProof/>
          <w:sz w:val="22"/>
          <w:szCs w:val="22"/>
        </w:rPr>
        <w:lastRenderedPageBreak/>
        <w:drawing>
          <wp:inline distT="0" distB="0" distL="0" distR="0" wp14:anchorId="789F9952" wp14:editId="640EA4E7">
            <wp:extent cx="6697867" cy="21717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1333" cy="2176066"/>
                    </a:xfrm>
                    <a:prstGeom prst="rect">
                      <a:avLst/>
                    </a:prstGeom>
                    <a:noFill/>
                    <a:ln>
                      <a:noFill/>
                    </a:ln>
                  </pic:spPr>
                </pic:pic>
              </a:graphicData>
            </a:graphic>
          </wp:inline>
        </w:drawing>
      </w:r>
    </w:p>
    <w:p w14:paraId="7E248321" w14:textId="58B5EDAF" w:rsidR="008D5D1C" w:rsidRPr="00036DEC" w:rsidRDefault="008D5D1C">
      <w:pPr>
        <w:rPr>
          <w:sz w:val="22"/>
          <w:szCs w:val="22"/>
        </w:rPr>
      </w:pPr>
      <w:r w:rsidRPr="00036DEC">
        <w:rPr>
          <w:sz w:val="22"/>
          <w:szCs w:val="22"/>
        </w:rPr>
        <w:br w:type="page"/>
      </w:r>
    </w:p>
    <w:p w14:paraId="11327630" w14:textId="77777777" w:rsidR="008D5D1C" w:rsidRPr="00036DEC" w:rsidRDefault="008D5D1C" w:rsidP="008D5D1C">
      <w:pPr>
        <w:pStyle w:val="Heading1"/>
        <w:shd w:val="clear" w:color="auto" w:fill="FFFFFF"/>
        <w:spacing w:before="0" w:after="92"/>
        <w:rPr>
          <w:rFonts w:ascii="Times New Roman" w:hAnsi="Times New Roman" w:cs="Times New Roman"/>
          <w:color w:val="244873"/>
          <w:spacing w:val="-5"/>
          <w:sz w:val="22"/>
          <w:szCs w:val="22"/>
        </w:rPr>
      </w:pPr>
      <w:r w:rsidRPr="00036DEC">
        <w:rPr>
          <w:rFonts w:ascii="Times New Roman" w:hAnsi="Times New Roman" w:cs="Times New Roman"/>
          <w:b/>
          <w:bCs/>
          <w:color w:val="244873"/>
          <w:spacing w:val="-5"/>
          <w:sz w:val="22"/>
          <w:szCs w:val="22"/>
        </w:rPr>
        <w:lastRenderedPageBreak/>
        <w:t>Lumosity to Pay $2 Million to Settle FTC Deceptive Advertising Charges for Its “Brain Training” Program</w:t>
      </w:r>
    </w:p>
    <w:p w14:paraId="57ECD21F" w14:textId="77777777" w:rsidR="008D5D1C" w:rsidRPr="00036DEC" w:rsidRDefault="008D5D1C" w:rsidP="008D5D1C">
      <w:pPr>
        <w:pStyle w:val="Heading3"/>
        <w:spacing w:before="0" w:beforeAutospacing="0" w:after="36" w:afterAutospacing="0"/>
        <w:rPr>
          <w:color w:val="244873"/>
          <w:sz w:val="22"/>
          <w:szCs w:val="22"/>
        </w:rPr>
      </w:pPr>
      <w:r w:rsidRPr="00036DEC">
        <w:rPr>
          <w:color w:val="244873"/>
          <w:sz w:val="22"/>
          <w:szCs w:val="22"/>
        </w:rPr>
        <w:t>Company Claimed Program Would Sharpen Performance in Everyday Life and Protect Against Cognitive Decline</w:t>
      </w:r>
      <w:hyperlink r:id="rId12" w:tooltip="LinkedIn" w:history="1">
        <w:r w:rsidRPr="00036DEC">
          <w:rPr>
            <w:rStyle w:val="Hyperlink"/>
            <w:color w:val="FFFFFF"/>
            <w:sz w:val="22"/>
            <w:szCs w:val="22"/>
          </w:rPr>
          <w:t>Linked-In</w:t>
        </w:r>
      </w:hyperlink>
    </w:p>
    <w:p w14:paraId="3345E26D" w14:textId="77777777" w:rsidR="008D5D1C" w:rsidRPr="00036DEC" w:rsidRDefault="008D5D1C" w:rsidP="008D5D1C">
      <w:pPr>
        <w:rPr>
          <w:sz w:val="22"/>
          <w:szCs w:val="22"/>
        </w:rPr>
      </w:pPr>
      <w:r w:rsidRPr="00036DEC">
        <w:rPr>
          <w:rStyle w:val="term-tid-5229"/>
          <w:caps/>
          <w:color w:val="FFFFFF"/>
          <w:sz w:val="22"/>
          <w:szCs w:val="22"/>
          <w:shd w:val="clear" w:color="auto" w:fill="417AA6"/>
        </w:rPr>
        <w:t>FOR RELEASE</w:t>
      </w:r>
    </w:p>
    <w:p w14:paraId="1B0C5068" w14:textId="77777777" w:rsidR="008D5D1C" w:rsidRPr="00036DEC" w:rsidRDefault="008D5D1C" w:rsidP="008D5D1C">
      <w:pPr>
        <w:rPr>
          <w:sz w:val="22"/>
          <w:szCs w:val="22"/>
        </w:rPr>
      </w:pPr>
      <w:r w:rsidRPr="00036DEC">
        <w:rPr>
          <w:rStyle w:val="date"/>
          <w:sz w:val="22"/>
          <w:szCs w:val="22"/>
        </w:rPr>
        <w:t>January 5, 2016</w:t>
      </w:r>
    </w:p>
    <w:p w14:paraId="42757355" w14:textId="77777777" w:rsidR="008D5D1C" w:rsidRPr="00036DEC" w:rsidRDefault="008D5D1C" w:rsidP="008D5D1C">
      <w:pPr>
        <w:rPr>
          <w:sz w:val="22"/>
          <w:szCs w:val="22"/>
        </w:rPr>
      </w:pPr>
    </w:p>
    <w:p w14:paraId="2ED65DA5"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70D34DA4" w14:textId="77777777" w:rsidR="008D5D1C" w:rsidRPr="00036DEC" w:rsidRDefault="008D5D1C" w:rsidP="008D5D1C">
      <w:pPr>
        <w:pStyle w:val="NormalWeb"/>
        <w:spacing w:before="0" w:beforeAutospacing="0" w:after="240" w:afterAutospacing="0"/>
        <w:rPr>
          <w:sz w:val="22"/>
          <w:szCs w:val="22"/>
        </w:rPr>
      </w:pPr>
      <w:r w:rsidRPr="00036DEC">
        <w:rPr>
          <w:sz w:val="22"/>
          <w:szCs w:val="22"/>
        </w:rPr>
        <w:t>As part of the </w:t>
      </w:r>
      <w:hyperlink r:id="rId13" w:history="1">
        <w:r w:rsidRPr="00036DEC">
          <w:rPr>
            <w:rStyle w:val="Hyperlink"/>
            <w:color w:val="6E7822"/>
            <w:sz w:val="22"/>
            <w:szCs w:val="22"/>
          </w:rPr>
          <w:t>settlement, Lumos Labs, the company behind Lumosity, will pay $2 million in redress</w:t>
        </w:r>
      </w:hyperlink>
      <w:r w:rsidRPr="00036DEC">
        <w:rPr>
          <w:rStyle w:val="Strong"/>
          <w:sz w:val="22"/>
          <w:szCs w:val="22"/>
        </w:rPr>
        <w:t> </w:t>
      </w:r>
      <w:r w:rsidRPr="00036DEC">
        <w:rPr>
          <w:sz w:val="22"/>
          <w:szCs w:val="22"/>
        </w:rPr>
        <w:t>and will notify subscribers of the FTC action and provide them with an easy way to cancel their auto-renewal to avoid future billing.</w:t>
      </w:r>
    </w:p>
    <w:p w14:paraId="75569073" w14:textId="77777777" w:rsidR="008D5D1C" w:rsidRPr="00036DEC" w:rsidRDefault="008D5D1C" w:rsidP="008D5D1C">
      <w:pPr>
        <w:pStyle w:val="NormalWeb"/>
        <w:spacing w:before="0" w:beforeAutospacing="0" w:after="240" w:afterAutospacing="0"/>
        <w:rPr>
          <w:sz w:val="22"/>
          <w:szCs w:val="22"/>
        </w:rPr>
      </w:pPr>
      <w:r w:rsidRPr="00036DEC">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14F07FFE" w14:textId="77777777" w:rsidR="008D5D1C" w:rsidRPr="00036DEC" w:rsidRDefault="008D5D1C" w:rsidP="008D5D1C">
      <w:pPr>
        <w:pStyle w:val="NormalWeb"/>
        <w:spacing w:before="0" w:beforeAutospacing="0" w:after="240" w:afterAutospacing="0"/>
        <w:rPr>
          <w:sz w:val="22"/>
          <w:szCs w:val="22"/>
        </w:rPr>
      </w:pPr>
      <w:r w:rsidRPr="00036DEC">
        <w:rPr>
          <w:sz w:val="22"/>
          <w:szCs w:val="22"/>
        </w:rPr>
        <w:t>According to the </w:t>
      </w:r>
      <w:hyperlink r:id="rId14" w:history="1">
        <w:r w:rsidRPr="00036DEC">
          <w:rPr>
            <w:rStyle w:val="Hyperlink"/>
            <w:color w:val="6E7822"/>
            <w:sz w:val="22"/>
            <w:szCs w:val="22"/>
          </w:rPr>
          <w:t>FTC’s complaint</w:t>
        </w:r>
      </w:hyperlink>
      <w:r w:rsidRPr="00036DEC">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696B029F" w14:textId="77777777" w:rsidR="008D5D1C" w:rsidRPr="00036DEC" w:rsidRDefault="008D5D1C" w:rsidP="008D5D1C">
      <w:pPr>
        <w:pStyle w:val="NormalWeb"/>
        <w:spacing w:before="0" w:beforeAutospacing="0" w:after="240" w:afterAutospacing="0"/>
        <w:rPr>
          <w:sz w:val="22"/>
          <w:szCs w:val="22"/>
        </w:rPr>
      </w:pPr>
      <w:r w:rsidRPr="00036DEC">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49507550"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2EB158F4"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64AE48C7"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0D2AE6B8"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41E1CDF3"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Commission vote authorizing the filing of the complaint and proposed stipulated order was 4-0, with </w:t>
      </w:r>
      <w:hyperlink r:id="rId15" w:history="1">
        <w:r w:rsidRPr="00036DEC">
          <w:rPr>
            <w:rStyle w:val="Hyperlink"/>
            <w:color w:val="6E7822"/>
            <w:sz w:val="22"/>
            <w:szCs w:val="22"/>
          </w:rPr>
          <w:t>Commissioner Julie Brill issuing a separate concurring statement</w:t>
        </w:r>
      </w:hyperlink>
      <w:r w:rsidRPr="00036DEC">
        <w:rPr>
          <w:sz w:val="22"/>
          <w:szCs w:val="22"/>
        </w:rPr>
        <w:t>. The FTC filed the complaint and proposed order in the U.S. District Court for the Northern District of California, San Francisco Division.</w:t>
      </w:r>
    </w:p>
    <w:p w14:paraId="0EA6CA75" w14:textId="77777777" w:rsidR="008D5D1C" w:rsidRPr="00036DEC" w:rsidRDefault="008D5D1C" w:rsidP="008D5D1C">
      <w:pPr>
        <w:pStyle w:val="NormalWeb"/>
        <w:spacing w:before="0" w:beforeAutospacing="0" w:after="240" w:afterAutospacing="0"/>
        <w:rPr>
          <w:sz w:val="22"/>
          <w:szCs w:val="22"/>
        </w:rPr>
      </w:pPr>
      <w:r w:rsidRPr="00036DEC">
        <w:rPr>
          <w:sz w:val="22"/>
          <w:szCs w:val="22"/>
        </w:rPr>
        <w:lastRenderedPageBreak/>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2FB1A28D" w14:textId="77777777" w:rsidR="008D5D1C" w:rsidRPr="00036DEC" w:rsidRDefault="008D5D1C" w:rsidP="008D5D1C">
      <w:pPr>
        <w:pStyle w:val="NormalWeb"/>
        <w:spacing w:before="0" w:beforeAutospacing="0" w:after="240" w:afterAutospacing="0"/>
        <w:rPr>
          <w:sz w:val="22"/>
          <w:szCs w:val="22"/>
        </w:rPr>
      </w:pPr>
      <w:r w:rsidRPr="00036DEC">
        <w:rPr>
          <w:rStyle w:val="Strong"/>
          <w:sz w:val="22"/>
          <w:szCs w:val="22"/>
        </w:rPr>
        <w:t>NOTE: </w:t>
      </w:r>
      <w:r w:rsidRPr="00036DEC">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4CB5CFF7" w14:textId="77777777" w:rsidR="008D5D1C" w:rsidRPr="00036DEC" w:rsidRDefault="008D5D1C" w:rsidP="008D5D1C">
      <w:pPr>
        <w:pStyle w:val="NormalWeb"/>
        <w:spacing w:before="0" w:beforeAutospacing="0" w:after="240" w:afterAutospacing="0"/>
        <w:rPr>
          <w:sz w:val="22"/>
          <w:szCs w:val="22"/>
        </w:rPr>
      </w:pPr>
      <w:r w:rsidRPr="00036DEC">
        <w:rPr>
          <w:sz w:val="22"/>
          <w:szCs w:val="22"/>
        </w:rPr>
        <w:t>The Federal Trade Commission works to </w:t>
      </w:r>
      <w:hyperlink r:id="rId16" w:history="1">
        <w:r w:rsidRPr="00036DEC">
          <w:rPr>
            <w:rStyle w:val="Hyperlink"/>
            <w:color w:val="6E7822"/>
            <w:sz w:val="22"/>
            <w:szCs w:val="22"/>
          </w:rPr>
          <w:t>promote competition</w:t>
        </w:r>
      </w:hyperlink>
      <w:r w:rsidRPr="00036DEC">
        <w:rPr>
          <w:sz w:val="22"/>
          <w:szCs w:val="22"/>
        </w:rPr>
        <w:t>, and protect and educate consumers. You can learn more about </w:t>
      </w:r>
      <w:hyperlink r:id="rId17" w:history="1">
        <w:r w:rsidRPr="00036DEC">
          <w:rPr>
            <w:rStyle w:val="Hyperlink"/>
            <w:color w:val="6E7822"/>
            <w:sz w:val="22"/>
            <w:szCs w:val="22"/>
          </w:rPr>
          <w:t>how competition benefits consumers</w:t>
        </w:r>
      </w:hyperlink>
      <w:r w:rsidRPr="00036DEC">
        <w:rPr>
          <w:sz w:val="22"/>
          <w:szCs w:val="22"/>
        </w:rPr>
        <w:t> or </w:t>
      </w:r>
      <w:hyperlink r:id="rId18" w:history="1">
        <w:r w:rsidRPr="00036DEC">
          <w:rPr>
            <w:rStyle w:val="Hyperlink"/>
            <w:color w:val="6E7822"/>
            <w:sz w:val="22"/>
            <w:szCs w:val="22"/>
          </w:rPr>
          <w:t>file an antitrust complaint</w:t>
        </w:r>
      </w:hyperlink>
      <w:r w:rsidRPr="00036DEC">
        <w:rPr>
          <w:sz w:val="22"/>
          <w:szCs w:val="22"/>
        </w:rPr>
        <w:t>. Like the FTC on </w:t>
      </w:r>
      <w:hyperlink r:id="rId19" w:history="1">
        <w:r w:rsidRPr="00036DEC">
          <w:rPr>
            <w:rStyle w:val="Hyperlink"/>
            <w:color w:val="6E7822"/>
            <w:sz w:val="22"/>
            <w:szCs w:val="22"/>
          </w:rPr>
          <w:t>Facebook</w:t>
        </w:r>
      </w:hyperlink>
      <w:r w:rsidRPr="00036DEC">
        <w:rPr>
          <w:sz w:val="22"/>
          <w:szCs w:val="22"/>
        </w:rPr>
        <w:t>, follow us on </w:t>
      </w:r>
      <w:hyperlink r:id="rId20" w:history="1">
        <w:r w:rsidRPr="00036DEC">
          <w:rPr>
            <w:rStyle w:val="Hyperlink"/>
            <w:color w:val="6E7822"/>
            <w:sz w:val="22"/>
            <w:szCs w:val="22"/>
          </w:rPr>
          <w:t>Twitter</w:t>
        </w:r>
      </w:hyperlink>
      <w:r w:rsidRPr="00036DEC">
        <w:rPr>
          <w:sz w:val="22"/>
          <w:szCs w:val="22"/>
        </w:rPr>
        <w:t>, read our </w:t>
      </w:r>
      <w:hyperlink r:id="rId21" w:history="1">
        <w:r w:rsidRPr="00036DEC">
          <w:rPr>
            <w:rStyle w:val="Hyperlink"/>
            <w:color w:val="6E7822"/>
            <w:sz w:val="22"/>
            <w:szCs w:val="22"/>
          </w:rPr>
          <w:t>blogs</w:t>
        </w:r>
      </w:hyperlink>
      <w:r w:rsidRPr="00036DEC">
        <w:rPr>
          <w:sz w:val="22"/>
          <w:szCs w:val="22"/>
        </w:rPr>
        <w:t> and </w:t>
      </w:r>
      <w:hyperlink r:id="rId22" w:history="1">
        <w:r w:rsidRPr="00036DEC">
          <w:rPr>
            <w:rStyle w:val="Hyperlink"/>
            <w:color w:val="6E7822"/>
            <w:sz w:val="22"/>
            <w:szCs w:val="22"/>
          </w:rPr>
          <w:t>subscribe to press releases</w:t>
        </w:r>
      </w:hyperlink>
      <w:r w:rsidRPr="00036DEC">
        <w:rPr>
          <w:sz w:val="22"/>
          <w:szCs w:val="22"/>
        </w:rPr>
        <w:t> for the latest FTC news and resources.</w:t>
      </w:r>
    </w:p>
    <w:p w14:paraId="75F82147" w14:textId="77777777" w:rsidR="008D5D1C" w:rsidRPr="00CC15F4" w:rsidRDefault="008D5D1C" w:rsidP="008D5D1C">
      <w:pPr>
        <w:rPr>
          <w:rFonts w:eastAsia="Times New Roman"/>
          <w:color w:val="333333"/>
          <w:sz w:val="22"/>
          <w:szCs w:val="22"/>
        </w:rPr>
      </w:pPr>
      <w:hyperlink r:id="rId23" w:history="1">
        <w:r w:rsidRPr="00036DEC">
          <w:rPr>
            <w:rStyle w:val="Hyperlink"/>
            <w:sz w:val="22"/>
            <w:szCs w:val="22"/>
          </w:rPr>
          <w:t>https://www.ftc.gov/news-events/press-releases/2016/01/lumosity-pay-2-million-settle-ftc-deceptive-advertising-charges</w:t>
        </w:r>
      </w:hyperlink>
    </w:p>
    <w:p w14:paraId="4B2185DF" w14:textId="77777777" w:rsidR="008D5D1C" w:rsidRPr="00036DEC" w:rsidRDefault="008D5D1C" w:rsidP="008D5D1C">
      <w:pPr>
        <w:rPr>
          <w:sz w:val="22"/>
          <w:szCs w:val="22"/>
        </w:rPr>
      </w:pPr>
    </w:p>
    <w:p w14:paraId="566C3B79" w14:textId="51C76AB0" w:rsidR="00036DEC" w:rsidRDefault="00036DEC">
      <w:pPr>
        <w:rPr>
          <w:sz w:val="22"/>
          <w:szCs w:val="22"/>
        </w:rPr>
      </w:pPr>
      <w:r>
        <w:rPr>
          <w:sz w:val="22"/>
          <w:szCs w:val="22"/>
        </w:rPr>
        <w:br w:type="page"/>
      </w:r>
    </w:p>
    <w:p w14:paraId="438A0FDF" w14:textId="77777777" w:rsidR="00036DEC" w:rsidRPr="00D1012F" w:rsidRDefault="00036DEC" w:rsidP="00036DEC">
      <w:pPr>
        <w:rPr>
          <w:sz w:val="22"/>
          <w:szCs w:val="22"/>
        </w:rPr>
      </w:pPr>
      <w:hyperlink r:id="rId24" w:history="1">
        <w:r w:rsidRPr="00D1012F">
          <w:rPr>
            <w:rStyle w:val="Hyperlink"/>
            <w:sz w:val="22"/>
            <w:szCs w:val="22"/>
          </w:rPr>
          <w:t>http://longevity.stanford.edu/a-consensus-on-the-brain-training-industry-from-the-scientific-community-2/</w:t>
        </w:r>
      </w:hyperlink>
    </w:p>
    <w:p w14:paraId="228FA472" w14:textId="77777777" w:rsidR="00036DEC" w:rsidRPr="00D1012F" w:rsidRDefault="00036DEC" w:rsidP="00036DEC">
      <w:pPr>
        <w:rPr>
          <w:sz w:val="22"/>
          <w:szCs w:val="22"/>
        </w:rPr>
      </w:pPr>
    </w:p>
    <w:p w14:paraId="7BA4795C" w14:textId="77777777" w:rsidR="00036DEC" w:rsidRPr="00D1012F" w:rsidRDefault="00036DEC" w:rsidP="00036DEC">
      <w:pPr>
        <w:rPr>
          <w:sz w:val="22"/>
          <w:szCs w:val="22"/>
        </w:rPr>
      </w:pPr>
      <w:r w:rsidRPr="00D1012F">
        <w:rPr>
          <w:sz w:val="22"/>
          <w:szCs w:val="22"/>
        </w:rPr>
        <w:t>(Other links not shown, but available here:</w:t>
      </w:r>
    </w:p>
    <w:p w14:paraId="6FD0B75B" w14:textId="77777777" w:rsidR="00036DEC" w:rsidRPr="00D1012F" w:rsidRDefault="00036DEC" w:rsidP="00036DEC">
      <w:pPr>
        <w:rPr>
          <w:sz w:val="22"/>
          <w:szCs w:val="22"/>
        </w:rPr>
      </w:pPr>
      <w:hyperlink r:id="rId25" w:history="1">
        <w:r w:rsidRPr="00D1012F">
          <w:rPr>
            <w:rStyle w:val="Hyperlink"/>
            <w:sz w:val="22"/>
            <w:szCs w:val="22"/>
          </w:rPr>
          <w:t>https://www.theatlantic.com/science/archive/2016/10/the-weak-evidence-behind-brain-training-games/502559/</w:t>
        </w:r>
      </w:hyperlink>
    </w:p>
    <w:p w14:paraId="3516FE7E" w14:textId="77777777" w:rsidR="00036DEC" w:rsidRPr="00D1012F" w:rsidRDefault="00036DEC" w:rsidP="00036DEC">
      <w:pPr>
        <w:rPr>
          <w:sz w:val="22"/>
          <w:szCs w:val="22"/>
        </w:rPr>
      </w:pPr>
      <w:hyperlink r:id="rId26" w:history="1">
        <w:r w:rsidRPr="00D1012F">
          <w:rPr>
            <w:rStyle w:val="Hyperlink"/>
            <w:sz w:val="22"/>
            <w:szCs w:val="22"/>
          </w:rPr>
          <w:t>https://www.scientificamerican.com/article/brain-training-doesn-t-make-you-smarter/</w:t>
        </w:r>
      </w:hyperlink>
    </w:p>
    <w:p w14:paraId="4E2DF8EC" w14:textId="77777777" w:rsidR="00036DEC" w:rsidRPr="00D1012F" w:rsidRDefault="00036DEC" w:rsidP="00036DEC">
      <w:pPr>
        <w:rPr>
          <w:sz w:val="22"/>
          <w:szCs w:val="22"/>
        </w:rPr>
      </w:pPr>
      <w:hyperlink r:id="rId27" w:history="1">
        <w:r w:rsidRPr="00D1012F">
          <w:rPr>
            <w:rStyle w:val="Hyperlink"/>
            <w:sz w:val="22"/>
            <w:szCs w:val="22"/>
          </w:rPr>
          <w:t>https://www.sciencedaily.com/releases/2017/04/170417095528.htm</w:t>
        </w:r>
      </w:hyperlink>
    </w:p>
    <w:p w14:paraId="54B344B5" w14:textId="77777777" w:rsidR="00036DEC" w:rsidRPr="00D1012F" w:rsidRDefault="00036DEC" w:rsidP="00036DEC">
      <w:pPr>
        <w:rPr>
          <w:sz w:val="22"/>
          <w:szCs w:val="22"/>
        </w:rPr>
      </w:pPr>
      <w:hyperlink r:id="rId28" w:history="1">
        <w:r w:rsidRPr="00D1012F">
          <w:rPr>
            <w:rStyle w:val="Hyperlink"/>
            <w:sz w:val="22"/>
            <w:szCs w:val="22"/>
          </w:rPr>
          <w:t>https://www.technologyreview.com/s/602540/brain-training-apps-wont-make-you-smarter/</w:t>
        </w:r>
      </w:hyperlink>
    </w:p>
    <w:p w14:paraId="7C5FBED3" w14:textId="77777777" w:rsidR="00036DEC" w:rsidRPr="00D1012F" w:rsidRDefault="00036DEC" w:rsidP="00036DEC">
      <w:pPr>
        <w:rPr>
          <w:sz w:val="22"/>
          <w:szCs w:val="22"/>
        </w:rPr>
      </w:pPr>
      <w:hyperlink r:id="rId29" w:history="1">
        <w:r w:rsidRPr="00D1012F">
          <w:rPr>
            <w:rStyle w:val="Hyperlink"/>
            <w:sz w:val="22"/>
            <w:szCs w:val="22"/>
          </w:rPr>
          <w:t>https://www.cnn.com/2016/10/20/health/brain-training-exercises/index.html</w:t>
        </w:r>
      </w:hyperlink>
    </w:p>
    <w:p w14:paraId="00289426" w14:textId="77777777" w:rsidR="00036DEC" w:rsidRPr="00D1012F" w:rsidRDefault="00036DEC" w:rsidP="00036DEC">
      <w:pPr>
        <w:rPr>
          <w:sz w:val="22"/>
          <w:szCs w:val="22"/>
        </w:rPr>
      </w:pPr>
      <w:hyperlink r:id="rId30" w:history="1">
        <w:r w:rsidRPr="00D1012F">
          <w:rPr>
            <w:rStyle w:val="Hyperlink"/>
            <w:sz w:val="22"/>
            <w:szCs w:val="22"/>
          </w:rPr>
          <w:t>https://www.learningrx.com/brain-training-101</w:t>
        </w:r>
      </w:hyperlink>
    </w:p>
    <w:p w14:paraId="2FC83412" w14:textId="77777777" w:rsidR="00036DEC" w:rsidRPr="00D1012F" w:rsidRDefault="00036DEC" w:rsidP="00036DEC">
      <w:pPr>
        <w:rPr>
          <w:sz w:val="22"/>
          <w:szCs w:val="22"/>
        </w:rPr>
      </w:pPr>
      <w:hyperlink r:id="rId31" w:history="1">
        <w:r w:rsidRPr="00D1012F">
          <w:rPr>
            <w:rStyle w:val="Hyperlink"/>
            <w:sz w:val="22"/>
            <w:szCs w:val="22"/>
          </w:rPr>
          <w:t>http://www.latimes.com/business/hiltzik/la-fi-mh-if-you-weren-t-smart-enough-20160106-column.html</w:t>
        </w:r>
      </w:hyperlink>
      <w:r w:rsidRPr="00D1012F">
        <w:rPr>
          <w:sz w:val="22"/>
          <w:szCs w:val="22"/>
        </w:rPr>
        <w:t xml:space="preserve"> )</w:t>
      </w:r>
    </w:p>
    <w:p w14:paraId="2E826E35" w14:textId="77777777" w:rsidR="00036DEC" w:rsidRPr="00D1012F" w:rsidRDefault="00036DEC" w:rsidP="00036DEC">
      <w:pPr>
        <w:rPr>
          <w:sz w:val="22"/>
          <w:szCs w:val="22"/>
        </w:rPr>
      </w:pPr>
    </w:p>
    <w:p w14:paraId="5CCABD0C" w14:textId="77777777" w:rsidR="00036DEC" w:rsidRPr="00D1012F" w:rsidRDefault="00036DEC" w:rsidP="00036DEC">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68C34E5F"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27A28AA0"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21ACD61F"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p>
    <w:p w14:paraId="7E9F2D5D"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It is customary for advertising to highlight the benefits and overstate potential advantages of their products. In the brain-game market, advertisements also reassure consumers that claims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3B9C3B47"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adults benefit from brain-game learning in the same ways younger people do? How large are the gains associated with computer-based cognitive exercises? Are the </w:t>
      </w:r>
      <w:r w:rsidRPr="00D1012F">
        <w:rPr>
          <w:rFonts w:eastAsia="Times New Roman"/>
          <w:color w:val="666666"/>
          <w:sz w:val="22"/>
          <w:szCs w:val="22"/>
        </w:rPr>
        <w:lastRenderedPageBreak/>
        <w:t>gains restricted to specific skills or does general cognitive aptitude improve? How does playing games compare with other proposed means of mitigating age-related declines, such as physical activity and exercise, meditation, or social engagement?</w:t>
      </w:r>
    </w:p>
    <w:p w14:paraId="739ADB3F"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16D9F288"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However at this point it is not appropriate to conclude that training-induced changes go significantly beyond the learned skills, that they affect broad abilities with real-world relevance, or that they generally promote “brain health”.</w:t>
      </w:r>
    </w:p>
    <w:p w14:paraId="4239FB96"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As we take a closer look at the evidence on brain games, one issue needs to be kept in mind: It is not sufficient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particular memory task often result from subtle changes in </w:t>
      </w:r>
      <w:r w:rsidRPr="00D1012F">
        <w:rPr>
          <w:rFonts w:eastAsia="Times New Roman"/>
          <w:i/>
          <w:iCs/>
          <w:color w:val="666666"/>
          <w:sz w:val="22"/>
          <w:szCs w:val="22"/>
          <w:bdr w:val="none" w:sz="0" w:space="0" w:color="auto" w:frame="1"/>
        </w:rPr>
        <w:t>strategy </w:t>
      </w:r>
      <w:r w:rsidRPr="00D1012F">
        <w:rPr>
          <w:rFonts w:eastAsia="Times New Roman"/>
          <w:color w:val="666666"/>
          <w:sz w:val="22"/>
          <w:szCs w:val="22"/>
        </w:rPr>
        <w:t>thatreflect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w:t>
      </w:r>
      <w:r w:rsidRPr="00D1012F">
        <w:rPr>
          <w:rFonts w:eastAsia="Times New Roman"/>
          <w:color w:val="666666"/>
          <w:sz w:val="22"/>
          <w:szCs w:val="22"/>
        </w:rPr>
        <w:lastRenderedPageBreak/>
        <w:t>to the American Psychological Association, newly developed psychological tests must meet specific psychometric standards, including reliability and validity. The same standards should be extended into the brain game industry, but this is not the state of affairs today.</w:t>
      </w:r>
    </w:p>
    <w:p w14:paraId="45757B77"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p>
    <w:p w14:paraId="470E5321"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To date, there is little evidence that playing brain games improves underlying broad cognitive abilities, or that it enables one to better navigate a complex realm of everyday life. Some intriguing isolated reports do inspire additional research, however. For 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particular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0B97FD19"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60D54EF8"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w:t>
      </w:r>
      <w:r w:rsidRPr="00D1012F">
        <w:rPr>
          <w:rFonts w:eastAsia="Times New Roman"/>
          <w:color w:val="666666"/>
          <w:sz w:val="22"/>
          <w:szCs w:val="22"/>
        </w:rPr>
        <w:lastRenderedPageBreak/>
        <w:t>of assessing specific tests rather than broader assays of ability is just as problematic on the level of meta-analytic integration as it is on the level of individual studies.</w:t>
      </w:r>
    </w:p>
    <w:p w14:paraId="72436458"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claiming improvements in the speed and efficiency of cognitive processing and dramatic gains in “intelligence”, in particular when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1E6D8586"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6AA81B67" w14:textId="77777777" w:rsidR="00036DEC" w:rsidRPr="00D1012F" w:rsidRDefault="00036DEC" w:rsidP="00036DEC">
      <w:pPr>
        <w:numPr>
          <w:ilvl w:val="0"/>
          <w:numId w:val="1"/>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4E302153" w14:textId="77777777" w:rsidR="00036DEC" w:rsidRPr="00D1012F" w:rsidRDefault="00036DEC" w:rsidP="00036DEC">
      <w:pPr>
        <w:numPr>
          <w:ilvl w:val="0"/>
          <w:numId w:val="2"/>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Physical exercise is a moderately effective way to improve general health, including brain fitness. Scientists have found that regular aerobic exercise increases blood flow to the brain, and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277B3E00" w14:textId="77777777" w:rsidR="00036DEC" w:rsidRPr="00D1012F" w:rsidRDefault="00036DEC" w:rsidP="00036DEC">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lastRenderedPageBreak/>
        <w:t>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exactly the same as the trained group.</w:t>
      </w:r>
    </w:p>
    <w:p w14:paraId="3E065F77" w14:textId="77777777" w:rsidR="00036DEC" w:rsidRPr="00D1012F" w:rsidRDefault="00036DEC" w:rsidP="00036DEC">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15892D6D" w14:textId="77777777" w:rsidR="00036DEC" w:rsidRPr="00D1012F" w:rsidRDefault="00036DEC" w:rsidP="00036DEC">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Do not expect that cognitively challenging activities will work like one-shot treatments or vaccines; there is little evidence that you can do something once (or even for a concentrated period) and be inoculated against the effects of aging in an enduring way. In all likelihood, gains won’t last long after you stop the challenge.</w:t>
      </w:r>
    </w:p>
    <w:p w14:paraId="4AA0763B" w14:textId="77777777" w:rsidR="00036DEC" w:rsidRPr="00D1012F" w:rsidRDefault="00036DEC" w:rsidP="00036DEC">
      <w:pPr>
        <w:shd w:val="clear" w:color="auto" w:fill="FFFFFF"/>
        <w:spacing w:line="396" w:lineRule="atLeast"/>
        <w:textAlignment w:val="baseline"/>
        <w:rPr>
          <w:rFonts w:eastAsia="Times New Roman"/>
          <w:i/>
          <w:iCs/>
          <w:color w:val="666666"/>
          <w:sz w:val="22"/>
          <w:szCs w:val="22"/>
          <w:bdr w:val="none" w:sz="0" w:space="0" w:color="auto" w:frame="1"/>
        </w:rPr>
      </w:pPr>
    </w:p>
    <w:p w14:paraId="08E481CA"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4153D961" w14:textId="77777777" w:rsidR="00036DEC" w:rsidRPr="00D1012F" w:rsidRDefault="00036DEC" w:rsidP="00036DEC">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4E02867E">
          <v:rect id="_x0000_i1031" style="width:0;height:0" o:hralign="center" o:hrstd="t" o:hr="t" fillcolor="#a0a0a0" stroked="f"/>
        </w:pict>
      </w:r>
    </w:p>
    <w:p w14:paraId="48C74484"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1F9C5379"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Melby-Lervåg, M., &amp; Hulme,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4B3B026D"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Noack, H., Lövdén, M., &amp; Schmiedek,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31D8F5A7"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Redick, T. S., Shipstead,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6B54CA47"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Roig, M., Nordbrandt, S., Geertsen,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2EE0F1FE"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Shipstead,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06B05BD8"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lastRenderedPageBreak/>
        <w:t>Smith, P. J., Blumenthal, J. A., Hoffman, B. M., Cooper, H., Strauman, T. A., Welsh-Bohmer,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36C01448"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Voss, M., Vivar, C., Kramer, A. F., &amp; van Praag,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01D6EB72" w14:textId="77777777" w:rsidR="00036DEC" w:rsidRPr="00D1012F" w:rsidRDefault="00036DEC" w:rsidP="00036DEC">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51EE71A1">
          <v:rect id="_x0000_i1032" style="width:0;height:0" o:hralign="center" o:hrstd="t" o:hr="t" fillcolor="#a0a0a0" stroked="f"/>
        </w:pict>
      </w:r>
    </w:p>
    <w:p w14:paraId="2D132D5C" w14:textId="77777777" w:rsidR="00036DEC" w:rsidRPr="00D1012F" w:rsidRDefault="00036DEC" w:rsidP="00036DEC">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53BFFE10" w14:textId="77777777" w:rsidR="00036DEC" w:rsidRPr="00D1012F" w:rsidRDefault="00036DEC" w:rsidP="00036DEC">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2"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07827BEA" w14:textId="77777777" w:rsidR="00036DEC" w:rsidRPr="00D1012F" w:rsidRDefault="00036DEC" w:rsidP="00036DEC">
      <w:pPr>
        <w:rPr>
          <w:sz w:val="22"/>
          <w:szCs w:val="22"/>
        </w:rPr>
      </w:pPr>
    </w:p>
    <w:p w14:paraId="33D87A27" w14:textId="77777777" w:rsidR="00036DEC" w:rsidRPr="00D1012F" w:rsidRDefault="00036DEC" w:rsidP="00036DEC">
      <w:pPr>
        <w:rPr>
          <w:sz w:val="22"/>
          <w:szCs w:val="22"/>
        </w:rPr>
      </w:pPr>
      <w:r w:rsidRPr="00D1012F">
        <w:rPr>
          <w:sz w:val="22"/>
          <w:szCs w:val="22"/>
        </w:rPr>
        <w:t xml:space="preserve">(There is also a summary statement at </w:t>
      </w:r>
      <w:hyperlink r:id="rId33" w:history="1">
        <w:r w:rsidRPr="00D1012F">
          <w:rPr>
            <w:rStyle w:val="Hyperlink"/>
            <w:sz w:val="22"/>
            <w:szCs w:val="22"/>
          </w:rPr>
          <w:t>http://longevity.stanford.edu/a-consensus-on-the-brain-training-industry-from-the-scientific-community/</w:t>
        </w:r>
      </w:hyperlink>
      <w:r w:rsidRPr="00D1012F">
        <w:rPr>
          <w:sz w:val="22"/>
          <w:szCs w:val="22"/>
        </w:rPr>
        <w:t>)</w:t>
      </w:r>
    </w:p>
    <w:p w14:paraId="12D30236" w14:textId="77777777" w:rsidR="00036DEC" w:rsidRPr="00D1012F" w:rsidRDefault="00036DEC" w:rsidP="00036DEC">
      <w:pPr>
        <w:rPr>
          <w:sz w:val="22"/>
          <w:szCs w:val="22"/>
        </w:rPr>
      </w:pPr>
    </w:p>
    <w:p w14:paraId="44089581" w14:textId="77777777" w:rsidR="00036DEC" w:rsidRPr="00D1012F" w:rsidRDefault="00036DEC" w:rsidP="00036DEC">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185C3F12" w14:textId="77777777" w:rsidR="00036DEC" w:rsidRPr="00D1012F" w:rsidRDefault="00036DEC" w:rsidP="00036DEC">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Lars Bäckman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David A. Balota</w:t>
      </w:r>
      <w:r w:rsidRPr="00D1012F">
        <w:rPr>
          <w:color w:val="666666"/>
          <w:sz w:val="20"/>
          <w:szCs w:val="20"/>
        </w:rPr>
        <w:t>, Professor of Cognitive Psychology, Washington University in St. Louis, USA</w:t>
      </w:r>
      <w:r w:rsidRPr="00D1012F">
        <w:rPr>
          <w:color w:val="666666"/>
          <w:sz w:val="20"/>
          <w:szCs w:val="20"/>
        </w:rPr>
        <w:br/>
      </w:r>
      <w:r w:rsidRPr="00D1012F">
        <w:rPr>
          <w:rStyle w:val="Strong"/>
          <w:color w:val="486E96"/>
          <w:sz w:val="20"/>
          <w:szCs w:val="20"/>
          <w:bdr w:val="none" w:sz="0" w:space="0" w:color="auto" w:frame="1"/>
        </w:rPr>
        <w:t>Daphné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Martin Dresler</w:t>
      </w:r>
      <w:r w:rsidRPr="00D1012F">
        <w:rPr>
          <w:color w:val="666666"/>
          <w:sz w:val="20"/>
          <w:szCs w:val="20"/>
        </w:rPr>
        <w:t>, Assistant Professor, Radboud University Medical Center, The Netherlands</w:t>
      </w:r>
      <w:r w:rsidRPr="00D1012F">
        <w:rPr>
          <w:color w:val="666666"/>
          <w:sz w:val="20"/>
          <w:szCs w:val="20"/>
        </w:rPr>
        <w:br/>
      </w:r>
      <w:r w:rsidRPr="00D1012F">
        <w:rPr>
          <w:rStyle w:val="Strong"/>
          <w:color w:val="486E96"/>
          <w:sz w:val="20"/>
          <w:szCs w:val="20"/>
          <w:bdr w:val="none" w:sz="0" w:space="0" w:color="auto" w:frame="1"/>
        </w:rPr>
        <w:t>Emrah Düzel</w:t>
      </w:r>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Paolo Ghisletta</w:t>
      </w:r>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Michael D. Greicius</w:t>
      </w:r>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Professor of Psychology and Senior Scientist,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Charles Hulme</w:t>
      </w:r>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Susanne M. Jaeggi</w:t>
      </w:r>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Julia Karbach</w:t>
      </w:r>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Matthias Kliegel</w:t>
      </w:r>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Simone Kühn</w:t>
      </w:r>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Kenneth M. Langa</w:t>
      </w:r>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Chair of Lifespan Developmental Neuroscience, Technische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Ulman Lindenberger</w:t>
      </w:r>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Robert H. Logie</w:t>
      </w:r>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Martin Lövdén</w:t>
      </w:r>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Michael Marsiske</w:t>
      </w:r>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Professor of Gerontopsychology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Professor of Psychology and Director, The Rotman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Melby-Lervåg</w:t>
      </w:r>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Klaus Oberauer</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Harold Pashler</w:t>
      </w:r>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Walter J. Perrig</w:t>
      </w:r>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Patrick Rabbitt</w:t>
      </w:r>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Gregory Samanez-Larkin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K. Warner Schaie</w:t>
      </w:r>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Florian Schmiedek</w:t>
      </w:r>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Eric-Jan Wagenmakers</w:t>
      </w:r>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Jerome A. Yesavage</w:t>
      </w:r>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Elizabeth M. Zelinski</w:t>
      </w:r>
      <w:r w:rsidRPr="00D1012F">
        <w:rPr>
          <w:color w:val="666666"/>
          <w:sz w:val="20"/>
          <w:szCs w:val="20"/>
        </w:rPr>
        <w:t>, Professor of Gerontology, University of Southern California, USA</w:t>
      </w:r>
    </w:p>
    <w:p w14:paraId="6A54B076" w14:textId="77777777" w:rsidR="0013491C" w:rsidRPr="00036DEC" w:rsidRDefault="0013491C">
      <w:pPr>
        <w:rPr>
          <w:sz w:val="22"/>
          <w:szCs w:val="22"/>
        </w:rPr>
      </w:pPr>
      <w:bookmarkStart w:id="0" w:name="_GoBack"/>
      <w:bookmarkEnd w:id="0"/>
    </w:p>
    <w:sectPr w:rsidR="0013491C" w:rsidRPr="00036DEC" w:rsidSect="00036DEC">
      <w:pgSz w:w="12240" w:h="15840"/>
      <w:pgMar w:top="144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32"/>
    <w:rsid w:val="00036DEC"/>
    <w:rsid w:val="00037B32"/>
    <w:rsid w:val="00125D57"/>
    <w:rsid w:val="0013491C"/>
    <w:rsid w:val="008D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A3B4"/>
  <w15:chartTrackingRefBased/>
  <w15:docId w15:val="{B6827D40-67C1-43D9-A049-B0968307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D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D5D1C"/>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B32"/>
    <w:rPr>
      <w:color w:val="0000FF"/>
      <w:u w:val="single"/>
    </w:rPr>
  </w:style>
  <w:style w:type="character" w:customStyle="1" w:styleId="Heading1Char">
    <w:name w:val="Heading 1 Char"/>
    <w:basedOn w:val="DefaultParagraphFont"/>
    <w:link w:val="Heading1"/>
    <w:uiPriority w:val="9"/>
    <w:rsid w:val="008D5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5D1C"/>
    <w:rPr>
      <w:rFonts w:eastAsia="Times New Roman"/>
      <w:b/>
      <w:bCs/>
      <w:sz w:val="27"/>
      <w:szCs w:val="27"/>
    </w:rPr>
  </w:style>
  <w:style w:type="character" w:customStyle="1" w:styleId="term-tid-5229">
    <w:name w:val="term-tid-5229"/>
    <w:basedOn w:val="DefaultParagraphFont"/>
    <w:rsid w:val="008D5D1C"/>
  </w:style>
  <w:style w:type="character" w:customStyle="1" w:styleId="date">
    <w:name w:val="date"/>
    <w:basedOn w:val="DefaultParagraphFont"/>
    <w:rsid w:val="008D5D1C"/>
  </w:style>
  <w:style w:type="paragraph" w:styleId="NormalWeb">
    <w:name w:val="Normal (Web)"/>
    <w:basedOn w:val="Normal"/>
    <w:uiPriority w:val="99"/>
    <w:semiHidden/>
    <w:unhideWhenUsed/>
    <w:rsid w:val="008D5D1C"/>
    <w:pPr>
      <w:spacing w:before="100" w:beforeAutospacing="1" w:after="100" w:afterAutospacing="1"/>
    </w:pPr>
    <w:rPr>
      <w:rFonts w:eastAsia="Times New Roman"/>
    </w:rPr>
  </w:style>
  <w:style w:type="character" w:styleId="Strong">
    <w:name w:val="Strong"/>
    <w:basedOn w:val="DefaultParagraphFont"/>
    <w:uiPriority w:val="22"/>
    <w:qFormat/>
    <w:rsid w:val="008D5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tc.gov/system/files/documents/cases/160105lumoslabsstip.pdf" TargetMode="External"/><Relationship Id="rId18" Type="http://schemas.openxmlformats.org/officeDocument/2006/relationships/hyperlink" Target="https://www.ftc.gov/faq/competition/report-antitrust-violation" TargetMode="External"/><Relationship Id="rId26" Type="http://schemas.openxmlformats.org/officeDocument/2006/relationships/hyperlink" Target="https://www.scientificamerican.com/article/brain-training-doesn-t-make-you-smarter/" TargetMode="External"/><Relationship Id="rId3" Type="http://schemas.openxmlformats.org/officeDocument/2006/relationships/settings" Target="settings.xml"/><Relationship Id="rId21" Type="http://schemas.openxmlformats.org/officeDocument/2006/relationships/hyperlink" Target="https://www.ftc.gov/news-events/blogs/competition-matters"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7" Type="http://schemas.openxmlformats.org/officeDocument/2006/relationships/hyperlink" Target="https://www.ftc.gov/sites/default/files/attachments/competition-counts/zgen01.pdf" TargetMode="External"/><Relationship Id="rId25" Type="http://schemas.openxmlformats.org/officeDocument/2006/relationships/hyperlink" Target="https://www.theatlantic.com/science/archive/2016/10/the-weak-evidence-behind-brain-training-games/502559/" TargetMode="External"/><Relationship Id="rId33" Type="http://schemas.openxmlformats.org/officeDocument/2006/relationships/hyperlink" Target="http://longevity.stanford.edu/a-consensus-on-the-brain-training-industry-from-the-scientific-community/" TargetMode="External"/><Relationship Id="rId2" Type="http://schemas.openxmlformats.org/officeDocument/2006/relationships/styles" Target="styles.xml"/><Relationship Id="rId16" Type="http://schemas.openxmlformats.org/officeDocument/2006/relationships/hyperlink" Target="https://www.ftc.gov/about-ftc/bureaus-offices/bureau-competition" TargetMode="External"/><Relationship Id="rId20" Type="http://schemas.openxmlformats.org/officeDocument/2006/relationships/hyperlink" Target="https://twitter.com/FTC" TargetMode="External"/><Relationship Id="rId29" Type="http://schemas.openxmlformats.org/officeDocument/2006/relationships/hyperlink" Target="https://www.cnn.com/2016/10/20/health/brain-training-exercises/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longevity.stanford.edu/a-consensus-on-the-brain-training-industry-from-the-scientific-community-2/" TargetMode="External"/><Relationship Id="rId32" Type="http://schemas.openxmlformats.org/officeDocument/2006/relationships/hyperlink" Target="http://longevity.stanford.edu/a-consensus-on-the-brain-training-industry-from-the-scientific-community-2/" TargetMode="External"/><Relationship Id="rId5" Type="http://schemas.openxmlformats.org/officeDocument/2006/relationships/hyperlink" Target="https://sp.neuronation.com/en/" TargetMode="External"/><Relationship Id="rId15" Type="http://schemas.openxmlformats.org/officeDocument/2006/relationships/hyperlink" Target="https://www.ftc.gov/public-statements/2016/01/concurring-statement-commissioner-julie-brill-matter-lumos-lab-inc" TargetMode="External"/><Relationship Id="rId23" Type="http://schemas.openxmlformats.org/officeDocument/2006/relationships/hyperlink" Target="https://www.ftc.gov/news-events/press-releases/2016/01/lumosity-pay-2-million-settle-ftc-deceptive-advertising-charges" TargetMode="External"/><Relationship Id="rId28" Type="http://schemas.openxmlformats.org/officeDocument/2006/relationships/hyperlink" Target="https://www.technologyreview.com/s/602540/brain-training-apps-wont-make-you-smarter/" TargetMode="External"/><Relationship Id="rId10" Type="http://schemas.openxmlformats.org/officeDocument/2006/relationships/image" Target="media/image5.png"/><Relationship Id="rId19" Type="http://schemas.openxmlformats.org/officeDocument/2006/relationships/hyperlink" Target="https://www.facebook.com/federaltradecommission" TargetMode="External"/><Relationship Id="rId31" Type="http://schemas.openxmlformats.org/officeDocument/2006/relationships/hyperlink" Target="http://www.latimes.com/business/hiltzik/la-fi-mh-if-you-weren-t-smart-enough-20160106-colum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tc.gov/system/files/documents/cases/160105lumoslabscmpt.pdf" TargetMode="External"/><Relationship Id="rId22" Type="http://schemas.openxmlformats.org/officeDocument/2006/relationships/hyperlink" Target="https://www.ftc.gov/stay-connected" TargetMode="External"/><Relationship Id="rId27" Type="http://schemas.openxmlformats.org/officeDocument/2006/relationships/hyperlink" Target="https://www.sciencedaily.com/releases/2017/04/170417095528.htm" TargetMode="External"/><Relationship Id="rId30" Type="http://schemas.openxmlformats.org/officeDocument/2006/relationships/hyperlink" Target="https://www.learningrx.com/brain-training-10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5404</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2019-05-29T00:21:00Z</dcterms:created>
  <dcterms:modified xsi:type="dcterms:W3CDTF">2019-05-29T01:18:00Z</dcterms:modified>
</cp:coreProperties>
</file>