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37CC" w14:textId="09F2FB64" w:rsidR="00125D57" w:rsidRPr="004C03AC" w:rsidRDefault="00070A19">
      <w:pPr>
        <w:rPr>
          <w:sz w:val="22"/>
          <w:szCs w:val="22"/>
        </w:rPr>
      </w:pPr>
      <w:hyperlink r:id="rId5" w:history="1">
        <w:r w:rsidRPr="004C03AC">
          <w:rPr>
            <w:rStyle w:val="Hyperlink"/>
            <w:sz w:val="22"/>
            <w:szCs w:val="22"/>
          </w:rPr>
          <w:t>https://www.prevention.com/health/a20438453/games-that-make-you-think/</w:t>
        </w:r>
      </w:hyperlink>
    </w:p>
    <w:p w14:paraId="49A2E925" w14:textId="09D704AA" w:rsidR="00070A19" w:rsidRPr="004C03AC" w:rsidRDefault="00070A19">
      <w:pPr>
        <w:rPr>
          <w:sz w:val="22"/>
          <w:szCs w:val="22"/>
        </w:rPr>
      </w:pPr>
    </w:p>
    <w:p w14:paraId="703D66BB" w14:textId="77777777" w:rsidR="00070A19" w:rsidRPr="00070A19" w:rsidRDefault="00070A19" w:rsidP="00070A19">
      <w:pPr>
        <w:shd w:val="clear" w:color="auto" w:fill="FFFFFF"/>
        <w:outlineLvl w:val="0"/>
        <w:rPr>
          <w:rFonts w:eastAsia="Times New Roman"/>
          <w:b/>
          <w:bCs/>
          <w:color w:val="000000"/>
          <w:kern w:val="36"/>
          <w:sz w:val="22"/>
          <w:szCs w:val="22"/>
        </w:rPr>
      </w:pPr>
      <w:r w:rsidRPr="00070A19">
        <w:rPr>
          <w:rFonts w:eastAsia="Times New Roman"/>
          <w:b/>
          <w:bCs/>
          <w:color w:val="000000"/>
          <w:kern w:val="36"/>
          <w:sz w:val="22"/>
          <w:szCs w:val="22"/>
        </w:rPr>
        <w:t>7 Brain Games To Make You Smarter</w:t>
      </w:r>
    </w:p>
    <w:p w14:paraId="7E9B1A47" w14:textId="77777777" w:rsidR="00070A19" w:rsidRPr="00070A19" w:rsidRDefault="00070A19" w:rsidP="00070A19">
      <w:pPr>
        <w:shd w:val="clear" w:color="auto" w:fill="FFFFFF"/>
        <w:outlineLvl w:val="2"/>
        <w:rPr>
          <w:rFonts w:eastAsia="Times New Roman"/>
          <w:color w:val="000000"/>
          <w:spacing w:val="5"/>
          <w:sz w:val="22"/>
          <w:szCs w:val="22"/>
        </w:rPr>
      </w:pPr>
      <w:r w:rsidRPr="00070A19">
        <w:rPr>
          <w:rFonts w:eastAsia="Times New Roman"/>
          <w:color w:val="000000"/>
          <w:spacing w:val="5"/>
          <w:sz w:val="22"/>
          <w:szCs w:val="22"/>
        </w:rPr>
        <w:t>Think quickly, clearly, and creatively with these daily brain games</w:t>
      </w:r>
    </w:p>
    <w:p w14:paraId="1F4C09DC" w14:textId="77777777" w:rsidR="00070A19" w:rsidRPr="00070A19" w:rsidRDefault="00070A19" w:rsidP="00070A19">
      <w:pPr>
        <w:shd w:val="clear" w:color="auto" w:fill="FFFFFF"/>
        <w:rPr>
          <w:rFonts w:eastAsia="Times New Roman"/>
          <w:b/>
          <w:bCs/>
          <w:color w:val="000000"/>
          <w:spacing w:val="5"/>
          <w:sz w:val="22"/>
          <w:szCs w:val="22"/>
        </w:rPr>
      </w:pPr>
      <w:r w:rsidRPr="00070A19">
        <w:rPr>
          <w:rFonts w:eastAsia="Times New Roman"/>
          <w:b/>
          <w:bCs/>
          <w:color w:val="000000"/>
          <w:spacing w:val="5"/>
          <w:sz w:val="22"/>
          <w:szCs w:val="22"/>
        </w:rPr>
        <w:t>By </w:t>
      </w:r>
      <w:hyperlink r:id="rId6" w:history="1">
        <w:r w:rsidRPr="00070A19">
          <w:rPr>
            <w:rFonts w:eastAsia="Times New Roman"/>
            <w:b/>
            <w:bCs/>
            <w:color w:val="909090"/>
            <w:spacing w:val="5"/>
            <w:sz w:val="22"/>
            <w:szCs w:val="22"/>
            <w:u w:val="single"/>
          </w:rPr>
          <w:t>The Editors Of Prevention</w:t>
        </w:r>
      </w:hyperlink>
    </w:p>
    <w:p w14:paraId="4322FE56" w14:textId="77777777" w:rsidR="00070A19" w:rsidRPr="00070A19" w:rsidRDefault="00070A19" w:rsidP="00070A19">
      <w:pPr>
        <w:shd w:val="clear" w:color="auto" w:fill="FFFFFF"/>
        <w:rPr>
          <w:rFonts w:eastAsia="Times New Roman"/>
          <w:color w:val="000000"/>
          <w:spacing w:val="5"/>
          <w:sz w:val="22"/>
          <w:szCs w:val="22"/>
        </w:rPr>
      </w:pPr>
      <w:r w:rsidRPr="00070A19">
        <w:rPr>
          <w:rFonts w:eastAsia="Times New Roman"/>
          <w:color w:val="000000"/>
          <w:spacing w:val="5"/>
          <w:sz w:val="22"/>
          <w:szCs w:val="22"/>
        </w:rPr>
        <w:t>Mar 8, 2012</w:t>
      </w:r>
    </w:p>
    <w:p w14:paraId="58EBEE2C"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color w:val="000000"/>
          <w:spacing w:val="5"/>
          <w:sz w:val="22"/>
          <w:szCs w:val="22"/>
        </w:rPr>
        <w:t>Regularly challenging yourself with brain games, mental exercises and new activities keeps your mind running on all four cylinders.</w:t>
      </w:r>
    </w:p>
    <w:p w14:paraId="6E1CF190"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color w:val="000000"/>
          <w:spacing w:val="5"/>
          <w:sz w:val="22"/>
          <w:szCs w:val="22"/>
        </w:rPr>
        <w:t>In fact, adults who frequently engage in mentally stimulating activities are 63% less likely to develop dementia than those who rarely do such activities, a </w:t>
      </w:r>
      <w:r w:rsidRPr="00070A19">
        <w:rPr>
          <w:rFonts w:eastAsia="Times New Roman"/>
          <w:i/>
          <w:iCs/>
          <w:color w:val="000000"/>
          <w:spacing w:val="5"/>
          <w:sz w:val="22"/>
          <w:szCs w:val="22"/>
        </w:rPr>
        <w:t>New England Journal of Medicine</w:t>
      </w:r>
      <w:r w:rsidRPr="00070A19">
        <w:rPr>
          <w:rFonts w:eastAsia="Times New Roman"/>
          <w:color w:val="000000"/>
          <w:spacing w:val="5"/>
          <w:sz w:val="22"/>
          <w:szCs w:val="22"/>
        </w:rPr>
        <w:t> study discovered. A University of Michigan study found that adults who play a mentally challenging brain game every day for several weeks can dramatically improve their memory.</w:t>
      </w:r>
    </w:p>
    <w:p w14:paraId="676C0A82"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color w:val="000000"/>
          <w:spacing w:val="5"/>
          <w:sz w:val="22"/>
          <w:szCs w:val="22"/>
        </w:rPr>
        <w:t>The week’s worth of games and activities that follow are designed to do just that. They were developed as part of a brain-boosting lifestyle program called the Brainpower Game Plan by by Cynthia Green, PhD, an assistant clinical professor in the department of psychiatry at Mount Sinai School of Medicine and founder of its renowned Memory Enhancement Program.</w:t>
      </w:r>
    </w:p>
    <w:p w14:paraId="36DC1E54"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color w:val="000000"/>
          <w:spacing w:val="5"/>
          <w:sz w:val="22"/>
          <w:szCs w:val="22"/>
        </w:rPr>
        <w:t>Playing these brain games, along with </w:t>
      </w:r>
      <w:hyperlink r:id="rId7" w:history="1">
        <w:r w:rsidRPr="00070A19">
          <w:rPr>
            <w:rFonts w:eastAsia="Times New Roman"/>
            <w:color w:val="909090"/>
            <w:spacing w:val="5"/>
            <w:sz w:val="22"/>
            <w:szCs w:val="22"/>
            <w:u w:val="single"/>
          </w:rPr>
          <w:t>eating these certain foods</w:t>
        </w:r>
      </w:hyperlink>
      <w:r w:rsidRPr="00070A19">
        <w:rPr>
          <w:rFonts w:eastAsia="Times New Roman"/>
          <w:color w:val="000000"/>
          <w:spacing w:val="5"/>
          <w:sz w:val="22"/>
          <w:szCs w:val="22"/>
        </w:rPr>
        <w:t> and exercising can boost your brain power by up to 78%!</w:t>
      </w:r>
    </w:p>
    <w:p w14:paraId="35845515"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1. Name your colors</w:t>
      </w:r>
      <w:r w:rsidRPr="00070A19">
        <w:rPr>
          <w:rFonts w:eastAsia="Times New Roman"/>
          <w:color w:val="000000"/>
          <w:spacing w:val="5"/>
          <w:sz w:val="22"/>
          <w:szCs w:val="22"/>
        </w:rPr>
        <w:br/>
        <w:t>Challenge your ability to stay focused: Quickly read out loud the color that each word is printed in—not the word itself. Try it repeatedly to see if you can improve.</w:t>
      </w:r>
    </w:p>
    <w:p w14:paraId="30C0D4EE" w14:textId="3194FE40" w:rsidR="00070A19" w:rsidRPr="00070A19" w:rsidRDefault="00070A19" w:rsidP="00070A19">
      <w:pPr>
        <w:shd w:val="clear" w:color="auto" w:fill="FFFFFF"/>
        <w:jc w:val="center"/>
        <w:rPr>
          <w:rFonts w:eastAsia="Times New Roman"/>
          <w:color w:val="000000"/>
          <w:spacing w:val="5"/>
          <w:sz w:val="22"/>
          <w:szCs w:val="22"/>
        </w:rPr>
      </w:pPr>
      <w:r w:rsidRPr="004C03AC">
        <w:rPr>
          <w:rFonts w:eastAsia="Times New Roman"/>
          <w:noProof/>
          <w:color w:val="000000"/>
          <w:spacing w:val="5"/>
          <w:sz w:val="22"/>
          <w:szCs w:val="22"/>
        </w:rPr>
        <w:drawing>
          <wp:inline distT="0" distB="0" distL="0" distR="0" wp14:anchorId="704BA024" wp14:editId="32604071">
            <wp:extent cx="3905250" cy="27432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43200"/>
                    </a:xfrm>
                    <a:prstGeom prst="rect">
                      <a:avLst/>
                    </a:prstGeom>
                    <a:noFill/>
                    <a:ln>
                      <a:noFill/>
                    </a:ln>
                  </pic:spPr>
                </pic:pic>
              </a:graphicData>
            </a:graphic>
          </wp:inline>
        </w:drawing>
      </w:r>
    </w:p>
    <w:p w14:paraId="70B5812E"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2. In just 7 words</w:t>
      </w:r>
      <w:r w:rsidRPr="00070A19">
        <w:rPr>
          <w:rFonts w:eastAsia="Times New Roman"/>
          <w:color w:val="000000"/>
          <w:spacing w:val="5"/>
          <w:sz w:val="22"/>
          <w:szCs w:val="22"/>
        </w:rPr>
        <w:br/>
        <w:t>Test your creativity with this verbal challenge. Write a short story—and use only seven words to tell your tale. (Bonus: This will boost your Twitter and Facebook storytelling skills).</w:t>
      </w:r>
    </w:p>
    <w:p w14:paraId="7E29AFED"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lastRenderedPageBreak/>
        <w:t>3. Opposite day</w:t>
      </w:r>
      <w:r w:rsidRPr="00070A19">
        <w:rPr>
          <w:rFonts w:eastAsia="Times New Roman"/>
          <w:color w:val="000000"/>
          <w:spacing w:val="5"/>
          <w:sz w:val="22"/>
          <w:szCs w:val="22"/>
        </w:rPr>
        <w:br/>
        <w:t>Build new connections between brain cells by putting your nondominant hand into action. If you’re a rightie, use your left hand to perform daily tasks such as brushing your teeth, combing your hair, and eating. Even try to write with your other hand, too. Does using your nondominant hand become any easier over the course of the day?</w:t>
      </w:r>
    </w:p>
    <w:p w14:paraId="204F1ECC"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4. Find it</w:t>
      </w:r>
      <w:r w:rsidRPr="00070A19">
        <w:rPr>
          <w:rFonts w:eastAsia="Times New Roman"/>
          <w:color w:val="000000"/>
          <w:spacing w:val="5"/>
          <w:sz w:val="22"/>
          <w:szCs w:val="22"/>
        </w:rPr>
        <w:br/>
        <w:t>This teaser will help hone your visual searching skills. The table features many different symbols. Using 30 seconds for each symbol, count how many times each of the three at the top appear in the table. (Answers below.)</w:t>
      </w:r>
    </w:p>
    <w:p w14:paraId="165D29CA" w14:textId="08962AB0" w:rsidR="00070A19" w:rsidRPr="00070A19" w:rsidRDefault="00070A19" w:rsidP="00070A19">
      <w:pPr>
        <w:shd w:val="clear" w:color="auto" w:fill="FFFFFF"/>
        <w:jc w:val="center"/>
        <w:rPr>
          <w:rFonts w:eastAsia="Times New Roman"/>
          <w:color w:val="000000"/>
          <w:spacing w:val="5"/>
          <w:sz w:val="22"/>
          <w:szCs w:val="22"/>
        </w:rPr>
      </w:pPr>
      <w:r w:rsidRPr="004C03AC">
        <w:rPr>
          <w:rFonts w:eastAsia="Times New Roman"/>
          <w:noProof/>
          <w:color w:val="000000"/>
          <w:spacing w:val="5"/>
          <w:sz w:val="22"/>
          <w:szCs w:val="22"/>
        </w:rPr>
        <w:drawing>
          <wp:inline distT="0" distB="0" distL="0" distR="0" wp14:anchorId="204B898E" wp14:editId="39A84CC6">
            <wp:extent cx="3905250" cy="27432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743200"/>
                    </a:xfrm>
                    <a:prstGeom prst="rect">
                      <a:avLst/>
                    </a:prstGeom>
                    <a:noFill/>
                    <a:ln>
                      <a:noFill/>
                    </a:ln>
                  </pic:spPr>
                </pic:pic>
              </a:graphicData>
            </a:graphic>
          </wp:inline>
        </w:drawing>
      </w:r>
    </w:p>
    <w:p w14:paraId="0F18EE45"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5. Get the picture</w:t>
      </w:r>
      <w:r w:rsidRPr="00070A19">
        <w:rPr>
          <w:rFonts w:eastAsia="Times New Roman"/>
          <w:color w:val="000000"/>
          <w:spacing w:val="5"/>
          <w:sz w:val="22"/>
          <w:szCs w:val="22"/>
        </w:rPr>
        <w:br/>
        <w:t>Give your visual attention span a workout. Study this photograph for 1 minute. Then minimize your web browser and write down as many of the items in the photo as you can remember. Try a second time, but before you start, take a deep breath and actively focus on the photo. Did you do any better the second time? (Answers below.)</w:t>
      </w:r>
    </w:p>
    <w:p w14:paraId="4A799645" w14:textId="566E5B13" w:rsidR="00070A19" w:rsidRPr="00070A19" w:rsidRDefault="00070A19" w:rsidP="00070A19">
      <w:pPr>
        <w:shd w:val="clear" w:color="auto" w:fill="FFFFFF"/>
        <w:jc w:val="center"/>
        <w:rPr>
          <w:rFonts w:eastAsia="Times New Roman"/>
          <w:color w:val="000000"/>
          <w:spacing w:val="5"/>
          <w:sz w:val="22"/>
          <w:szCs w:val="22"/>
        </w:rPr>
      </w:pPr>
      <w:r w:rsidRPr="004C03AC">
        <w:rPr>
          <w:rFonts w:eastAsia="Times New Roman"/>
          <w:noProof/>
          <w:color w:val="000000"/>
          <w:spacing w:val="5"/>
          <w:sz w:val="22"/>
          <w:szCs w:val="22"/>
        </w:rPr>
        <w:drawing>
          <wp:inline distT="0" distB="0" distL="0" distR="0" wp14:anchorId="0CE8C576" wp14:editId="2530A673">
            <wp:extent cx="3905250" cy="27432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743200"/>
                    </a:xfrm>
                    <a:prstGeom prst="rect">
                      <a:avLst/>
                    </a:prstGeom>
                    <a:noFill/>
                    <a:ln>
                      <a:noFill/>
                    </a:ln>
                  </pic:spPr>
                </pic:pic>
              </a:graphicData>
            </a:graphic>
          </wp:inline>
        </w:drawing>
      </w:r>
    </w:p>
    <w:p w14:paraId="3586C0AA"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lastRenderedPageBreak/>
        <w:t>6. Project notes</w:t>
      </w:r>
      <w:r w:rsidRPr="00070A19">
        <w:rPr>
          <w:rFonts w:eastAsia="Times New Roman"/>
          <w:color w:val="000000"/>
          <w:spacing w:val="5"/>
          <w:sz w:val="22"/>
          <w:szCs w:val="22"/>
        </w:rPr>
        <w:br/>
        <w:t>Get in the habit of taking notes whenever you receive critical information, such as from a doctor or lawyer, or in any circumstance that may cause stress and anxiety—which can cloud your memory. Note taking is always a good idea on the job, too. Try this: staple several sheets of blank paper to the inside of a project folder and use them to take notes during meetings to produce a clear record of what you discussed.</w:t>
      </w:r>
    </w:p>
    <w:p w14:paraId="0D9A0D4E"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7. Count backward</w:t>
      </w:r>
      <w:r w:rsidRPr="00070A19">
        <w:rPr>
          <w:rFonts w:eastAsia="Times New Roman"/>
          <w:color w:val="000000"/>
          <w:spacing w:val="5"/>
          <w:sz w:val="22"/>
          <w:szCs w:val="22"/>
        </w:rPr>
        <w:br/>
        <w:t>Here’s a brain game that will help keep your mind on track. Try these three exercises in simple subtraction:</w:t>
      </w:r>
    </w:p>
    <w:p w14:paraId="69FD311D" w14:textId="77777777" w:rsidR="00070A19" w:rsidRPr="00070A19" w:rsidRDefault="00070A19" w:rsidP="00070A19">
      <w:pPr>
        <w:numPr>
          <w:ilvl w:val="0"/>
          <w:numId w:val="1"/>
        </w:numPr>
        <w:shd w:val="clear" w:color="auto" w:fill="FFFFFF"/>
        <w:spacing w:before="100" w:beforeAutospacing="1" w:after="100" w:afterAutospacing="1"/>
        <w:ind w:left="714"/>
        <w:rPr>
          <w:rFonts w:eastAsia="Times New Roman"/>
          <w:color w:val="000000"/>
          <w:spacing w:val="5"/>
          <w:sz w:val="22"/>
          <w:szCs w:val="22"/>
        </w:rPr>
      </w:pPr>
      <w:r w:rsidRPr="00070A19">
        <w:rPr>
          <w:rFonts w:eastAsia="Times New Roman"/>
          <w:color w:val="000000"/>
          <w:spacing w:val="5"/>
          <w:sz w:val="22"/>
          <w:szCs w:val="22"/>
        </w:rPr>
        <w:t>Beginning at 200, count backward, subtracting 5 each time (200, 195, 190...).</w:t>
      </w:r>
    </w:p>
    <w:p w14:paraId="31522630" w14:textId="77777777" w:rsidR="00070A19" w:rsidRPr="00070A19" w:rsidRDefault="00070A19" w:rsidP="00070A19">
      <w:pPr>
        <w:numPr>
          <w:ilvl w:val="0"/>
          <w:numId w:val="1"/>
        </w:numPr>
        <w:shd w:val="clear" w:color="auto" w:fill="FFFFFF"/>
        <w:spacing w:before="100" w:beforeAutospacing="1" w:after="100" w:afterAutospacing="1"/>
        <w:ind w:left="714"/>
        <w:rPr>
          <w:rFonts w:eastAsia="Times New Roman"/>
          <w:color w:val="000000"/>
          <w:spacing w:val="5"/>
          <w:sz w:val="22"/>
          <w:szCs w:val="22"/>
        </w:rPr>
      </w:pPr>
      <w:r w:rsidRPr="00070A19">
        <w:rPr>
          <w:rFonts w:eastAsia="Times New Roman"/>
          <w:color w:val="000000"/>
          <w:spacing w:val="5"/>
          <w:sz w:val="22"/>
          <w:szCs w:val="22"/>
        </w:rPr>
        <w:t>Beginning at 150, count backward, subtracting 7 each time (150, 143, 136...).</w:t>
      </w:r>
    </w:p>
    <w:p w14:paraId="378FD48F" w14:textId="77777777" w:rsidR="00070A19" w:rsidRPr="00070A19" w:rsidRDefault="00070A19" w:rsidP="00070A19">
      <w:pPr>
        <w:numPr>
          <w:ilvl w:val="0"/>
          <w:numId w:val="1"/>
        </w:numPr>
        <w:shd w:val="clear" w:color="auto" w:fill="FFFFFF"/>
        <w:spacing w:before="100" w:beforeAutospacing="1" w:after="100" w:afterAutospacing="1"/>
        <w:ind w:left="714"/>
        <w:rPr>
          <w:rFonts w:eastAsia="Times New Roman"/>
          <w:color w:val="000000"/>
          <w:spacing w:val="5"/>
          <w:sz w:val="22"/>
          <w:szCs w:val="22"/>
        </w:rPr>
      </w:pPr>
      <w:r w:rsidRPr="00070A19">
        <w:rPr>
          <w:rFonts w:eastAsia="Times New Roman"/>
          <w:color w:val="000000"/>
          <w:spacing w:val="5"/>
          <w:sz w:val="22"/>
          <w:szCs w:val="22"/>
        </w:rPr>
        <w:t>Beginning at 100, count backward, subtracting 3 each time (100, 97, 94...).</w:t>
      </w:r>
    </w:p>
    <w:p w14:paraId="23DA329D"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Answer key</w:t>
      </w:r>
      <w:r w:rsidRPr="00070A19">
        <w:rPr>
          <w:rFonts w:eastAsia="Times New Roman"/>
          <w:color w:val="000000"/>
          <w:spacing w:val="5"/>
          <w:sz w:val="22"/>
          <w:szCs w:val="22"/>
        </w:rPr>
        <w:br/>
      </w:r>
      <w:r w:rsidRPr="00070A19">
        <w:rPr>
          <w:rFonts w:eastAsia="Times New Roman"/>
          <w:b/>
          <w:bCs/>
          <w:color w:val="000000"/>
          <w:spacing w:val="5"/>
          <w:sz w:val="22"/>
          <w:szCs w:val="22"/>
        </w:rPr>
        <w:t>Find It game:</w:t>
      </w:r>
      <w:r w:rsidRPr="00070A19">
        <w:rPr>
          <w:rFonts w:eastAsia="Times New Roman"/>
          <w:color w:val="000000"/>
          <w:spacing w:val="5"/>
          <w:sz w:val="22"/>
          <w:szCs w:val="22"/>
        </w:rPr>
        <w:t> Number of times the symbols appeared, starting from left: 14, 18, 14</w:t>
      </w:r>
    </w:p>
    <w:p w14:paraId="04D48183" w14:textId="77777777" w:rsidR="00070A19" w:rsidRPr="00070A19" w:rsidRDefault="00070A19" w:rsidP="00070A19">
      <w:pPr>
        <w:shd w:val="clear" w:color="auto" w:fill="FFFFFF"/>
        <w:spacing w:before="100" w:beforeAutospacing="1" w:after="100" w:afterAutospacing="1"/>
        <w:rPr>
          <w:rFonts w:eastAsia="Times New Roman"/>
          <w:color w:val="000000"/>
          <w:spacing w:val="5"/>
          <w:sz w:val="22"/>
          <w:szCs w:val="22"/>
        </w:rPr>
      </w:pPr>
      <w:r w:rsidRPr="00070A19">
        <w:rPr>
          <w:rFonts w:eastAsia="Times New Roman"/>
          <w:b/>
          <w:bCs/>
          <w:color w:val="000000"/>
          <w:spacing w:val="5"/>
          <w:sz w:val="22"/>
          <w:szCs w:val="22"/>
        </w:rPr>
        <w:t>Get the picture:</w:t>
      </w:r>
      <w:r w:rsidRPr="00070A19">
        <w:rPr>
          <w:rFonts w:eastAsia="Times New Roman"/>
          <w:color w:val="000000"/>
          <w:spacing w:val="5"/>
          <w:sz w:val="22"/>
          <w:szCs w:val="22"/>
        </w:rPr>
        <w:t> Large window, blinds on large window, white sofa, white ottoman, 2 striped pillows, gold pillow, burgundy pillow, floor plant, coffee table, lamp on coffee table, wooden object on coffee table, small violin, 3 small windows, bookshelf, books, globe, small plant on bookshelf, small lamp on bookshelf, vase on bookshelf, bowl on bookshelf, beige carpet</w:t>
      </w:r>
    </w:p>
    <w:p w14:paraId="18DAA788" w14:textId="10CE47ED" w:rsidR="004C03AC" w:rsidRPr="004C03AC" w:rsidRDefault="004C03AC">
      <w:pPr>
        <w:rPr>
          <w:sz w:val="22"/>
          <w:szCs w:val="22"/>
        </w:rPr>
      </w:pPr>
      <w:r w:rsidRPr="004C03AC">
        <w:rPr>
          <w:sz w:val="22"/>
          <w:szCs w:val="22"/>
        </w:rPr>
        <w:br w:type="page"/>
      </w:r>
    </w:p>
    <w:p w14:paraId="1A0369A3" w14:textId="77777777" w:rsidR="004C03AC" w:rsidRPr="004C03AC" w:rsidRDefault="004C03AC" w:rsidP="004C03AC">
      <w:pPr>
        <w:pStyle w:val="Heading1"/>
        <w:shd w:val="clear" w:color="auto" w:fill="FFFFFF"/>
        <w:spacing w:before="0" w:beforeAutospacing="0" w:after="92" w:afterAutospacing="0"/>
        <w:rPr>
          <w:b w:val="0"/>
          <w:bCs w:val="0"/>
          <w:color w:val="244873"/>
          <w:spacing w:val="-5"/>
          <w:sz w:val="22"/>
          <w:szCs w:val="22"/>
        </w:rPr>
      </w:pPr>
      <w:r w:rsidRPr="004C03AC">
        <w:rPr>
          <w:b w:val="0"/>
          <w:bCs w:val="0"/>
          <w:color w:val="244873"/>
          <w:spacing w:val="-5"/>
          <w:sz w:val="22"/>
          <w:szCs w:val="22"/>
        </w:rPr>
        <w:lastRenderedPageBreak/>
        <w:t>Lumosity to Pay $2 Million to Settle FTC Deceptive Advertising Charges for Its “Brain Training” Program</w:t>
      </w:r>
    </w:p>
    <w:p w14:paraId="0FF84B50" w14:textId="77777777" w:rsidR="004C03AC" w:rsidRPr="004C03AC" w:rsidRDefault="004C03AC" w:rsidP="004C03AC">
      <w:pPr>
        <w:pStyle w:val="Heading3"/>
        <w:spacing w:before="0" w:after="36"/>
        <w:rPr>
          <w:rFonts w:ascii="Times New Roman" w:hAnsi="Times New Roman" w:cs="Times New Roman"/>
          <w:color w:val="244873"/>
          <w:sz w:val="22"/>
          <w:szCs w:val="22"/>
        </w:rPr>
      </w:pPr>
      <w:r w:rsidRPr="004C03AC">
        <w:rPr>
          <w:rFonts w:ascii="Times New Roman" w:hAnsi="Times New Roman" w:cs="Times New Roman"/>
          <w:color w:val="244873"/>
          <w:sz w:val="22"/>
          <w:szCs w:val="22"/>
        </w:rPr>
        <w:t>Company Claimed Program Would Sharpen Performance in Everyday Life and Protect Against Cognitive Decline</w:t>
      </w:r>
      <w:hyperlink r:id="rId11" w:tooltip="LinkedIn" w:history="1">
        <w:r w:rsidRPr="004C03AC">
          <w:rPr>
            <w:rStyle w:val="Hyperlink"/>
            <w:rFonts w:ascii="Times New Roman" w:hAnsi="Times New Roman" w:cs="Times New Roman"/>
            <w:color w:val="FFFFFF"/>
            <w:sz w:val="22"/>
            <w:szCs w:val="22"/>
          </w:rPr>
          <w:t>Linked-In</w:t>
        </w:r>
      </w:hyperlink>
    </w:p>
    <w:p w14:paraId="436DFF46" w14:textId="77777777" w:rsidR="004C03AC" w:rsidRPr="004C03AC" w:rsidRDefault="004C03AC" w:rsidP="004C03AC">
      <w:pPr>
        <w:rPr>
          <w:sz w:val="22"/>
          <w:szCs w:val="22"/>
        </w:rPr>
      </w:pPr>
      <w:r w:rsidRPr="004C03AC">
        <w:rPr>
          <w:rStyle w:val="term-tid-5229"/>
          <w:caps/>
          <w:color w:val="FFFFFF"/>
          <w:sz w:val="22"/>
          <w:szCs w:val="22"/>
          <w:shd w:val="clear" w:color="auto" w:fill="417AA6"/>
        </w:rPr>
        <w:t>FOR RELEASE</w:t>
      </w:r>
    </w:p>
    <w:p w14:paraId="6DE6F7A5" w14:textId="77777777" w:rsidR="004C03AC" w:rsidRPr="004C03AC" w:rsidRDefault="004C03AC" w:rsidP="004C03AC">
      <w:pPr>
        <w:rPr>
          <w:sz w:val="22"/>
          <w:szCs w:val="22"/>
        </w:rPr>
      </w:pPr>
      <w:r w:rsidRPr="004C03AC">
        <w:rPr>
          <w:rStyle w:val="date"/>
          <w:sz w:val="22"/>
          <w:szCs w:val="22"/>
        </w:rPr>
        <w:t>January 5, 2016</w:t>
      </w:r>
    </w:p>
    <w:p w14:paraId="50B75F44" w14:textId="77777777" w:rsidR="004C03AC" w:rsidRPr="004C03AC" w:rsidRDefault="004C03AC" w:rsidP="004C03AC">
      <w:pPr>
        <w:rPr>
          <w:sz w:val="22"/>
          <w:szCs w:val="22"/>
        </w:rPr>
      </w:pPr>
    </w:p>
    <w:p w14:paraId="25CE83F4"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7EA8EFB8" w14:textId="77777777" w:rsidR="004C03AC" w:rsidRPr="004C03AC" w:rsidRDefault="004C03AC" w:rsidP="004C03AC">
      <w:pPr>
        <w:pStyle w:val="NormalWeb"/>
        <w:spacing w:before="0" w:beforeAutospacing="0" w:after="240" w:afterAutospacing="0"/>
        <w:rPr>
          <w:sz w:val="22"/>
          <w:szCs w:val="22"/>
        </w:rPr>
      </w:pPr>
      <w:r w:rsidRPr="004C03AC">
        <w:rPr>
          <w:sz w:val="22"/>
          <w:szCs w:val="22"/>
        </w:rPr>
        <w:t>As part of the </w:t>
      </w:r>
      <w:hyperlink r:id="rId12" w:history="1">
        <w:r w:rsidRPr="004C03AC">
          <w:rPr>
            <w:rStyle w:val="Hyperlink"/>
            <w:color w:val="6E7822"/>
            <w:sz w:val="22"/>
            <w:szCs w:val="22"/>
          </w:rPr>
          <w:t>settlement, Lumos Labs, the company behind Lumosity, will pay $2 million in redress</w:t>
        </w:r>
      </w:hyperlink>
      <w:r w:rsidRPr="004C03AC">
        <w:rPr>
          <w:rStyle w:val="Strong"/>
          <w:sz w:val="22"/>
          <w:szCs w:val="22"/>
        </w:rPr>
        <w:t> </w:t>
      </w:r>
      <w:r w:rsidRPr="004C03AC">
        <w:rPr>
          <w:sz w:val="22"/>
          <w:szCs w:val="22"/>
        </w:rPr>
        <w:t>and will notify subscribers of the FTC action and provide them with an easy way to cancel their auto-renewal to avoid future billing.</w:t>
      </w:r>
    </w:p>
    <w:p w14:paraId="32015C02" w14:textId="77777777" w:rsidR="004C03AC" w:rsidRPr="004C03AC" w:rsidRDefault="004C03AC" w:rsidP="004C03AC">
      <w:pPr>
        <w:pStyle w:val="NormalWeb"/>
        <w:spacing w:before="0" w:beforeAutospacing="0" w:after="240" w:afterAutospacing="0"/>
        <w:rPr>
          <w:sz w:val="22"/>
          <w:szCs w:val="22"/>
        </w:rPr>
      </w:pPr>
      <w:r w:rsidRPr="004C03AC">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79337D6F" w14:textId="77777777" w:rsidR="004C03AC" w:rsidRPr="004C03AC" w:rsidRDefault="004C03AC" w:rsidP="004C03AC">
      <w:pPr>
        <w:pStyle w:val="NormalWeb"/>
        <w:spacing w:before="0" w:beforeAutospacing="0" w:after="240" w:afterAutospacing="0"/>
        <w:rPr>
          <w:sz w:val="22"/>
          <w:szCs w:val="22"/>
        </w:rPr>
      </w:pPr>
      <w:r w:rsidRPr="004C03AC">
        <w:rPr>
          <w:sz w:val="22"/>
          <w:szCs w:val="22"/>
        </w:rPr>
        <w:t>According to the </w:t>
      </w:r>
      <w:hyperlink r:id="rId13" w:history="1">
        <w:r w:rsidRPr="004C03AC">
          <w:rPr>
            <w:rStyle w:val="Hyperlink"/>
            <w:color w:val="6E7822"/>
            <w:sz w:val="22"/>
            <w:szCs w:val="22"/>
          </w:rPr>
          <w:t>FTC’s complaint</w:t>
        </w:r>
      </w:hyperlink>
      <w:r w:rsidRPr="004C03AC">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475FFAD1" w14:textId="77777777" w:rsidR="004C03AC" w:rsidRPr="004C03AC" w:rsidRDefault="004C03AC" w:rsidP="004C03AC">
      <w:pPr>
        <w:pStyle w:val="NormalWeb"/>
        <w:spacing w:before="0" w:beforeAutospacing="0" w:after="240" w:afterAutospacing="0"/>
        <w:rPr>
          <w:sz w:val="22"/>
          <w:szCs w:val="22"/>
        </w:rPr>
      </w:pPr>
      <w:r w:rsidRPr="004C03AC">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4826088E"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76230740"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38DA1005"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20A56DB4"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056E5CB9"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Commission vote authorizing the filing of the complaint and proposed stipulated order was 4-0, with </w:t>
      </w:r>
      <w:hyperlink r:id="rId14" w:history="1">
        <w:r w:rsidRPr="004C03AC">
          <w:rPr>
            <w:rStyle w:val="Hyperlink"/>
            <w:color w:val="6E7822"/>
            <w:sz w:val="22"/>
            <w:szCs w:val="22"/>
          </w:rPr>
          <w:t>Commissioner Julie Brill issuing a separate concurring statement</w:t>
        </w:r>
      </w:hyperlink>
      <w:r w:rsidRPr="004C03AC">
        <w:rPr>
          <w:sz w:val="22"/>
          <w:szCs w:val="22"/>
        </w:rPr>
        <w:t>. The FTC filed the complaint and proposed order in the U.S. District Court for the Northern District of California, San Francisco Division.</w:t>
      </w:r>
    </w:p>
    <w:p w14:paraId="75E7DFDF" w14:textId="77777777" w:rsidR="004C03AC" w:rsidRPr="004C03AC" w:rsidRDefault="004C03AC" w:rsidP="004C03AC">
      <w:pPr>
        <w:pStyle w:val="NormalWeb"/>
        <w:spacing w:before="0" w:beforeAutospacing="0" w:after="240" w:afterAutospacing="0"/>
        <w:rPr>
          <w:sz w:val="22"/>
          <w:szCs w:val="22"/>
        </w:rPr>
      </w:pPr>
      <w:r w:rsidRPr="004C03AC">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5B8476D4" w14:textId="77777777" w:rsidR="004C03AC" w:rsidRPr="004C03AC" w:rsidRDefault="004C03AC" w:rsidP="004C03AC">
      <w:pPr>
        <w:pStyle w:val="NormalWeb"/>
        <w:spacing w:before="0" w:beforeAutospacing="0" w:after="240" w:afterAutospacing="0"/>
        <w:rPr>
          <w:sz w:val="22"/>
          <w:szCs w:val="22"/>
        </w:rPr>
      </w:pPr>
      <w:r w:rsidRPr="004C03AC">
        <w:rPr>
          <w:rStyle w:val="Strong"/>
          <w:sz w:val="22"/>
          <w:szCs w:val="22"/>
        </w:rPr>
        <w:t>NOTE: </w:t>
      </w:r>
      <w:r w:rsidRPr="004C03AC">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03CF96EF" w14:textId="77777777" w:rsidR="004C03AC" w:rsidRPr="004C03AC" w:rsidRDefault="004C03AC" w:rsidP="004C03AC">
      <w:pPr>
        <w:pStyle w:val="NormalWeb"/>
        <w:spacing w:before="0" w:beforeAutospacing="0" w:after="240" w:afterAutospacing="0"/>
        <w:rPr>
          <w:sz w:val="22"/>
          <w:szCs w:val="22"/>
        </w:rPr>
      </w:pPr>
      <w:r w:rsidRPr="004C03AC">
        <w:rPr>
          <w:sz w:val="22"/>
          <w:szCs w:val="22"/>
        </w:rPr>
        <w:t>The Federal Trade Commission works to </w:t>
      </w:r>
      <w:hyperlink r:id="rId15" w:history="1">
        <w:r w:rsidRPr="004C03AC">
          <w:rPr>
            <w:rStyle w:val="Hyperlink"/>
            <w:color w:val="6E7822"/>
            <w:sz w:val="22"/>
            <w:szCs w:val="22"/>
          </w:rPr>
          <w:t>promote competition</w:t>
        </w:r>
      </w:hyperlink>
      <w:r w:rsidRPr="004C03AC">
        <w:rPr>
          <w:sz w:val="22"/>
          <w:szCs w:val="22"/>
        </w:rPr>
        <w:t>, and protect and educate consumers. You can learn more about </w:t>
      </w:r>
      <w:hyperlink r:id="rId16" w:history="1">
        <w:r w:rsidRPr="004C03AC">
          <w:rPr>
            <w:rStyle w:val="Hyperlink"/>
            <w:color w:val="6E7822"/>
            <w:sz w:val="22"/>
            <w:szCs w:val="22"/>
          </w:rPr>
          <w:t>how competition benefits consumers</w:t>
        </w:r>
      </w:hyperlink>
      <w:r w:rsidRPr="004C03AC">
        <w:rPr>
          <w:sz w:val="22"/>
          <w:szCs w:val="22"/>
        </w:rPr>
        <w:t> or </w:t>
      </w:r>
      <w:hyperlink r:id="rId17" w:history="1">
        <w:r w:rsidRPr="004C03AC">
          <w:rPr>
            <w:rStyle w:val="Hyperlink"/>
            <w:color w:val="6E7822"/>
            <w:sz w:val="22"/>
            <w:szCs w:val="22"/>
          </w:rPr>
          <w:t>file an antitrust complaint</w:t>
        </w:r>
      </w:hyperlink>
      <w:r w:rsidRPr="004C03AC">
        <w:rPr>
          <w:sz w:val="22"/>
          <w:szCs w:val="22"/>
        </w:rPr>
        <w:t>. Like the FTC on </w:t>
      </w:r>
      <w:hyperlink r:id="rId18" w:history="1">
        <w:r w:rsidRPr="004C03AC">
          <w:rPr>
            <w:rStyle w:val="Hyperlink"/>
            <w:color w:val="6E7822"/>
            <w:sz w:val="22"/>
            <w:szCs w:val="22"/>
          </w:rPr>
          <w:t>Facebook</w:t>
        </w:r>
      </w:hyperlink>
      <w:r w:rsidRPr="004C03AC">
        <w:rPr>
          <w:sz w:val="22"/>
          <w:szCs w:val="22"/>
        </w:rPr>
        <w:t>, follow us on </w:t>
      </w:r>
      <w:hyperlink r:id="rId19" w:history="1">
        <w:r w:rsidRPr="004C03AC">
          <w:rPr>
            <w:rStyle w:val="Hyperlink"/>
            <w:color w:val="6E7822"/>
            <w:sz w:val="22"/>
            <w:szCs w:val="22"/>
          </w:rPr>
          <w:t>Twitter</w:t>
        </w:r>
      </w:hyperlink>
      <w:r w:rsidRPr="004C03AC">
        <w:rPr>
          <w:sz w:val="22"/>
          <w:szCs w:val="22"/>
        </w:rPr>
        <w:t>, read our </w:t>
      </w:r>
      <w:hyperlink r:id="rId20" w:history="1">
        <w:r w:rsidRPr="004C03AC">
          <w:rPr>
            <w:rStyle w:val="Hyperlink"/>
            <w:color w:val="6E7822"/>
            <w:sz w:val="22"/>
            <w:szCs w:val="22"/>
          </w:rPr>
          <w:t>blogs</w:t>
        </w:r>
      </w:hyperlink>
      <w:r w:rsidRPr="004C03AC">
        <w:rPr>
          <w:sz w:val="22"/>
          <w:szCs w:val="22"/>
        </w:rPr>
        <w:t> and </w:t>
      </w:r>
      <w:hyperlink r:id="rId21" w:history="1">
        <w:r w:rsidRPr="004C03AC">
          <w:rPr>
            <w:rStyle w:val="Hyperlink"/>
            <w:color w:val="6E7822"/>
            <w:sz w:val="22"/>
            <w:szCs w:val="22"/>
          </w:rPr>
          <w:t>subscribe to press releases</w:t>
        </w:r>
      </w:hyperlink>
      <w:r w:rsidRPr="004C03AC">
        <w:rPr>
          <w:sz w:val="22"/>
          <w:szCs w:val="22"/>
        </w:rPr>
        <w:t> for the latest FTC news and resources.</w:t>
      </w:r>
    </w:p>
    <w:p w14:paraId="4DDE0239" w14:textId="77777777" w:rsidR="004C03AC" w:rsidRPr="00CC15F4" w:rsidRDefault="004C03AC" w:rsidP="004C03AC">
      <w:pPr>
        <w:rPr>
          <w:rFonts w:eastAsia="Times New Roman"/>
          <w:color w:val="333333"/>
          <w:sz w:val="22"/>
          <w:szCs w:val="22"/>
        </w:rPr>
      </w:pPr>
      <w:hyperlink r:id="rId22" w:history="1">
        <w:r w:rsidRPr="004C03AC">
          <w:rPr>
            <w:rStyle w:val="Hyperlink"/>
            <w:sz w:val="22"/>
            <w:szCs w:val="22"/>
          </w:rPr>
          <w:t>https://www.ftc.gov/news-events/press-releases/2016/01/lumosity-pay-2-million-settle-ftc-deceptive-advertising-charges</w:t>
        </w:r>
      </w:hyperlink>
    </w:p>
    <w:p w14:paraId="590835C6" w14:textId="77777777" w:rsidR="004C03AC" w:rsidRPr="004C03AC" w:rsidRDefault="004C03AC" w:rsidP="004C03AC">
      <w:pPr>
        <w:rPr>
          <w:sz w:val="22"/>
          <w:szCs w:val="22"/>
        </w:rPr>
      </w:pPr>
    </w:p>
    <w:p w14:paraId="54AA080B" w14:textId="5CA90505" w:rsidR="004C03AC" w:rsidRDefault="004C03AC">
      <w:pPr>
        <w:rPr>
          <w:sz w:val="22"/>
          <w:szCs w:val="22"/>
        </w:rPr>
      </w:pPr>
      <w:r>
        <w:rPr>
          <w:sz w:val="22"/>
          <w:szCs w:val="22"/>
        </w:rPr>
        <w:br w:type="page"/>
      </w:r>
    </w:p>
    <w:p w14:paraId="4CA0A92D" w14:textId="77777777" w:rsidR="004C03AC" w:rsidRPr="00D1012F" w:rsidRDefault="004C03AC" w:rsidP="004C03AC">
      <w:pPr>
        <w:rPr>
          <w:sz w:val="22"/>
          <w:szCs w:val="22"/>
        </w:rPr>
      </w:pPr>
      <w:hyperlink r:id="rId23" w:history="1">
        <w:r w:rsidRPr="00D1012F">
          <w:rPr>
            <w:rStyle w:val="Hyperlink"/>
            <w:sz w:val="22"/>
            <w:szCs w:val="22"/>
          </w:rPr>
          <w:t>http://longevity.stanford.edu/a-consensus-on-the-brain-training-industry-from-the-scientific-community-2/</w:t>
        </w:r>
      </w:hyperlink>
    </w:p>
    <w:p w14:paraId="4A8701D5" w14:textId="77777777" w:rsidR="004C03AC" w:rsidRPr="00D1012F" w:rsidRDefault="004C03AC" w:rsidP="004C03AC">
      <w:pPr>
        <w:rPr>
          <w:sz w:val="22"/>
          <w:szCs w:val="22"/>
        </w:rPr>
      </w:pPr>
    </w:p>
    <w:p w14:paraId="385E2418" w14:textId="77777777" w:rsidR="004C03AC" w:rsidRPr="00D1012F" w:rsidRDefault="004C03AC" w:rsidP="004C03AC">
      <w:pPr>
        <w:rPr>
          <w:sz w:val="22"/>
          <w:szCs w:val="22"/>
        </w:rPr>
      </w:pPr>
      <w:r w:rsidRPr="00D1012F">
        <w:rPr>
          <w:sz w:val="22"/>
          <w:szCs w:val="22"/>
        </w:rPr>
        <w:t>(Other links not shown, but available here:</w:t>
      </w:r>
    </w:p>
    <w:p w14:paraId="0E9B6CC9" w14:textId="77777777" w:rsidR="004C03AC" w:rsidRPr="00D1012F" w:rsidRDefault="004C03AC" w:rsidP="004C03AC">
      <w:pPr>
        <w:rPr>
          <w:sz w:val="22"/>
          <w:szCs w:val="22"/>
        </w:rPr>
      </w:pPr>
      <w:hyperlink r:id="rId24" w:history="1">
        <w:r w:rsidRPr="00D1012F">
          <w:rPr>
            <w:rStyle w:val="Hyperlink"/>
            <w:sz w:val="22"/>
            <w:szCs w:val="22"/>
          </w:rPr>
          <w:t>https://www.theatlantic.com/science/archive/2016/10/the-weak-evidence-behind-brain-training-games/502559/</w:t>
        </w:r>
      </w:hyperlink>
    </w:p>
    <w:p w14:paraId="7BA91A1B" w14:textId="77777777" w:rsidR="004C03AC" w:rsidRPr="00D1012F" w:rsidRDefault="004C03AC" w:rsidP="004C03AC">
      <w:pPr>
        <w:rPr>
          <w:sz w:val="22"/>
          <w:szCs w:val="22"/>
        </w:rPr>
      </w:pPr>
      <w:hyperlink r:id="rId25" w:history="1">
        <w:r w:rsidRPr="00D1012F">
          <w:rPr>
            <w:rStyle w:val="Hyperlink"/>
            <w:sz w:val="22"/>
            <w:szCs w:val="22"/>
          </w:rPr>
          <w:t>https://www.scientificamerican.com/article/brain-training-doesn-t-make-you-smarter/</w:t>
        </w:r>
      </w:hyperlink>
    </w:p>
    <w:p w14:paraId="215B7BC4" w14:textId="77777777" w:rsidR="004C03AC" w:rsidRPr="00D1012F" w:rsidRDefault="004C03AC" w:rsidP="004C03AC">
      <w:pPr>
        <w:rPr>
          <w:sz w:val="22"/>
          <w:szCs w:val="22"/>
        </w:rPr>
      </w:pPr>
      <w:hyperlink r:id="rId26" w:history="1">
        <w:r w:rsidRPr="00D1012F">
          <w:rPr>
            <w:rStyle w:val="Hyperlink"/>
            <w:sz w:val="22"/>
            <w:szCs w:val="22"/>
          </w:rPr>
          <w:t>https://www.sciencedaily.com/releases/2017/04/170417095528.htm</w:t>
        </w:r>
      </w:hyperlink>
    </w:p>
    <w:p w14:paraId="4DA7CEB7" w14:textId="77777777" w:rsidR="004C03AC" w:rsidRPr="00D1012F" w:rsidRDefault="004C03AC" w:rsidP="004C03AC">
      <w:pPr>
        <w:rPr>
          <w:sz w:val="22"/>
          <w:szCs w:val="22"/>
        </w:rPr>
      </w:pPr>
      <w:hyperlink r:id="rId27" w:history="1">
        <w:r w:rsidRPr="00D1012F">
          <w:rPr>
            <w:rStyle w:val="Hyperlink"/>
            <w:sz w:val="22"/>
            <w:szCs w:val="22"/>
          </w:rPr>
          <w:t>https://www.technologyreview.com/s/602540/brain-training-apps-wont-make-you-smarter/</w:t>
        </w:r>
      </w:hyperlink>
    </w:p>
    <w:p w14:paraId="39B22B61" w14:textId="77777777" w:rsidR="004C03AC" w:rsidRPr="00D1012F" w:rsidRDefault="004C03AC" w:rsidP="004C03AC">
      <w:pPr>
        <w:rPr>
          <w:sz w:val="22"/>
          <w:szCs w:val="22"/>
        </w:rPr>
      </w:pPr>
      <w:hyperlink r:id="rId28" w:history="1">
        <w:r w:rsidRPr="00D1012F">
          <w:rPr>
            <w:rStyle w:val="Hyperlink"/>
            <w:sz w:val="22"/>
            <w:szCs w:val="22"/>
          </w:rPr>
          <w:t>https://www.cnn.com/2016/10/20/health/brain-training-exercises/index.html</w:t>
        </w:r>
      </w:hyperlink>
    </w:p>
    <w:p w14:paraId="03370D78" w14:textId="77777777" w:rsidR="004C03AC" w:rsidRPr="00D1012F" w:rsidRDefault="004C03AC" w:rsidP="004C03AC">
      <w:pPr>
        <w:rPr>
          <w:sz w:val="22"/>
          <w:szCs w:val="22"/>
        </w:rPr>
      </w:pPr>
      <w:hyperlink r:id="rId29" w:history="1">
        <w:r w:rsidRPr="00D1012F">
          <w:rPr>
            <w:rStyle w:val="Hyperlink"/>
            <w:sz w:val="22"/>
            <w:szCs w:val="22"/>
          </w:rPr>
          <w:t>https://www.learningrx.com/brain-training-101</w:t>
        </w:r>
      </w:hyperlink>
    </w:p>
    <w:p w14:paraId="720C7747" w14:textId="77777777" w:rsidR="004C03AC" w:rsidRPr="00D1012F" w:rsidRDefault="004C03AC" w:rsidP="004C03AC">
      <w:pPr>
        <w:rPr>
          <w:sz w:val="22"/>
          <w:szCs w:val="22"/>
        </w:rPr>
      </w:pPr>
      <w:hyperlink r:id="rId30" w:history="1">
        <w:r w:rsidRPr="00D1012F">
          <w:rPr>
            <w:rStyle w:val="Hyperlink"/>
            <w:sz w:val="22"/>
            <w:szCs w:val="22"/>
          </w:rPr>
          <w:t>http://www.latimes.com/business/hiltzik/la-fi-mh-if-you-weren-t-smart-enough-20160106-column.html</w:t>
        </w:r>
      </w:hyperlink>
      <w:r w:rsidRPr="00D1012F">
        <w:rPr>
          <w:sz w:val="22"/>
          <w:szCs w:val="22"/>
        </w:rPr>
        <w:t xml:space="preserve"> )</w:t>
      </w:r>
    </w:p>
    <w:p w14:paraId="6348D1F5" w14:textId="77777777" w:rsidR="004C03AC" w:rsidRPr="00D1012F" w:rsidRDefault="004C03AC" w:rsidP="004C03AC">
      <w:pPr>
        <w:rPr>
          <w:sz w:val="22"/>
          <w:szCs w:val="22"/>
        </w:rPr>
      </w:pPr>
    </w:p>
    <w:p w14:paraId="7BAB9BD0" w14:textId="77777777" w:rsidR="004C03AC" w:rsidRPr="00D1012F" w:rsidRDefault="004C03AC" w:rsidP="004C03AC">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0185656A"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759047E1"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3B2281AB"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35D556F6"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5475ED0A"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gains restricted to specific skills or does general cognitive aptitude improve? How does </w:t>
      </w:r>
      <w:r w:rsidRPr="00D1012F">
        <w:rPr>
          <w:rFonts w:eastAsia="Times New Roman"/>
          <w:color w:val="666666"/>
          <w:sz w:val="22"/>
          <w:szCs w:val="22"/>
        </w:rPr>
        <w:lastRenderedPageBreak/>
        <w:t>playing games compare with other proposed means of mitigating age-related declines, such as physical activity and exercise, meditation, or social engagement?</w:t>
      </w:r>
    </w:p>
    <w:p w14:paraId="4B137206"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440A1E68"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533D4788"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 xml:space="preserve">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w:t>
      </w:r>
      <w:r w:rsidRPr="00D1012F">
        <w:rPr>
          <w:rFonts w:eastAsia="Times New Roman"/>
          <w:color w:val="666666"/>
          <w:sz w:val="22"/>
          <w:szCs w:val="22"/>
        </w:rPr>
        <w:lastRenderedPageBreak/>
        <w:t>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According to 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70EE1EBF"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p>
    <w:p w14:paraId="7A1E6644"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7B4639A8"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501EE515"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w:t>
      </w:r>
      <w:r w:rsidRPr="00D1012F">
        <w:rPr>
          <w:rFonts w:eastAsia="Times New Roman"/>
          <w:color w:val="666666"/>
          <w:sz w:val="22"/>
          <w:szCs w:val="22"/>
        </w:rPr>
        <w:lastRenderedPageBreak/>
        <w:t>haunt individual studies do not simply disappear when results from such studies are summarized in a meta-analysis. In particular, the practice of assessing specific tests rather than broader assays of ability is just as problematic on the level of meta-analytic integration as it is on the level of individual studies.</w:t>
      </w:r>
    </w:p>
    <w:p w14:paraId="4C4724A1"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605511B3"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3A94D85E" w14:textId="77777777" w:rsidR="004C03AC" w:rsidRPr="00D1012F" w:rsidRDefault="004C03AC" w:rsidP="004C03AC">
      <w:pPr>
        <w:numPr>
          <w:ilvl w:val="0"/>
          <w:numId w:val="2"/>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7B3D6DE7" w14:textId="77777777" w:rsidR="004C03AC" w:rsidRPr="00D1012F" w:rsidRDefault="004C03AC" w:rsidP="004C03AC">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7EAE3C5D" w14:textId="77777777" w:rsidR="004C03AC" w:rsidRPr="00D1012F" w:rsidRDefault="004C03AC" w:rsidP="004C03AC">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7D4EA8F4" w14:textId="77777777" w:rsidR="004C03AC" w:rsidRPr="00D1012F" w:rsidRDefault="004C03AC" w:rsidP="004C03AC">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4DB48B81" w14:textId="77777777" w:rsidR="004C03AC" w:rsidRPr="00D1012F" w:rsidRDefault="004C03AC" w:rsidP="004C03AC">
      <w:pPr>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2258BF3D" w14:textId="77777777" w:rsidR="004C03AC" w:rsidRPr="00D1012F" w:rsidRDefault="004C03AC" w:rsidP="004C03AC">
      <w:pPr>
        <w:shd w:val="clear" w:color="auto" w:fill="FFFFFF"/>
        <w:spacing w:line="396" w:lineRule="atLeast"/>
        <w:textAlignment w:val="baseline"/>
        <w:rPr>
          <w:rFonts w:eastAsia="Times New Roman"/>
          <w:i/>
          <w:iCs/>
          <w:color w:val="666666"/>
          <w:sz w:val="22"/>
          <w:szCs w:val="22"/>
          <w:bdr w:val="none" w:sz="0" w:space="0" w:color="auto" w:frame="1"/>
        </w:rPr>
      </w:pPr>
    </w:p>
    <w:p w14:paraId="41AD45CD"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2F5B9D9E" w14:textId="77777777" w:rsidR="004C03AC" w:rsidRPr="00D1012F" w:rsidRDefault="004C03AC" w:rsidP="004C03AC">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37C5459E">
          <v:rect id="_x0000_i1031" style="width:0;height:0" o:hralign="center" o:hrstd="t" o:hr="t" fillcolor="#a0a0a0" stroked="f"/>
        </w:pict>
      </w:r>
    </w:p>
    <w:p w14:paraId="68BA8F90"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582266FF"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3AD61CC1"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4319E2F7"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5325092D"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4EDDEF52"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3332ECD0"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43B3C11A"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6203DE9B" w14:textId="77777777" w:rsidR="004C03AC" w:rsidRPr="00D1012F" w:rsidRDefault="004C03AC" w:rsidP="004C03AC">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260C9AF0">
          <v:rect id="_x0000_i1032" style="width:0;height:0" o:hralign="center" o:hrstd="t" o:hr="t" fillcolor="#a0a0a0" stroked="f"/>
        </w:pict>
      </w:r>
    </w:p>
    <w:p w14:paraId="497FCA2F" w14:textId="77777777" w:rsidR="004C03AC" w:rsidRPr="00D1012F" w:rsidRDefault="004C03AC" w:rsidP="004C03A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467C39CD" w14:textId="77777777" w:rsidR="004C03AC" w:rsidRPr="00D1012F" w:rsidRDefault="004C03AC" w:rsidP="004C03A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1"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26C24750" w14:textId="77777777" w:rsidR="004C03AC" w:rsidRPr="00D1012F" w:rsidRDefault="004C03AC" w:rsidP="004C03AC">
      <w:pPr>
        <w:rPr>
          <w:sz w:val="22"/>
          <w:szCs w:val="22"/>
        </w:rPr>
      </w:pPr>
    </w:p>
    <w:p w14:paraId="063699BD" w14:textId="77777777" w:rsidR="004C03AC" w:rsidRPr="00D1012F" w:rsidRDefault="004C03AC" w:rsidP="004C03AC">
      <w:pPr>
        <w:rPr>
          <w:sz w:val="22"/>
          <w:szCs w:val="22"/>
        </w:rPr>
      </w:pPr>
      <w:r w:rsidRPr="00D1012F">
        <w:rPr>
          <w:sz w:val="22"/>
          <w:szCs w:val="22"/>
        </w:rPr>
        <w:t xml:space="preserve">(There is also a summary statement at </w:t>
      </w:r>
      <w:hyperlink r:id="rId32" w:history="1">
        <w:r w:rsidRPr="00D1012F">
          <w:rPr>
            <w:rStyle w:val="Hyperlink"/>
            <w:sz w:val="22"/>
            <w:szCs w:val="22"/>
          </w:rPr>
          <w:t>http://longevity.stanford.edu/a-consensus-on-the-brain-training-industry-from-the-scientific-community/</w:t>
        </w:r>
      </w:hyperlink>
      <w:r w:rsidRPr="00D1012F">
        <w:rPr>
          <w:sz w:val="22"/>
          <w:szCs w:val="22"/>
        </w:rPr>
        <w:t>)</w:t>
      </w:r>
    </w:p>
    <w:p w14:paraId="77B49AAF" w14:textId="77777777" w:rsidR="004C03AC" w:rsidRPr="00D1012F" w:rsidRDefault="004C03AC" w:rsidP="004C03AC">
      <w:pPr>
        <w:rPr>
          <w:sz w:val="22"/>
          <w:szCs w:val="22"/>
        </w:rPr>
      </w:pPr>
    </w:p>
    <w:p w14:paraId="669F2029" w14:textId="77777777" w:rsidR="004C03AC" w:rsidRPr="00D1012F" w:rsidRDefault="004C03AC" w:rsidP="004C03AC">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01A1B704" w14:textId="77777777" w:rsidR="004C03AC" w:rsidRPr="00D1012F" w:rsidRDefault="004C03AC" w:rsidP="004C03AC">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5B3267CF" w14:textId="77777777" w:rsidR="00070A19" w:rsidRPr="004C03AC" w:rsidRDefault="00070A19">
      <w:pPr>
        <w:rPr>
          <w:sz w:val="22"/>
          <w:szCs w:val="22"/>
        </w:rPr>
      </w:pPr>
      <w:bookmarkStart w:id="0" w:name="_GoBack"/>
      <w:bookmarkEnd w:id="0"/>
    </w:p>
    <w:sectPr w:rsidR="00070A19" w:rsidRPr="004C03AC" w:rsidSect="004C03AC">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81478"/>
    <w:multiLevelType w:val="multilevel"/>
    <w:tmpl w:val="CC7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19"/>
    <w:rsid w:val="00070A19"/>
    <w:rsid w:val="00125D57"/>
    <w:rsid w:val="004C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AB34"/>
  <w15:chartTrackingRefBased/>
  <w15:docId w15:val="{39C1E15C-4C37-4B38-9EFB-3D2E925B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A19"/>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4C03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A19"/>
    <w:rPr>
      <w:color w:val="0000FF"/>
      <w:u w:val="single"/>
    </w:rPr>
  </w:style>
  <w:style w:type="character" w:customStyle="1" w:styleId="Heading1Char">
    <w:name w:val="Heading 1 Char"/>
    <w:basedOn w:val="DefaultParagraphFont"/>
    <w:link w:val="Heading1"/>
    <w:uiPriority w:val="9"/>
    <w:rsid w:val="00070A19"/>
    <w:rPr>
      <w:rFonts w:eastAsia="Times New Roman"/>
      <w:b/>
      <w:bCs/>
      <w:kern w:val="36"/>
      <w:sz w:val="48"/>
      <w:szCs w:val="48"/>
    </w:rPr>
  </w:style>
  <w:style w:type="paragraph" w:styleId="NormalWeb">
    <w:name w:val="Normal (Web)"/>
    <w:basedOn w:val="Normal"/>
    <w:uiPriority w:val="99"/>
    <w:semiHidden/>
    <w:unhideWhenUsed/>
    <w:rsid w:val="00070A19"/>
    <w:pPr>
      <w:spacing w:before="100" w:beforeAutospacing="1" w:after="100" w:afterAutospacing="1"/>
    </w:pPr>
    <w:rPr>
      <w:rFonts w:eastAsia="Times New Roman"/>
    </w:rPr>
  </w:style>
  <w:style w:type="character" w:customStyle="1" w:styleId="byline-name">
    <w:name w:val="byline-name"/>
    <w:basedOn w:val="DefaultParagraphFont"/>
    <w:rsid w:val="00070A19"/>
  </w:style>
  <w:style w:type="paragraph" w:customStyle="1" w:styleId="body-text">
    <w:name w:val="body-text"/>
    <w:basedOn w:val="Normal"/>
    <w:rsid w:val="00070A19"/>
    <w:pPr>
      <w:spacing w:before="100" w:beforeAutospacing="1" w:after="100" w:afterAutospacing="1"/>
    </w:pPr>
    <w:rPr>
      <w:rFonts w:eastAsia="Times New Roman"/>
    </w:rPr>
  </w:style>
  <w:style w:type="character" w:styleId="Emphasis">
    <w:name w:val="Emphasis"/>
    <w:basedOn w:val="DefaultParagraphFont"/>
    <w:uiPriority w:val="20"/>
    <w:qFormat/>
    <w:rsid w:val="00070A19"/>
    <w:rPr>
      <w:i/>
      <w:iCs/>
    </w:rPr>
  </w:style>
  <w:style w:type="character" w:styleId="Strong">
    <w:name w:val="Strong"/>
    <w:basedOn w:val="DefaultParagraphFont"/>
    <w:uiPriority w:val="22"/>
    <w:qFormat/>
    <w:rsid w:val="00070A19"/>
    <w:rPr>
      <w:b/>
      <w:bCs/>
    </w:rPr>
  </w:style>
  <w:style w:type="character" w:customStyle="1" w:styleId="Heading3Char">
    <w:name w:val="Heading 3 Char"/>
    <w:basedOn w:val="DefaultParagraphFont"/>
    <w:link w:val="Heading3"/>
    <w:uiPriority w:val="9"/>
    <w:semiHidden/>
    <w:rsid w:val="004C03AC"/>
    <w:rPr>
      <w:rFonts w:asciiTheme="majorHAnsi" w:eastAsiaTheme="majorEastAsia" w:hAnsiTheme="majorHAnsi" w:cstheme="majorBidi"/>
      <w:color w:val="1F3763" w:themeColor="accent1" w:themeShade="7F"/>
    </w:rPr>
  </w:style>
  <w:style w:type="character" w:customStyle="1" w:styleId="term-tid-5229">
    <w:name w:val="term-tid-5229"/>
    <w:basedOn w:val="DefaultParagraphFont"/>
    <w:rsid w:val="004C03AC"/>
  </w:style>
  <w:style w:type="character" w:customStyle="1" w:styleId="date">
    <w:name w:val="date"/>
    <w:basedOn w:val="DefaultParagraphFont"/>
    <w:rsid w:val="004C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456945">
      <w:bodyDiv w:val="1"/>
      <w:marLeft w:val="0"/>
      <w:marRight w:val="0"/>
      <w:marTop w:val="0"/>
      <w:marBottom w:val="0"/>
      <w:divBdr>
        <w:top w:val="none" w:sz="0" w:space="0" w:color="auto"/>
        <w:left w:val="none" w:sz="0" w:space="0" w:color="auto"/>
        <w:bottom w:val="none" w:sz="0" w:space="0" w:color="auto"/>
        <w:right w:val="none" w:sz="0" w:space="0" w:color="auto"/>
      </w:divBdr>
      <w:divsChild>
        <w:div w:id="912278223">
          <w:marLeft w:val="714"/>
          <w:marRight w:val="0"/>
          <w:marTop w:val="0"/>
          <w:marBottom w:val="0"/>
          <w:divBdr>
            <w:top w:val="none" w:sz="0" w:space="0" w:color="auto"/>
            <w:left w:val="none" w:sz="0" w:space="0" w:color="auto"/>
            <w:bottom w:val="none" w:sz="0" w:space="0" w:color="auto"/>
            <w:right w:val="none" w:sz="0" w:space="0" w:color="auto"/>
          </w:divBdr>
          <w:divsChild>
            <w:div w:id="316618657">
              <w:marLeft w:val="0"/>
              <w:marRight w:val="0"/>
              <w:marTop w:val="0"/>
              <w:marBottom w:val="0"/>
              <w:divBdr>
                <w:top w:val="none" w:sz="0" w:space="0" w:color="auto"/>
                <w:left w:val="none" w:sz="0" w:space="0" w:color="auto"/>
                <w:bottom w:val="none" w:sz="0" w:space="0" w:color="auto"/>
                <w:right w:val="none" w:sz="0" w:space="0" w:color="auto"/>
              </w:divBdr>
              <w:divsChild>
                <w:div w:id="11271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831">
          <w:marLeft w:val="714"/>
          <w:marRight w:val="0"/>
          <w:marTop w:val="0"/>
          <w:marBottom w:val="0"/>
          <w:divBdr>
            <w:top w:val="none" w:sz="0" w:space="0" w:color="auto"/>
            <w:left w:val="none" w:sz="0" w:space="0" w:color="auto"/>
            <w:bottom w:val="none" w:sz="0" w:space="0" w:color="auto"/>
            <w:right w:val="none" w:sz="0" w:space="0" w:color="auto"/>
          </w:divBdr>
          <w:divsChild>
            <w:div w:id="1614749607">
              <w:marLeft w:val="0"/>
              <w:marRight w:val="0"/>
              <w:marTop w:val="0"/>
              <w:marBottom w:val="0"/>
              <w:divBdr>
                <w:top w:val="none" w:sz="0" w:space="0" w:color="auto"/>
                <w:left w:val="none" w:sz="0" w:space="0" w:color="auto"/>
                <w:bottom w:val="none" w:sz="0" w:space="0" w:color="auto"/>
                <w:right w:val="none" w:sz="0" w:space="0" w:color="auto"/>
              </w:divBdr>
              <w:divsChild>
                <w:div w:id="4277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4438">
          <w:marLeft w:val="714"/>
          <w:marRight w:val="0"/>
          <w:marTop w:val="0"/>
          <w:marBottom w:val="0"/>
          <w:divBdr>
            <w:top w:val="none" w:sz="0" w:space="0" w:color="auto"/>
            <w:left w:val="none" w:sz="0" w:space="0" w:color="auto"/>
            <w:bottom w:val="none" w:sz="0" w:space="0" w:color="auto"/>
            <w:right w:val="none" w:sz="0" w:space="0" w:color="auto"/>
          </w:divBdr>
          <w:divsChild>
            <w:div w:id="2003116302">
              <w:marLeft w:val="0"/>
              <w:marRight w:val="0"/>
              <w:marTop w:val="0"/>
              <w:marBottom w:val="0"/>
              <w:divBdr>
                <w:top w:val="none" w:sz="0" w:space="0" w:color="auto"/>
                <w:left w:val="none" w:sz="0" w:space="0" w:color="auto"/>
                <w:bottom w:val="none" w:sz="0" w:space="0" w:color="auto"/>
                <w:right w:val="none" w:sz="0" w:space="0" w:color="auto"/>
              </w:divBdr>
              <w:divsChild>
                <w:div w:id="2726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9003">
      <w:bodyDiv w:val="1"/>
      <w:marLeft w:val="0"/>
      <w:marRight w:val="0"/>
      <w:marTop w:val="0"/>
      <w:marBottom w:val="0"/>
      <w:divBdr>
        <w:top w:val="none" w:sz="0" w:space="0" w:color="auto"/>
        <w:left w:val="none" w:sz="0" w:space="0" w:color="auto"/>
        <w:bottom w:val="none" w:sz="0" w:space="0" w:color="auto"/>
        <w:right w:val="none" w:sz="0" w:space="0" w:color="auto"/>
      </w:divBdr>
      <w:divsChild>
        <w:div w:id="626548103">
          <w:marLeft w:val="0"/>
          <w:marRight w:val="0"/>
          <w:marTop w:val="0"/>
          <w:marBottom w:val="0"/>
          <w:divBdr>
            <w:top w:val="none" w:sz="0" w:space="0" w:color="auto"/>
            <w:left w:val="none" w:sz="0" w:space="0" w:color="auto"/>
            <w:bottom w:val="none" w:sz="0" w:space="0" w:color="auto"/>
            <w:right w:val="none" w:sz="0" w:space="0" w:color="auto"/>
          </w:divBdr>
          <w:divsChild>
            <w:div w:id="919221369">
              <w:marLeft w:val="0"/>
              <w:marRight w:val="0"/>
              <w:marTop w:val="0"/>
              <w:marBottom w:val="0"/>
              <w:divBdr>
                <w:top w:val="none" w:sz="0" w:space="0" w:color="auto"/>
                <w:left w:val="none" w:sz="0" w:space="0" w:color="auto"/>
                <w:bottom w:val="none" w:sz="0" w:space="0" w:color="auto"/>
                <w:right w:val="none" w:sz="0" w:space="0" w:color="auto"/>
              </w:divBdr>
              <w:divsChild>
                <w:div w:id="42021673">
                  <w:marLeft w:val="0"/>
                  <w:marRight w:val="0"/>
                  <w:marTop w:val="0"/>
                  <w:marBottom w:val="0"/>
                  <w:divBdr>
                    <w:top w:val="none" w:sz="0" w:space="0" w:color="auto"/>
                    <w:left w:val="none" w:sz="0" w:space="0" w:color="auto"/>
                    <w:bottom w:val="none" w:sz="0" w:space="0" w:color="auto"/>
                    <w:right w:val="none" w:sz="0" w:space="0" w:color="auto"/>
                  </w:divBdr>
                  <w:divsChild>
                    <w:div w:id="17767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ftc.gov/system/files/documents/cases/160105lumoslabscmpt.pdf" TargetMode="External"/><Relationship Id="rId18" Type="http://schemas.openxmlformats.org/officeDocument/2006/relationships/hyperlink" Target="https://www.facebook.com/federaltradecommission" TargetMode="External"/><Relationship Id="rId26" Type="http://schemas.openxmlformats.org/officeDocument/2006/relationships/hyperlink" Target="https://www.sciencedaily.com/releases/2017/04/170417095528.htm" TargetMode="External"/><Relationship Id="rId3" Type="http://schemas.openxmlformats.org/officeDocument/2006/relationships/settings" Target="settings.xml"/><Relationship Id="rId21" Type="http://schemas.openxmlformats.org/officeDocument/2006/relationships/hyperlink" Target="https://www.ftc.gov/stay-connected" TargetMode="External"/><Relationship Id="rId34" Type="http://schemas.openxmlformats.org/officeDocument/2006/relationships/theme" Target="theme/theme1.xml"/><Relationship Id="rId7" Type="http://schemas.openxmlformats.org/officeDocument/2006/relationships/hyperlink" Target="https://www.prevention.com/food-nutrition/healthy-eating/g20428336/the-best-foods-for-your-brain/" TargetMode="External"/><Relationship Id="rId12" Type="http://schemas.openxmlformats.org/officeDocument/2006/relationships/hyperlink" Target="https://www.ftc.gov/system/files/documents/cases/160105lumoslabsstip.pdf" TargetMode="External"/><Relationship Id="rId17" Type="http://schemas.openxmlformats.org/officeDocument/2006/relationships/hyperlink" Target="https://www.ftc.gov/faq/competition/report-antitrust-violation" TargetMode="External"/><Relationship Id="rId25" Type="http://schemas.openxmlformats.org/officeDocument/2006/relationships/hyperlink" Target="https://www.scientificamerican.com/article/brain-training-doesn-t-make-you-smart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tc.gov/sites/default/files/attachments/competition-counts/zgen01.pdf" TargetMode="External"/><Relationship Id="rId20" Type="http://schemas.openxmlformats.org/officeDocument/2006/relationships/hyperlink" Target="https://www.ftc.gov/news-events/blogs/competition-matters" TargetMode="External"/><Relationship Id="rId29" Type="http://schemas.openxmlformats.org/officeDocument/2006/relationships/hyperlink" Target="https://www.learningrx.com/brain-training-101" TargetMode="External"/><Relationship Id="rId1" Type="http://schemas.openxmlformats.org/officeDocument/2006/relationships/numbering" Target="numbering.xml"/><Relationship Id="rId6" Type="http://schemas.openxmlformats.org/officeDocument/2006/relationships/hyperlink" Target="https://www.prevention.com/author/209189/the-editors-of-prevention/" TargetMode="External"/><Relationship Id="rId11"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24" Type="http://schemas.openxmlformats.org/officeDocument/2006/relationships/hyperlink" Target="https://www.theatlantic.com/science/archive/2016/10/the-weak-evidence-behind-brain-training-games/502559/" TargetMode="External"/><Relationship Id="rId32" Type="http://schemas.openxmlformats.org/officeDocument/2006/relationships/hyperlink" Target="http://longevity.stanford.edu/a-consensus-on-the-brain-training-industry-from-the-scientific-community/" TargetMode="External"/><Relationship Id="rId5" Type="http://schemas.openxmlformats.org/officeDocument/2006/relationships/hyperlink" Target="https://www.prevention.com/health/a20438453/games-that-make-you-think/" TargetMode="External"/><Relationship Id="rId15" Type="http://schemas.openxmlformats.org/officeDocument/2006/relationships/hyperlink" Target="https://www.ftc.gov/about-ftc/bureaus-offices/bureau-competition" TargetMode="External"/><Relationship Id="rId23" Type="http://schemas.openxmlformats.org/officeDocument/2006/relationships/hyperlink" Target="http://longevity.stanford.edu/a-consensus-on-the-brain-training-industry-from-the-scientific-community-2/" TargetMode="External"/><Relationship Id="rId28" Type="http://schemas.openxmlformats.org/officeDocument/2006/relationships/hyperlink" Target="https://www.cnn.com/2016/10/20/health/brain-training-exercises/index.html" TargetMode="External"/><Relationship Id="rId10" Type="http://schemas.openxmlformats.org/officeDocument/2006/relationships/image" Target="media/image3.jpeg"/><Relationship Id="rId19" Type="http://schemas.openxmlformats.org/officeDocument/2006/relationships/hyperlink" Target="https://twitter.com/FTC" TargetMode="External"/><Relationship Id="rId31" Type="http://schemas.openxmlformats.org/officeDocument/2006/relationships/hyperlink" Target="http://longevity.stanford.edu/a-consensus-on-the-brain-training-industry-from-the-scientific-community-2/"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tc.gov/public-statements/2016/01/concurring-statement-commissioner-julie-brill-matter-lumos-lab-inc" TargetMode="External"/><Relationship Id="rId22" Type="http://schemas.openxmlformats.org/officeDocument/2006/relationships/hyperlink" Target="https://www.ftc.gov/news-events/press-releases/2016/01/lumosity-pay-2-million-settle-ftc-deceptive-advertising-charges" TargetMode="External"/><Relationship Id="rId27" Type="http://schemas.openxmlformats.org/officeDocument/2006/relationships/hyperlink" Target="https://www.technologyreview.com/s/602540/brain-training-apps-wont-make-you-smarter/" TargetMode="External"/><Relationship Id="rId30" Type="http://schemas.openxmlformats.org/officeDocument/2006/relationships/hyperlink" Target="http://www.latimes.com/business/hiltzik/la-fi-mh-if-you-weren-t-smart-enough-20160106-colu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5996</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2019-05-29T00:53:00Z</dcterms:created>
  <dcterms:modified xsi:type="dcterms:W3CDTF">2019-05-29T01:19:00Z</dcterms:modified>
</cp:coreProperties>
</file>