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1.png" ContentType="image/png"/>
  <Override PartName="/word/media/rId53.png" ContentType="image/png"/>
  <Override PartName="/word/media/rId46.png" ContentType="image/png"/>
  <Override PartName="/word/media/rId40.png" ContentType="image/png"/>
  <Override PartName="/word/media/rId48.png" ContentType="image/png"/>
  <Override PartName="/word/media/rId50.png" ContentType="image/png"/>
  <Override PartName="/word/media/rId58.png" ContentType="image/png"/>
  <Override PartName="/word/media/rId6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tbl>
      <w:tblPr>
        <w:tblStyle w:val="Table"/>
        <w:tblW w:type="pct" w:w="5000.0"/>
        <w:tblLook w:firstRow="0"/>
      </w:tblPr>
      <w:tblGrid>
        <w:gridCol w:w="7920"/>
      </w:tblGrid>
      <w:tr>
        <w:tc>
          <w:p>
            <w:pPr>
              <w:pStyle w:val="Compact"/>
              <w:jc w:val="center"/>
            </w:pPr>
            <w:r>
              <w:t xml:space="preserve">Katie Von Holzen</w:t>
            </w:r>
            <w:r>
              <w:rPr>
                <w:vertAlign w:val="superscript"/>
              </w:rPr>
              <w:t xml:space="preserve">1,2,3</w:t>
            </w:r>
            <w:r>
              <w:t xml:space="preserve"> &amp; Christina Bergmann</w:t>
            </w:r>
            <w:r>
              <w:rPr>
                <w:vertAlign w:val="superscript"/>
              </w:rPr>
              <w:t xml:space="preserve">4,5</w:t>
            </w:r>
          </w:p>
        </w:tc>
      </w:tr>
      <w:tr>
        <w:tc>
          <w:p>
            <w:pPr>
              <w:pStyle w:val="Compact"/>
              <w:jc w:val="center"/>
            </w:pPr>
            <w:r>
              <w:rPr>
                <w:vertAlign w:val="superscript"/>
              </w:rPr>
              <w:t xml:space="preserve">1</w:t>
            </w:r>
            <w:r>
              <w:t xml:space="preserve"> </w:t>
            </w:r>
            <w:r>
              <w:t xml:space="preserve">Lehrstuhl Linguistik des Deutschen, Schwerpunkt Deutsch als Fremdsprache/Deutsch als Zweitsprache, Technische Universität Dortmund</w:t>
            </w:r>
          </w:p>
        </w:tc>
      </w:tr>
      <w:tr>
        <w:tc>
          <w:p>
            <w:pPr>
              <w:pStyle w:val="Compact"/>
              <w:jc w:val="center"/>
            </w:pPr>
            <w:r>
              <w:rPr>
                <w:vertAlign w:val="superscript"/>
              </w:rPr>
              <w:t xml:space="preserve">2</w:t>
            </w:r>
            <w:r>
              <w:t xml:space="preserve"> </w:t>
            </w:r>
            <w:r>
              <w:t xml:space="preserve">Department of Hearing and Speech Sciences, University of Maryland, USA</w:t>
            </w:r>
          </w:p>
        </w:tc>
      </w:tr>
      <w:tr>
        <w:tc>
          <w:p>
            <w:pPr>
              <w:pStyle w:val="Compact"/>
              <w:jc w:val="center"/>
            </w:pPr>
            <w:r>
              <w:rPr>
                <w:vertAlign w:val="superscript"/>
              </w:rPr>
              <w:t xml:space="preserve">3</w:t>
            </w:r>
            <w:r>
              <w:t xml:space="preserve"> </w:t>
            </w:r>
            <w:r>
              <w:t xml:space="preserve">Laboratoire Psychologie de la Perception, Université Paris Descartes</w:t>
            </w:r>
          </w:p>
        </w:tc>
      </w:tr>
      <w:tr>
        <w:tc>
          <w:p>
            <w:pPr>
              <w:pStyle w:val="Compact"/>
              <w:jc w:val="center"/>
            </w:pPr>
            <w:r>
              <w:rPr>
                <w:vertAlign w:val="superscript"/>
              </w:rPr>
              <w:t xml:space="preserve">4</w:t>
            </w:r>
            <w:r>
              <w:t xml:space="preserve"> </w:t>
            </w:r>
            <w:r>
              <w:t xml:space="preserve">Max Planck Institute for Psycholinguistics, Nijmegen, the Netherlands</w:t>
            </w:r>
          </w:p>
        </w:tc>
      </w:tr>
      <w:tr>
        <w:tc>
          <w:p>
            <w:pPr>
              <w:pStyle w:val="Compact"/>
              <w:jc w:val="center"/>
            </w:pPr>
            <w:r>
              <w:rPr>
                <w:vertAlign w:val="superscript"/>
              </w:rPr>
              <w:t xml:space="preserve">5</w:t>
            </w:r>
            <w:r>
              <w:t xml:space="preserve"> </w:t>
            </w:r>
            <w:r>
              <w:t xml:space="preserve">LSCP, Departement d’Etudes Cognitives, ENS, EHESS, CNRS, PSL Research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Compact"/>
        <w:pStyle w:val="Titel"/>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infants’ phonological representations for familiar words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These results also support several theoretical assumptions made in the literature, such as sensitivity to mispronunciation size and position of the mispronunciation.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Textkrper"/>
      </w:pPr>
      <w:r>
        <w:t xml:space="preserve">Word count:</w:t>
      </w:r>
    </w:p>
    <w:p>
      <w:pPr>
        <w:pStyle w:val="Compact"/>
        <w:pStyle w:val="Titel"/>
      </w:pPr>
      <w:r>
        <w:t xml:space="preserve">The development of infants’ responses to mispronunciations: A Meta-Analysis</w:t>
      </w:r>
    </w:p>
    <w:p>
      <w:pPr>
        <w:pStyle w:val="Textkrper"/>
      </w:pPr>
      <w:r>
        <w:t xml:space="preserve">In a mature phono-lexical system, word recognition must balance flexibility to slight variation (e.g., speaker identity, accented speech) while distinguishing between phonological contrasts that differentiate words in a given language (e.g. cat-hat). This meta-analysis examines the latter, focusing how infants apply the relevant phonological categories of their native language, aggregating twenty years’ worth of studies using the mispronunciation sensitivity paradigm. The original study of</w:t>
      </w:r>
      <w:r>
        <w:t xml:space="preserve"> </w:t>
      </w:r>
      <w:r>
        <w:t xml:space="preserve">Swingley &amp; Aslin (2000)</w:t>
      </w:r>
      <w:r>
        <w:t xml:space="preserve"> </w:t>
      </w:r>
      <w:r>
        <w:t xml:space="preserve">presented American-English learning 18- to 23-month-olds with pairs of images of words they were very likely to know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looking to the target image than mispronounced labels.</w:t>
      </w:r>
      <w:r>
        <w:t xml:space="preserve"> </w:t>
      </w:r>
      <w:r>
        <w:t xml:space="preserve">Swingley &amp; Aslin (2000)</w:t>
      </w:r>
      <w:r>
        <w:t xml:space="preserve"> </w:t>
      </w:r>
      <w:r>
        <w:t xml:space="preserve">concluded that already before the second birthday, children’s representations for familiar words are phonologically well specified. As we will review below, there are opposing theories and resulting predictions, supported by empirical data, as to how this knowledge is acquired and applied to lexical representations. The time is thus ripe to aggregate all publicly available evidence using a meta-analysis. In doing so, we can examine developmental trends making use of data from a much larger and diverse sample of infants than is possible in most single studies.</w:t>
      </w:r>
    </w:p>
    <w:p>
      <w:pPr>
        <w:pStyle w:val="Textkrper"/>
      </w:pPr>
      <w:r>
        <w:t xml:space="preserve">An</w:t>
      </w:r>
      <w:r>
        <w:t xml:space="preserve"> </w:t>
      </w:r>
      <w:r>
        <w:rPr>
          <w:i/>
        </w:rPr>
        <w:t xml:space="preserve">increase</w:t>
      </w:r>
      <w:r>
        <w:t xml:space="preserve"> </w:t>
      </w:r>
      <w:r>
        <w:t xml:space="preserve">in mispronunciation sensitivity with age is predicted by a maturation from holistic to more detailed phono-lexical representations and has been supported by several studies</w:t>
      </w:r>
      <w:r>
        <w:t xml:space="preserve"> </w:t>
      </w:r>
      <w:r>
        <w:t xml:space="preserve">(Altvater-Mackensen, 2010; Altvater-Mackensen, Feest, &amp; Fikkert, 2014; Feest &amp; Fikkert, 2015; Mani &amp; Plunkett, 2007)</w:t>
      </w:r>
      <w:r>
        <w:t xml:space="preserve">.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 According to PRIMIR</w:t>
      </w:r>
      <w:r>
        <w:t xml:space="preserve"> </w:t>
      </w:r>
      <w:r>
        <w:t xml:space="preserve">(Curtin &amp; Werker, 2007; Werker &amp; Curtin, 2005)</w:t>
      </w:r>
      <w:r>
        <w:t xml:space="preserve"> </w:t>
      </w:r>
      <w:r>
        <w:t xml:space="preserve">infants’ initially episodic representations give way to more abstract phonological word forms, as the infant learns more words, the detail of which can be accessed more or less easily depending on factors such as the infant’s age or the demands of the task. This argument is supported by the results of</w:t>
      </w:r>
      <w:r>
        <w:t xml:space="preserve"> </w:t>
      </w:r>
      <w:r>
        <w:t xml:space="preserve">Mani &amp; Plunkett (2010)</w:t>
      </w:r>
      <w:r>
        <w:t xml:space="preserve">, who found that 12-month-old infants with a larger vocabulary showed a greater sensitivity to vowel mispronunciations than infants with a smaller vocabulary.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Lozeron, Levy, &amp; Frauenfelder, 2012)</w:t>
      </w:r>
      <w:r>
        <w:t xml:space="preserve">. Furthermore, other studies testing more than one age have found</w:t>
      </w:r>
      <w:r>
        <w:t xml:space="preserve"> </w:t>
      </w:r>
      <w:r>
        <w:rPr>
          <w:i/>
        </w:rPr>
        <w:t xml:space="preserve">no difference</w:t>
      </w:r>
      <w:r>
        <w:t xml:space="preserve"> </w:t>
      </w:r>
      <w:r>
        <w:t xml:space="preserve">in mispronunciation sensitivity</w:t>
      </w:r>
      <w:r>
        <w:t xml:space="preserve"> </w:t>
      </w:r>
      <w:r>
        <w:t xml:space="preserve">(Bailey &amp; Plunkett, 2002; Swingley &amp; Aslin, 2000; Zesiger et al., 2012)</w:t>
      </w:r>
      <w:r>
        <w:t xml:space="preserve">.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pPr>
        <w:pStyle w:val="Textkrper"/>
      </w:pPr>
      <w:r>
        <w:t xml:space="preserve">There are no theoretical accounts that would predict</w:t>
      </w:r>
      <w:r>
        <w:t xml:space="preserve"> </w:t>
      </w:r>
      <w:r>
        <w:rPr>
          <w:i/>
        </w:rPr>
        <w:t xml:space="preserve">decreased</w:t>
      </w:r>
      <w:r>
        <w:t xml:space="preserve"> </w:t>
      </w:r>
      <w:r>
        <w:t xml:space="preserve">mispronunciation sensitivity, but at least one study has found a decrease in sensitivity to small mispronunciations. Here, 18- but not 24-month-old infants showed sensitivity to more subtle mispronunciations that differed from the correct pronunciation by 1 phonological feature</w:t>
      </w:r>
      <w:r>
        <w:t xml:space="preserve"> </w:t>
      </w:r>
      <w:r>
        <w:t xml:space="preserve">(Mani &amp; Plunkett, 2011)</w:t>
      </w:r>
      <w:r>
        <w:t xml:space="preserve">.</w:t>
      </w:r>
      <w:r>
        <w:t xml:space="preserve"> </w:t>
      </w:r>
      <w:r>
        <w:t xml:space="preserve">Mani &amp; Plunkett (2011)</w:t>
      </w:r>
      <w:r>
        <w:t xml:space="preserve"> </w:t>
      </w:r>
      <w:r>
        <w:t xml:space="preserve">argue that when faced with large and salient mispronunciations, infants’ sensitivity to small 1-feature mispronunciations may be obscured. This would especially be the case if infants show graded sensitivity to different degrees of mispronunciations (see below), as</w:t>
      </w:r>
      <w:r>
        <w:t xml:space="preserve"> </w:t>
      </w:r>
      <w:r>
        <w:t xml:space="preserve">Mani &amp; Plunkett (2011)</w:t>
      </w:r>
      <w:r>
        <w:t xml:space="preserve"> </w:t>
      </w:r>
      <w:r>
        <w:t xml:space="preserve">found with 24- but not 18-month-olds in their study.</w:t>
      </w:r>
    </w:p>
    <w:p>
      <w:pPr>
        <w:pStyle w:val="Textkrper"/>
      </w:pPr>
      <w:r>
        <w:t xml:space="preserve">To disentangle the predictions that phono-lexical representations are progressively becoming more specified or are specified early, we investigate the relationship between mispronunciation sensitivity and age as well as vocabulary size. But, this may not account for all variability found in the literature. Indeed, different laboratories may vary in their approach to creating a mispronunciation sensitivity experiment, using different types of stimuli and methodologies.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In our meta-analysis we code for features of the experiment that are often reported but vary across studies and include an analysis of these features to shed further light on early phono-lexical representations and their maturation.</w:t>
      </w:r>
    </w:p>
    <w:p>
      <w:pPr>
        <w:pStyle w:val="Textkrper"/>
      </w:pPr>
      <w:r>
        <w:t xml:space="preserve">These research questions and experimental manipulations have the potential to create experimental tasks that are more or less difficult for the infant to successfully complete. The PRIMIR Framework</w:t>
      </w:r>
      <w:r>
        <w:t xml:space="preserve"> </w:t>
      </w:r>
      <w:r>
        <w:t xml:space="preserve">(Processing Rich Information from Multidimensional Interactive Representations; Curtin &amp; Werker, 2007; Werker &amp; Curtin, 2005)</w:t>
      </w:r>
      <w:r>
        <w:t xml:space="preserve"> </w:t>
      </w:r>
      <w:r>
        <w:t xml:space="preserve">describes how infants acquire and organize the incoming speech signal into phonetic and indexical detail. The ability to access and use this detail, however, is governed by the task or developmental demands probed in a particular experiment. For example, if infants are tested on a more subtle mispronunciation that changes only one phonological feature, they may be less likely to identify the change in comparison to a mispronunciation that changes two or three phonological features</w:t>
      </w:r>
      <w:r>
        <w:t xml:space="preserve"> </w:t>
      </w:r>
      <w:r>
        <w:t xml:space="preserve">(White &amp; Morgan, 2008)</w:t>
      </w:r>
      <w:r>
        <w:t xml:space="preserve">. If older infants are more likely to be tested using a more demanding mispronunciation sensitivity task, this may attenuate developmental effects across studies. Note, however, that those studies reporting change</w:t>
      </w:r>
      <w:r>
        <w:t xml:space="preserve"> </w:t>
      </w:r>
      <w:r>
        <w:t xml:space="preserve">(Altvater-Mackensen, 2010; Altvater-Mackensen et al., 2014; Feest &amp; Fikkert, 2015; Mani &amp; Plunkett, 2007)</w:t>
      </w:r>
      <w:r>
        <w:t xml:space="preserve"> </w:t>
      </w:r>
      <w:r>
        <w:t xml:space="preserve">or no change</w:t>
      </w:r>
      <w:r>
        <w:t xml:space="preserve"> </w:t>
      </w:r>
      <w:r>
        <w:t xml:space="preserve">(Bailey &amp; Plunkett, 2002; Swingley &amp; Aslin, 2000; Zesiger et al., 2012)</w:t>
      </w:r>
      <w:r>
        <w:t xml:space="preserve"> </w:t>
      </w:r>
      <w:r>
        <w:t xml:space="preserve">all presented the same task across ages.</w:t>
      </w:r>
    </w:p>
    <w:p>
      <w:pPr>
        <w:pStyle w:val="Textkrper"/>
      </w:pPr>
      <w:r>
        <w:t xml:space="preserve">The first set of questions concern how infants’ sensitivity is modulated by different kinds of mispronunciations. Following on the above example, some experiments examine infants’ sensitivity to factors that change the identity of a word on a measurable level, or</w:t>
      </w:r>
      <w:r>
        <w:t xml:space="preserve"> </w:t>
      </w:r>
      <w:r>
        <w:rPr>
          <w:i/>
        </w:rPr>
        <w:t xml:space="preserve">mispronunciation size</w:t>
      </w:r>
      <w:r>
        <w:t xml:space="preserve"> </w:t>
      </w:r>
      <w:r>
        <w:t xml:space="preserve">(i.e. 1-feature, 2-features, 3-features), finding that infants are more sensitive to larger mispronunciations (3-feature-changes) than smaller mispronunciations (1-feature changes) for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mispronunciations, known as graded sensitivity. This also has consequences for understanding the developmental trajectory of mispronunciation sensitivity, as adults show similar graded sensitivity</w:t>
      </w:r>
      <w:r>
        <w:t xml:space="preserve"> </w:t>
      </w:r>
      <w:r>
        <w:t xml:space="preserve">(Bailey &amp; Hahn, 2005)</w:t>
      </w:r>
      <w:r>
        <w:t xml:space="preserve">.</w:t>
      </w:r>
    </w:p>
    <w:p>
      <w:pPr>
        <w:pStyle w:val="Textkrper"/>
      </w:pPr>
      <w:r>
        <w:t xml:space="preserve">The position of mispronunciation in the word may differentially interrupt the infant’s word recognition process, but the degree to which position impacts word recognition is a matter of debate. The COHORT model</w:t>
      </w:r>
      <w:r>
        <w:t xml:space="preserve"> </w:t>
      </w:r>
      <w:r>
        <w:t xml:space="preserve">(Marslen-Wilson &amp; Zwitserlood, 1989)</w:t>
      </w:r>
      <w:r>
        <w:t xml:space="preserve"> </w:t>
      </w:r>
      <w:r>
        <w:t xml:space="preserve">describes lexical access in a linear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 To evaluate these competing theories, studies often manipulate the</w:t>
      </w:r>
      <w:r>
        <w:t xml:space="preserve"> </w:t>
      </w:r>
      <w:r>
        <w:rPr>
          <w:i/>
        </w:rPr>
        <w:t xml:space="preserve">mispronunciation position</w:t>
      </w:r>
      <w:r>
        <w:t xml:space="preserve">, whether onset, medial, or coda, in the word.</w:t>
      </w:r>
    </w:p>
    <w:p>
      <w:pPr>
        <w:pStyle w:val="Textkrper"/>
      </w:pPr>
      <w:r>
        <w:t xml:space="preserve">Consonantal changes may be more disruptive to lexical processing than vowel changes, known as the consonant bias, and a learned account predicts that this bias emerges over development and is impacted by the language family of the infants’ native language</w:t>
      </w:r>
      <w:r>
        <w:t xml:space="preserve"> </w:t>
      </w:r>
      <w:r>
        <w:t xml:space="preserve">(for a review see Nazzi, Poltrock, &amp; Von Holzen, 2016)</w:t>
      </w:r>
      <w:r>
        <w:t xml:space="preserve">. Yet, the handful of studies directly comparing sensitivity to consonant and vowel mispronunciations mostly find symmetry as opposed to an asymmetry between consonants and vowels for English-</w:t>
      </w:r>
      <w:r>
        <w:t xml:space="preserve"> </w:t>
      </w:r>
      <w:r>
        <w:t xml:space="preserve">(Mani &amp; Plunkett, 2007, 2010; but see Swingley, 2016)</w:t>
      </w:r>
      <w:r>
        <w:t xml:space="preserve"> </w:t>
      </w:r>
      <w:r>
        <w:t xml:space="preserve">and Danish-learning infants</w:t>
      </w:r>
      <w:r>
        <w:t xml:space="preserve"> </w:t>
      </w:r>
      <w:r>
        <w:t xml:space="preserve">(Højen et al., n.d.)</w:t>
      </w:r>
      <w:r>
        <w:t xml:space="preserve"> </w:t>
      </w:r>
      <w:r>
        <w:t xml:space="preserve">and do not compare infants learning different native languages</w:t>
      </w:r>
      <w:r>
        <w:t xml:space="preserve"> </w:t>
      </w:r>
      <w:r>
        <w:t xml:space="preserve">(for cross-linguistic evidence from word-learning see Nazzi, Floccia, Moquet, &amp; Butler, 2009)</w:t>
      </w:r>
      <w:r>
        <w:t xml:space="preserve">. In the current meta-analysis, we examine infants’ sensitivity to the</w:t>
      </w:r>
      <w:r>
        <w:t xml:space="preserve"> </w:t>
      </w:r>
      <w:r>
        <w:rPr>
          <w:i/>
        </w:rPr>
        <w:t xml:space="preserve">type of mispronunciation</w:t>
      </w:r>
      <w:r>
        <w:t xml:space="preserve">, whether consonant or vowel, across different ages and native language families to assess the predictions of the learned account of the consonant bias.</w:t>
      </w:r>
    </w:p>
    <w:p>
      <w:pPr>
        <w:pStyle w:val="Textkrper"/>
      </w:pPr>
      <w:r>
        <w:t xml:space="preserve">A second set of questions is whether the experimental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ball</w:t>
      </w:r>
      <w:r>
        <w:t xml:space="preserve">”</w:t>
      </w:r>
      <w:r>
        <w:t xml:space="preserve">, the image of a ball would be paired with a distractor image that shares onset overlap, such as</w:t>
      </w:r>
      <w:r>
        <w:t xml:space="preserve"> </w:t>
      </w:r>
      <w:r>
        <w:t xml:space="preserve">“</w:t>
      </w:r>
      <w:r>
        <w:t xml:space="preserve">bed</w:t>
      </w:r>
      <w:r>
        <w:t xml:space="preserve">”</w:t>
      </w:r>
      <w:r>
        <w:t xml:space="preserve">. This ensures that infants cannot use the onset of the word to differentiate between the target and distractor images</w:t>
      </w:r>
      <w:r>
        <w:t xml:space="preserve"> </w:t>
      </w:r>
      <w:r>
        <w:t xml:space="preserve">(Mani &amp; Plunkett, 2007)</w:t>
      </w:r>
      <w:r>
        <w:t xml:space="preserve">. Instead, infants must pay attention to the mispronounced phoneme in order to successfully detect the change.</w:t>
      </w:r>
    </w:p>
    <w:p>
      <w:pPr>
        <w:pStyle w:val="Textkrper"/>
      </w:pPr>
      <w:r>
        <w:t xml:space="preserve">Mispronunciation sensitivity may also be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 Most studies present infants with pictures of two known objects, thereby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age groups, this meta-analysis can investigate the role of maturation by assessing the impact of age, and when possible vocabulary size. We also test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p>
      <w:pPr>
        <w:pStyle w:val="berschrift1"/>
      </w:pPr>
      <w:bookmarkStart w:id="22" w:name="methods"/>
      <w:r>
        <w:t xml:space="preserve">Methods</w:t>
      </w:r>
      <w:bookmarkEnd w:id="22"/>
    </w:p>
    <w:p>
      <w:pPr>
        <w:pStyle w:val="FirstParagraph"/>
      </w:pPr>
      <w:r>
        <w:t xml:space="preserve">The present meta-analysis was conducted with maximal transparency and reproducibility in mind. To this end, we provide all data and analysis scripts on the supplementary website (</w:t>
      </w:r>
      <w:hyperlink r:id="rId23">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4">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PRISMA Group", 2009)</w:t>
      </w:r>
      <w:r>
        <w:t xml:space="preserve">. Figure</w:t>
      </w:r>
      <w:r>
        <w:t xml:space="preserve"> </w:t>
      </w:r>
      <w:r>
        <w:t xml:space="preserve">1</w:t>
      </w:r>
      <w:r>
        <w:t xml:space="preserve"> </w:t>
      </w:r>
      <w:r>
        <w:t xml:space="preserve">plots our PRISMA flowchart illustrating the paper selection procedure.</w:t>
      </w:r>
    </w:p>
    <w:p>
      <w:pPr>
        <w:pStyle w:val="Textkrper"/>
      </w:pPr>
      <w:r>
        <w:t xml:space="preserve">(Insert Figure</w:t>
      </w:r>
      <w:r>
        <w:t xml:space="preserve"> </w:t>
      </w:r>
      <w:r>
        <w:t xml:space="preserve">1</w:t>
      </w:r>
      <w:r>
        <w:t xml:space="preserve"> </w:t>
      </w:r>
      <w:r>
        <w:t xml:space="preserve">about here)</w:t>
      </w:r>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5"/>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t xml:space="preserve">Figure 1: A PRISMA flowchart illustrating the selection procedure used to include studies in the current meta-analysis.</w:t>
      </w:r>
    </w:p>
    <w:p>
      <w:pPr>
        <w:pStyle w:val="Compact"/>
      </w:pPr>
      <w:r>
        <w:t xml:space="preserve">Table 1:</w:t>
      </w:r>
    </w:p>
    <w:p>
      <w:pPr>
        <w:pStyle w:val="Compact"/>
      </w:pPr>
      <w:r>
        <w:rPr>
          <w:i/>
        </w:rPr>
        <w:t xml:space="preserve">Summary of all papers. Age: mean age (in months). Vocabulary: Comp = comprehension, Prod = production. Distractor Familiarity: Fam = Familiar, Unfam = Unfamiliar Target Overlap: O = onset, M = medial, C = coda. Mispronunciation Size: number of features changed; commas indicate separate comparison, dashes indicate an aggregated range. Mispronunciation Position: O = onset, M = medial, C = coda. Mispronunciation Type: C = consonant, V = vowel, T = tone. A slash separator indicates no distinction was made in the stimuli and unspec. indicates that the value was unspecified in the paper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unfam</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p>
      <w:pPr>
        <w:pStyle w:val="berschrift2"/>
      </w:pPr>
      <w:bookmarkStart w:id="26" w:name="study-selection"/>
      <w:r>
        <w:t xml:space="preserve">Study Selection</w:t>
      </w:r>
      <w:bookmarkEnd w:id="26"/>
    </w:p>
    <w:p>
      <w:pPr>
        <w:pStyle w:val="FirstParagraph"/>
      </w:pPr>
      <w:r>
        <w:t xml:space="preserve">We first generated a list of potentially relevant items to be included in our meta-analysis by creating an expert list. This process yielded 110 items. We then used the Google Scholar search engine to search for papers citing the original</w:t>
      </w:r>
      <w:r>
        <w:t xml:space="preserve"> </w:t>
      </w:r>
      <w:r>
        <w:t xml:space="preserve">Swingley &amp; Aslin (2000)</w:t>
      </w:r>
      <w:r>
        <w:t xml:space="preserve"> </w:t>
      </w:r>
      <w:r>
        <w:t xml:space="preserve">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Textkrper"/>
      </w:pPr>
      <w:r>
        <w:t xml:space="preserve">(Insert Table 1 about here)</w:t>
      </w:r>
    </w:p>
    <w:p>
      <w:pPr>
        <w:pStyle w:val="berschrift2"/>
      </w:pPr>
      <w:bookmarkStart w:id="27" w:name="data-entry"/>
      <w:r>
        <w:t xml:space="preserve">Data Entry</w:t>
      </w:r>
      <w:bookmarkEnd w:id="27"/>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 1) Condition: Were words mispronounced or not; 2) Mean age reported per group of infants, in days; 3) Vocabulary size, measured by a standardized questionnaire or list; 4) Size of mispronunciation, measured in features changed; 5) Position of mispronunciation: onset, medial, coda; 6) Type of mispronunciation: consonant, vowel, or both; 7) Phonological overlap between target and distractor: onset, medial, coda, none; 8) Distractor familiarity: familiar or unfamiliar. A detailed explanation for moderating factors 3-8 can be found in their respective sections in the Results.</w:t>
      </w:r>
      <w:r>
        <w:rPr>
          <w:rStyle w:val="Funotenzeichen"/>
        </w:rPr>
        <w:footnoteReference w:id="28"/>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pPr>
        <w:pStyle w:val="berschrift2"/>
      </w:pPr>
      <w:bookmarkStart w:id="29" w:name="data-analysis"/>
      <w:r>
        <w:t xml:space="preserve">Data analysis</w:t>
      </w:r>
      <w:bookmarkEnd w:id="29"/>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(Bergmann &amp; Cristia, 2016)</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consider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are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Pre vs. Post (</w:t>
      </w:r>
      <w:r>
        <w:rPr>
          <w:i/>
        </w:rPr>
        <w:t xml:space="preserve">n</w:t>
      </w:r>
      <w:r>
        <w:t xml:space="preserve"> </w:t>
      </w:r>
      <w:r>
        <w:t xml:space="preserve">= 69 records) accomplishes the same analysis, directly compare the post- and pre-naming PTL scores with one another using a statistical test (e.g. t-test, ANOVA). This requires two values, one for the pre-naming phase and one for the post-naming phase.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Textkrper"/>
      </w:pPr>
      <w:r>
        <w:t xml:space="preserve">Finally, we assess the statistical power of studies included in our meta-analysis, as well as calculate the sample size required to achieve a 80% power considering our estimate of the population effect and its variance.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p>
      <w:pPr>
        <w:pStyle w:val="berschrift2"/>
      </w:pPr>
      <w:bookmarkStart w:id="30" w:name="publication-bias"/>
      <w:r>
        <w:t xml:space="preserve">Publication Bias</w:t>
      </w:r>
      <w:bookmarkEnd w:id="30"/>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31">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pPr>
        <w:pStyle w:val="berschrift2"/>
      </w:pPr>
      <w:bookmarkStart w:id="32" w:name="meta-analysis"/>
      <w:r>
        <w:t xml:space="preserve">Meta-analysis</w:t>
      </w:r>
      <w:bookmarkEnd w:id="32"/>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w:t>
      </w:r>
      <w:r>
        <w:t xml:space="preserve"> </w:t>
      </w:r>
      <w:r>
        <w:t xml:space="preserve">(Schwarzer, 2007)</w:t>
      </w:r>
      <w:r>
        <w:t xml:space="preserve">. For a subsequent investigation of experimental characteristics, we introduced each as a moderator: size of mispronunciation, position of mispronunciation, type of mispronunciation, phonological overlap between target and distractor labels, and distractor familiarity (more detail below).</w:t>
      </w:r>
    </w:p>
    <w:p>
      <w:pPr>
        <w:pStyle w:val="berschrift1"/>
      </w:pPr>
      <w:bookmarkStart w:id="33" w:name="results"/>
      <w:r>
        <w:t xml:space="preserve">Results</w:t>
      </w:r>
      <w:bookmarkEnd w:id="33"/>
    </w:p>
    <w:p>
      <w:pPr>
        <w:pStyle w:val="berschrift2"/>
      </w:pPr>
      <w:bookmarkStart w:id="34" w:name="publication-bias-1"/>
      <w:r>
        <w:t xml:space="preserve">Publication Bias</w:t>
      </w:r>
      <w:bookmarkEnd w:id="34"/>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0.53,</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0.004).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5969000" cy="3410857"/>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5"/>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2: Funnel plots for object identification, plotting the standard error of the effect size in relation to the effect size. The black line marks zero, the dashed grey line marks the effect estimate, and the grey line marks funnel plot asymmetry.</w:t>
      </w:r>
    </w:p>
    <w:p>
      <w:pPr>
        <w:pStyle w:val="Textkrper"/>
      </w:pPr>
      <w:r>
        <w:t xml:space="preserve">(Insert Figure</w:t>
      </w:r>
      <w:r>
        <w:t xml:space="preserve"> </w:t>
      </w:r>
      <w:r>
        <w:t xml:space="preserve">2</w:t>
      </w:r>
      <w:r>
        <w:t xml:space="preserve"> </w:t>
      </w:r>
      <w:r>
        <w:t xml:space="preserve">about here)</w:t>
      </w:r>
    </w:p>
    <w:p>
      <w:pPr>
        <w:pStyle w:val="Textkrper"/>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p>
      <w:pPr>
        <w:pStyle w:val="berschrift2"/>
      </w:pPr>
      <w:bookmarkStart w:id="36" w:name="meta-analysis-1"/>
      <w:r>
        <w:t xml:space="preserve">Meta-analysis</w:t>
      </w:r>
      <w:bookmarkEnd w:id="36"/>
    </w:p>
    <w:p>
      <w:pPr>
        <w:pStyle w:val="berschrift3"/>
      </w:pPr>
      <w:bookmarkStart w:id="37" w:name="Xc7250347243a662baf4f954da4659046bb70395"/>
      <w:r>
        <w:t xml:space="preserve">Object Identification for Correct and Mispronounced Words</w:t>
      </w:r>
      <w:bookmarkEnd w:id="37"/>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0.916 (SE = 0.122), a large effect, which was significantly different from zero (CI [0.676, 1.156],</w:t>
      </w:r>
      <w:r>
        <w:t xml:space="preserve"> </w:t>
      </w:r>
      <w:r>
        <w:rPr>
          <w:i/>
        </w:rPr>
        <w:t xml:space="preserve">p</w:t>
      </w:r>
      <w:r>
        <w:t xml:space="preserve"> </w:t>
      </w:r>
      <w:r>
        <w:t xml:space="preserve">&lt; .001) with a CI lower bound of 0.68. We then calculated the meta-analytic effect for object identification in response to mispronounced words. In this case, the variance-weighted meta-analytic effect size was 0.249 (SE = 0.06), a small effect, which was also significantly different from zero (CI [0.132, 0.366],</w:t>
      </w:r>
      <w:r>
        <w:t xml:space="preserve"> </w:t>
      </w:r>
      <w:r>
        <w:rPr>
          <w:i/>
        </w:rPr>
        <w:t xml:space="preserve">p</w:t>
      </w:r>
      <w:r>
        <w:t xml:space="preserve"> </w:t>
      </w:r>
      <w:r>
        <w:t xml:space="preserve">&lt; .001). When presented with a correct or mispronounced label, infants fixated the correct object.</w:t>
      </w:r>
    </w:p>
    <w:p>
      <w:pPr>
        <w:pStyle w:val="berschrift3"/>
      </w:pPr>
      <w:bookmarkStart w:id="38" w:name="X346e5c5dc17d7945366b824dc33df8ef9b06b9a"/>
      <w:r>
        <w:t xml:space="preserve">Mispronunciation Sensitivity Meta-Analytic Effect</w:t>
      </w:r>
      <w:bookmarkEnd w:id="38"/>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103.408,</w:t>
      </w:r>
      <w:r>
        <w:t xml:space="preserve"> </w:t>
      </w:r>
      <w:r>
        <w:rPr>
          <w:i/>
        </w:rPr>
        <w:t xml:space="preserve">p</w:t>
      </w:r>
      <w:r>
        <w:t xml:space="preserve"> </w:t>
      </w:r>
      <w:r>
        <w:t xml:space="preserve">&lt; .001). The estimate for mispronunciation sensitivity was 0.608 (SE = 0.06), and infants’ looking behavior across conditions was significantly different (CI [0.49, 0.725],</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suggesting sensitivity to mispronunciations.</w:t>
      </w:r>
    </w:p>
    <w:p>
      <w:pPr>
        <w:pStyle w:val="Textkrper"/>
      </w:pPr>
      <w:r>
        <w:t xml:space="preserve">The estimated effect for mispronunciation sensitivity in this meta-analysis is 0.61, and the median sample size is 24 participants. If we were to assume that researchers assess mispronunciation sensitivity in a simple paired t-test, the resulting power is 54%. In other words, only about half the studies should report a significant result even with a true population effect. Reversely, to achieve 80% power, one would need to test 43 participants.</w:t>
      </w:r>
    </w:p>
    <w:p>
      <w:pPr>
        <w:pStyle w:val="Textkrper"/>
      </w:pPr>
      <w:r>
        <w:t xml:space="preserve">Heterogeneity was significant for both correctly pronounced (Q(103) = 625.63,</w:t>
      </w:r>
      <w:r>
        <w:t xml:space="preserve"> </w:t>
      </w:r>
      <w:r>
        <w:rPr>
          <w:i/>
        </w:rPr>
        <w:t xml:space="preserve">p</w:t>
      </w:r>
      <w:r>
        <w:t xml:space="preserve"> </w:t>
      </w:r>
      <w:r>
        <w:t xml:space="preserve">&lt; .001) and mispronounced words, (Q(146) = 462.51,</w:t>
      </w:r>
      <w:r>
        <w:t xml:space="preserve"> </w:t>
      </w:r>
      <w:r>
        <w:rPr>
          <w:i/>
        </w:rPr>
        <w:t xml:space="preserve">p</w:t>
      </w:r>
      <w:r>
        <w:t xml:space="preserve"> </w:t>
      </w:r>
      <w:r>
        <w:t xml:space="preserve">&lt; .001), as well as mispronunciation sensitivity, which included the moderator condition (QE(249) = 1,088.14,</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In our moderator analysis we investigate possible sources of this variance.</w:t>
      </w:r>
    </w:p>
    <w:p>
      <w:pPr>
        <w:pStyle w:val="berschrift3"/>
      </w:pPr>
      <w:bookmarkStart w:id="39" w:name="Xaacd3cde916061bc57aacca4d16eddce476999d"/>
      <w:r>
        <w:t xml:space="preserve">Object Recognition and Mispronunciation Sensitivity Modulated by Age</w:t>
      </w:r>
      <w:bookmarkEnd w:id="39"/>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0.558,</w:t>
      </w:r>
      <w:r>
        <w:t xml:space="preserve"> </w:t>
      </w:r>
      <w:r>
        <w:rPr>
          <w:i/>
        </w:rPr>
        <w:t xml:space="preserve">p</w:t>
      </w:r>
      <w:r>
        <w:t xml:space="preserve"> </w:t>
      </w:r>
      <w:r>
        <w:t xml:space="preserve">= 0.455) or mispronounced words (QM(1) = 1.64,</w:t>
      </w:r>
      <w:r>
        <w:t xml:space="preserve"> </w:t>
      </w:r>
      <w:r>
        <w:rPr>
          <w:i/>
        </w:rPr>
        <w:t xml:space="preserve">p</w:t>
      </w:r>
      <w:r>
        <w:t xml:space="preserve"> </w:t>
      </w:r>
      <w:r>
        <w:t xml:space="preserve">= 0.2). The lack of a significant modulation together with the small estimates for age (correct:</w:t>
      </w:r>
      <w:r>
        <w:t xml:space="preserve"> </w:t>
      </w:r>
      <m:oMath>
        <m:r>
          <m:t>β</m:t>
        </m:r>
      </m:oMath>
      <w:r>
        <w:t xml:space="preserve"> </w:t>
      </w:r>
      <w:r>
        <w:t xml:space="preserve">= 0.014, SE = 0.019, 95% CI[-0.022, 0.05],</w:t>
      </w:r>
      <w:r>
        <w:t xml:space="preserve"> </w:t>
      </w:r>
      <w:r>
        <w:rPr>
          <w:i/>
        </w:rPr>
        <w:t xml:space="preserve">p</w:t>
      </w:r>
      <w:r>
        <w:t xml:space="preserve"> </w:t>
      </w:r>
      <w:r>
        <w:t xml:space="preserve">= 0.455;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0.2) indicates that there was no relationship between age and target looks in response to a correctly pronounced or mispronounced label. However, previous experimental studies (</w:t>
      </w:r>
      <w:r>
        <w:t xml:space="preserve">(e.g. Fernald, Pinto, Swingley, Weinberg, &amp; McRoberts, 1998)</w:t>
      </w:r>
      <w:r>
        <w:t xml:space="preserve">) and a recent meta-analysis</w:t>
      </w:r>
      <w:r>
        <w:t xml:space="preserve"> </w:t>
      </w:r>
      <w:r>
        <w:t xml:space="preserve">(Frank, Lewis, &amp; Macdonald, 2016)</w:t>
      </w:r>
      <w:r>
        <w:t xml:space="preserve"> </w:t>
      </w:r>
      <w:r>
        <w:t xml:space="preserve">have found that children’s speed and accuracy in recognition of correctly pronounced words increases with age. Perhaps older children are more likely to be tested on less-frequent, later learned words than younger children, which could lead to a lack of a relationship between age and target looks in response to correct pronunciations in the current meta-analysis.</w:t>
      </w:r>
    </w:p>
    <w:p>
      <w:pPr>
        <w:pStyle w:val="Textkrper"/>
      </w:pPr>
      <w:r>
        <w:t xml:space="preserve">We then examined the interaction between age and mispronunciation sensitivity (correct vs. mispronounced words) in our whole dataset. The moderator test was significant (QM(3) = 106.158,</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0.039],</w:t>
      </w:r>
      <w:r>
        <w:t xml:space="preserve"> </w:t>
      </w:r>
      <w:r>
        <w:rPr>
          <w:i/>
        </w:rPr>
        <w:t xml:space="preserve">p</w:t>
      </w:r>
      <w:r>
        <w:t xml:space="preserve"> </w:t>
      </w:r>
      <w:r>
        <w:t xml:space="preserve">= 0.349). The small estimate, as well as inspection of Figure</w:t>
      </w:r>
      <w:r>
        <w:t xml:space="preserve"> </w:t>
      </w:r>
      <w:r>
        <w:t xml:space="preserve">3</w:t>
      </w:r>
      <w:r>
        <w:t xml:space="preserve">, suggests that as infants age, their mispronunciation sensitivity neither increases or decreases.</w:t>
      </w:r>
    </w:p>
    <w:p>
      <w:pPr>
        <w:pStyle w:val="Textkrper"/>
      </w:pPr>
      <w:r>
        <w:t xml:space="preserve">(Insert Figure</w:t>
      </w:r>
      <w:r>
        <w:t xml:space="preserve"> </w:t>
      </w:r>
      <w:r>
        <w:t xml:space="preserve">3</w:t>
      </w:r>
      <w:r>
        <w:t xml:space="preserve"> </w:t>
      </w:r>
      <w:r>
        <w:t xml:space="preserve">about here)</w:t>
      </w:r>
    </w:p>
    <w:p>
      <w:pPr>
        <w:pStyle w:val="CaptionedFigure"/>
      </w:pPr>
      <w:r>
        <w:drawing>
          <wp:inline>
            <wp:extent cx="5969000" cy="5969000"/>
            <wp:effectExtent b="0" l="0" r="0" t="0"/>
            <wp:docPr descr="Figure 3: Panel a: Effect sizes for correct pronunciations (orange) and mispronunciations (blue) by participant age. Panel b: Effect sizes for mispronunciation sensitivity within subject group and stud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3: Panel a: Effect sizes for correct pronunciations (orange) and mispronunciations (blue) by participant age. Panel b: Effect sizes for mispronunciation sensitivity within subject group and study (correct - mispronunciations) by participant age. For both panels, point size depicts inverse variance and the dashed line indicates zero (chance).</w:t>
      </w:r>
    </w:p>
    <w:p>
      <w:pPr>
        <w:pStyle w:val="berschrift3"/>
      </w:pPr>
      <w:bookmarkStart w:id="41" w:name="vocabulary-correlations"/>
      <w:r>
        <w:t xml:space="preserve">Vocabulary Correlations</w:t>
      </w:r>
      <w:bookmarkEnd w:id="41"/>
    </w:p>
    <w:p>
      <w:pPr>
        <w:pStyle w:val="FirstParagraph"/>
      </w:pPr>
      <w:r>
        <w:t xml:space="preserve">Children comprehend more words than they can produce, leading to different estimates for comprehension and production and we planned to analyze these correlations separately. Of the 32 papers included in the meta-analysis, 13 analyzed the relationship between vocabulary scores and object recognition for correct pronunciations and mispronunciations (comprehension = 11 papers and 39 records; production = 3 papers and 20 records). Although production data may be easier to estimate for parents in the typical questionnaire-based assessment, we deemed 3 papers for production correlations too few to analyze. We also note that individual effect sizes in our analysis were related to object recognition and not mispronunciation sensitivity, and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pPr>
        <w:pStyle w:val="Textkrper"/>
      </w:pPr>
      <w:r>
        <w:t xml:space="preserve">(Insert Figure</w:t>
      </w:r>
      <w:r>
        <w:t xml:space="preserve"> </w:t>
      </w:r>
      <w:r>
        <w:t xml:space="preserve">4</w:t>
      </w:r>
      <w:r>
        <w:t xml:space="preserve"> </w:t>
      </w:r>
      <w:r>
        <w:t xml:space="preserve">about here)</w:t>
      </w:r>
    </w:p>
    <w:p>
      <w:pPr>
        <w:pStyle w:val="CaptionedFigure"/>
      </w:pPr>
      <w:r>
        <w:drawing>
          <wp:inline>
            <wp:extent cx="5969000" cy="3837214"/>
            <wp:effectExtent b="0" l="0" r="0" t="0"/>
            <wp:docPr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42"/>
                    <a:stretch>
                      <a:fillRect/>
                    </a:stretch>
                  </pic:blipFill>
                  <pic:spPr bwMode="auto">
                    <a:xfrm>
                      <a:off x="0" y="0"/>
                      <a:ext cx="5969000" cy="3837214"/>
                    </a:xfrm>
                    <a:prstGeom prst="rect">
                      <a:avLst/>
                    </a:prstGeom>
                    <a:noFill/>
                    <a:ln w="9525">
                      <a:noFill/>
                      <a:headEnd/>
                      <a:tailEnd/>
                    </a:ln>
                  </pic:spPr>
                </pic:pic>
              </a:graphicData>
            </a:graphic>
          </wp:inline>
        </w:drawing>
      </w:r>
    </w:p>
    <w:p>
      <w:pPr>
        <w:pStyle w:val="ImageCaption"/>
      </w:pPr>
      <w:r>
        <w:t xml:space="preserve">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pPr>
        <w:pStyle w:val="berschrift3"/>
      </w:pPr>
      <w:bookmarkStart w:id="43" w:name="Xdf24b462a0d3fece113fc8353513b621d28927d"/>
      <w:r>
        <w:t xml:space="preserve">Interim discussion: Development of infants’ mispronunciation sensitivity</w:t>
      </w:r>
      <w:bookmarkEnd w:id="43"/>
    </w:p>
    <w:p>
      <w:pPr>
        <w:pStyle w:val="FirstParagraph"/>
      </w:pPr>
      <w:r>
        <w:t xml:space="preserve">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already at the beginning of the second year of life.</w:t>
      </w:r>
    </w:p>
    <w:p>
      <w:pPr>
        <w:pStyle w:val="Textkrper"/>
      </w:pPr>
      <w:r>
        <w:t xml:space="preserve">Our power analysis revealed that mispronunciation sensitivity studies typically underpowered, with 54% power and would need to increase their sample from an average of 24 to 43more infants to achieve 80% power. While this number does not seem to differ dramatically from the observed sample sizes, the impact of the smaller sample sizes on power is thus substantial and should be kept in mind when planning future studies.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 and factors influencing this ability.</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mispronunciation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We examine this possibility in a set of moderator analyses</w:t>
      </w:r>
    </w:p>
    <w:p>
      <w:pPr>
        <w:pStyle w:val="berschrift2"/>
      </w:pPr>
      <w:bookmarkStart w:id="44" w:name="moderator-analyses"/>
      <w:r>
        <w:t xml:space="preserve">Moderator Analyses</w:t>
      </w:r>
      <w:bookmarkEnd w:id="44"/>
    </w:p>
    <w:p>
      <w:pPr>
        <w:pStyle w:val="FirstParagraph"/>
      </w:pPr>
      <w:r>
        <w:t xml:space="preserve">If infants’ word recognition skills are generally thought to improve with age and vocabulary size, research questions that tap more complex processes may be more likely to be investigated in older infants. 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Results of the 5 main moderator tests (mispronunciation size, mispronunciation position, mispronunciation type, distractor overlap, distractor familiarity) as well as the individual effects for each moderator interaction are reported in Table 2. The statistic that tests whether a specific moderator explains a significant proportion of variance in the data, QM, was significant for all moderators and subsequent significant interactions of critical terms are interpreted.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Textkrper"/>
      </w:pPr>
      <w:r>
        <w:t xml:space="preserve">(Insert Table 2 about here)</w:t>
      </w:r>
    </w:p>
    <w:p>
      <w:pPr>
        <w:pStyle w:val="berschrift3"/>
      </w:pPr>
      <w:bookmarkStart w:id="45" w:name="size-of-mispronunciation"/>
      <w:r>
        <w:t xml:space="preserve">Size of mispronunciation</w:t>
      </w:r>
      <w:bookmarkEnd w:id="45"/>
    </w:p>
    <w:p>
      <w:pPr>
        <w:pStyle w:val="FirstParagraph"/>
      </w:pPr>
      <w:r>
        <w:t xml:space="preserve">To assess whether the size of the mispronunciation tested, as measured by the number of features changed, modulates mispronunciation sensitivity, we calculated the meta-analytic effect for object identification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graded impact on mispronunciation sensitivity</w:t>
      </w:r>
      <w:r>
        <w:t xml:space="preserve"> </w:t>
      </w:r>
      <w:r>
        <w:t xml:space="preserve">(Mani &amp; Plunkett, 2011; White &amp; Morgan, 2008)</w:t>
      </w:r>
      <w:r>
        <w:t xml:space="preserve"> </w:t>
      </w:r>
      <w:r>
        <w:t xml:space="preserve">and this moderator was coded as a continuous variable. We did not include records for which the number of features changed was not specified or consistent within a record (e.g., both 1- and 2-feature changes within one mispronunciation record).</w:t>
      </w:r>
    </w:p>
    <w:p>
      <w:pPr>
        <w:pStyle w:val="CaptionedFigure"/>
      </w:pPr>
      <w:r>
        <w:drawing>
          <wp:inline>
            <wp:extent cx="5969000" cy="2984500"/>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4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Effect sizes for correct pronunciations, 1-, 2-, and 3-feature mispronunciations.</w:t>
      </w:r>
    </w:p>
    <w:p>
      <w:pPr>
        <w:pStyle w:val="Textkrper"/>
      </w:pPr>
      <w:r>
        <w:t xml:space="preserve">The model results revealed that as the number of features changed increased, the effect size Hedges’</w:t>
      </w:r>
      <w:r>
        <w:t xml:space="preserve"> </w:t>
      </w:r>
      <w:r>
        <w:rPr>
          <w:i/>
        </w:rPr>
        <w:t xml:space="preserve">g</w:t>
      </w:r>
      <w:r>
        <w:t xml:space="preserve"> </w:t>
      </w:r>
      <w:r>
        <w:t xml:space="preserve">significantly decreased (Table 2). We plot this relationship in Figure</w:t>
      </w:r>
      <w:r>
        <w:t xml:space="preserve"> </w:t>
      </w:r>
      <w:r>
        <w:t xml:space="preserve">5</w:t>
      </w:r>
      <w:r>
        <w:t xml:space="preserve">. Age did not modulate this effect. Finally, results of Fisher’s exact test were not significant,</w:t>
      </w:r>
      <w:r>
        <w:t xml:space="preserve"> </w:t>
      </w:r>
      <w:r>
        <w:rPr>
          <w:i/>
        </w:rPr>
        <w:t xml:space="preserve">p</w:t>
      </w:r>
      <w:r>
        <w:t xml:space="preserve"> </w:t>
      </w:r>
      <w:r>
        <w:t xml:space="preserve">= 0.703.</w:t>
      </w:r>
    </w:p>
    <w:p>
      <w:pPr>
        <w:pStyle w:val="Textkrper"/>
      </w:pPr>
      <w:r>
        <w:t xml:space="preserve">(Insert Figure</w:t>
      </w:r>
      <w:r>
        <w:t xml:space="preserve"> </w:t>
      </w:r>
      <w:r>
        <w:t xml:space="preserve">5</w:t>
      </w:r>
      <w:r>
        <w:t xml:space="preserve"> </w:t>
      </w:r>
      <w:r>
        <w:t xml:space="preserve">about here)</w:t>
      </w:r>
    </w:p>
    <w:p>
      <w:pPr>
        <w:pStyle w:val="berschrift3"/>
      </w:pPr>
      <w:bookmarkStart w:id="47" w:name="position-of-mispronunciation"/>
      <w:r>
        <w:t xml:space="preserve">Position of mispronunciation</w:t>
      </w:r>
      <w:bookmarkEnd w:id="47"/>
    </w:p>
    <w:p>
      <w:pPr>
        <w:pStyle w:val="FirstParagraph"/>
      </w:pPr>
      <w:r>
        <w:t xml:space="preserve">We next calculated the meta-analytic effect of mispronunciation sensitivity (moderator: condition) in response to mispronunciations on the onset (</w:t>
      </w:r>
      <w:r>
        <w:rPr>
          <w:i/>
        </w:rPr>
        <w:t xml:space="preserve">n</w:t>
      </w:r>
      <w:r>
        <w:t xml:space="preserve"> </w:t>
      </w:r>
      <w:r>
        <w:t xml:space="preserve">= 143 records), medial medial (</w:t>
      </w:r>
      <w:r>
        <w:rPr>
          <w:i/>
        </w:rPr>
        <w:t xml:space="preserve">n</w:t>
      </w:r>
      <w:r>
        <w:t xml:space="preserve"> </w:t>
      </w:r>
      <w:r>
        <w:t xml:space="preserve">= 48), and coda phonemes (</w:t>
      </w:r>
      <w:r>
        <w:rPr>
          <w:i/>
        </w:rPr>
        <w:t xml:space="preserve">n</w:t>
      </w:r>
      <w:r>
        <w:t xml:space="preserve"> </w:t>
      </w:r>
      <w:r>
        <w:t xml:space="preserve">= 10). We coded the onset, medial, and coda positions as continuous variables, to evaluate the importance of each subsequent position</w:t>
      </w:r>
      <w:r>
        <w:t xml:space="preserve"> </w:t>
      </w:r>
      <w:r>
        <w:t xml:space="preserve">(Marslen-Wilson &amp; Zwitserlood, 1989)</w:t>
      </w:r>
      <w:r>
        <w:t xml:space="preserve">.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w:t>
      </w:r>
    </w:p>
    <w:p>
      <w:pPr>
        <w:pStyle w:val="CaptionedFigure"/>
      </w:pPr>
      <w:r>
        <w:drawing>
          <wp:inline>
            <wp:extent cx="5969000" cy="2984500"/>
            <wp:effectExtent b="0" l="0" r="0" t="0"/>
            <wp:docPr descr="Figure 6: Panel a: Effect sizes for mispronunciation sensitivity within subject group and study (correct - mispronunciations) for mispronunciations on the onset, medial, and coda positions. Panel b: Effect sizes for mispronunciation sensitivity within subject group and study (correct - mispronunciations) for mispronunciations on the onset, medial, and coda posi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4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Panel a: Effect sizes for mispronunciation sensitivity within subject group and study (correct - mispronunciations) for mispronunciations on the onset, medial, and coda positions. Panel b: Effect sizes for mispronunciation sensitivity within subject group and study (correct - mispronunciations) for mispronunciations on the onset, medial, and coda positions by age. For both panels, point size depicts inverse variance and the dashed line indicates zero (chance).</w:t>
      </w:r>
    </w:p>
    <w:p>
      <w:pPr>
        <w:pStyle w:val="Textkrper"/>
      </w:pPr>
      <w:r>
        <w:t xml:space="preserve">The model results revealed that mispronunciation sensitivity decreased linearly as the position of the mispronunciation moved later in the word, with sensitivity greatest for onset mispronunciations and smallest for coda mispronunciations (Table 2). We plot this relationship in Figure</w:t>
      </w:r>
      <w:r>
        <w:t xml:space="preserve"> </w:t>
      </w:r>
      <w:r>
        <w:t xml:space="preserve">6</w:t>
      </w:r>
      <w:r>
        <w:t xml:space="preserve">. When age was added as a moderator, however, the interaction between age, condition, and mispronunciation position was small and not significant. 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w:t>
      </w:r>
    </w:p>
    <w:p>
      <w:pPr>
        <w:pStyle w:val="Textkrper"/>
      </w:pPr>
      <w:r>
        <w:t xml:space="preserve">(Insert Figure</w:t>
      </w:r>
      <w:r>
        <w:t xml:space="preserve"> </w:t>
      </w:r>
      <w:r>
        <w:t xml:space="preserve">6</w:t>
      </w:r>
      <w:r>
        <w:t xml:space="preserve"> </w:t>
      </w:r>
      <w:r>
        <w:t xml:space="preserve">about here)</w:t>
      </w:r>
    </w:p>
    <w:p>
      <w:pPr>
        <w:pStyle w:val="berschrift3"/>
      </w:pPr>
      <w:bookmarkStart w:id="49" w:name="X3fa2a553be28f5fd072717677334e093798d10a"/>
      <w:r>
        <w:t xml:space="preserve">Type of mispronunciation (consonant or vowel)</w:t>
      </w:r>
      <w:bookmarkEnd w:id="49"/>
    </w:p>
    <w:p>
      <w:pPr>
        <w:pStyle w:val="FirstParagraph"/>
      </w:pPr>
      <w:r>
        <w:t xml:space="preserve">We next calculated the meta-analytic effect of mispronunciation sensitivity (moderator: condition) in response to the type of mispronunciation, consonant (</w:t>
      </w:r>
      <w:r>
        <w:rPr>
          <w:i/>
        </w:rPr>
        <w:t xml:space="preserve">n</w:t>
      </w:r>
      <w:r>
        <w:t xml:space="preserve"> </w:t>
      </w:r>
      <w:r>
        <w:t xml:space="preserve">= 145) or vowel (</w:t>
      </w:r>
      <w:r>
        <w:rPr>
          <w:i/>
        </w:rPr>
        <w:t xml:space="preserve">n</w:t>
      </w:r>
      <w:r>
        <w:t xml:space="preserve"> </w:t>
      </w:r>
      <w:r>
        <w:t xml:space="preserve">= 71). Furthermore, sensitivity to consonant and vowel mispronunciations is hypothesized to differ depending on the language family of the infant’s native language.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 We therefore conducted two sets of analyses, one analyzing consonants and vowels alone and a second including langauge family (Germanic vs. Romance) as a moderator. We did not include data for which mispronunciation type varied within experiment and was not reported separately (</w:t>
      </w:r>
      <w:r>
        <w:rPr>
          <w:i/>
        </w:rPr>
        <w:t xml:space="preserve">n</w:t>
      </w:r>
      <w:r>
        <w:t xml:space="preserve"> </w:t>
      </w:r>
      <w:r>
        <w:t xml:space="preserve">= 23).</w:t>
      </w:r>
    </w:p>
    <w:p>
      <w:pPr>
        <w:pStyle w:val="CaptionedFigure"/>
      </w:pPr>
      <w:r>
        <w:drawing>
          <wp:inline>
            <wp:extent cx="5969000" cy="6565900"/>
            <wp:effectExtent b="0" l="0" r="0" t="0"/>
            <wp:docPr descr="Figure 7: Panel a: Effect sizes for mispronunciation sensitivity within subject group and study (correct - mispronunciations) for consonant and vowel mispronunciations. Panel b: Effect sizes for mispronunciation sensitivity within subject group and stud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5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7: Panel a: Effect sizes for mispronunciation sensitivity within subject group and study (correct - mispronunciations) for consonant and vowel mispronunciations. Panel b: Effect sizes for mispronunciation sensitivity within subject group and study (correct - mispronunciations) for consonant and vowel mispronunciations by age. For both panels, point size depicts inverse variance and the dashed line indicates zero (chance).</w:t>
      </w:r>
    </w:p>
    <w:p>
      <w:pPr>
        <w:pStyle w:val="Textkrper"/>
      </w:pPr>
      <w:r>
        <w:t xml:space="preserve">The model results revealed that mispronunciation sensitivity did not differ between consonant and vowel mispronunciations (Table 2). We plot this relationship in Figure</w:t>
      </w:r>
      <w:r>
        <w:t xml:space="preserve"> </w:t>
      </w:r>
      <w:r>
        <w:t xml:space="preserve">7</w:t>
      </w:r>
      <w:r>
        <w:t xml:space="preserve">a. When age was added as a moderator, however, the model revealed that as infants age, mispronunciation sensitivity grows larger for vowel mispronunciations but stays steady for consonant mispronunciations (Figure</w:t>
      </w:r>
      <w:r>
        <w:t xml:space="preserve"> </w:t>
      </w:r>
      <w:r>
        <w:t xml:space="preserve">7</w:t>
      </w:r>
      <w:r>
        <w:t xml:space="preserve">b). 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Textkrper"/>
      </w:pPr>
      <w:r>
        <w:t xml:space="preserve">(Insert Figure</w:t>
      </w:r>
      <w:r>
        <w:t xml:space="preserve"> </w:t>
      </w:r>
      <w:r>
        <w:t xml:space="preserve">7</w:t>
      </w:r>
      <w:r>
        <w:t xml:space="preserve"> </w:t>
      </w:r>
      <w:r>
        <w:t xml:space="preserve">about here)</w:t>
      </w:r>
    </w:p>
    <w:p>
      <w:pPr>
        <w:pStyle w:val="CaptionedFigure"/>
      </w:pPr>
      <w:r>
        <w:drawing>
          <wp:inline>
            <wp:extent cx="5969000" cy="6565900"/>
            <wp:effectExtent b="0" l="0" r="0" t="0"/>
            <wp:docPr descr="Figure 8: 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51"/>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8: 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The model results revealed that mispronunciation sensitivity for consonants was similar for Germanic and Romance languages. Mispronunciation sensitivity for vowels, however, was greater for Germanic compared to Romance languages (Table 2). We plot this relationship in Figure</w:t>
      </w:r>
      <w:r>
        <w:t xml:space="preserve"> </w:t>
      </w:r>
      <w:r>
        <w:t xml:space="preserve">8</w:t>
      </w:r>
      <w:r>
        <w:t xml:space="preserve">a. Adding age as a moderator revealed a small but significant estimate for the four-way interaction between mispronunciation type, condition, language family, and age.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 Due to the small sample size of infants learning Romance languages, we were unable to use Fisher’s exact test.</w:t>
      </w:r>
    </w:p>
    <w:p>
      <w:pPr>
        <w:pStyle w:val="Textkrper"/>
      </w:pPr>
      <w:r>
        <w:t xml:space="preserve">(Insert Figure</w:t>
      </w:r>
      <w:r>
        <w:t xml:space="preserve"> </w:t>
      </w:r>
      <w:r>
        <w:t xml:space="preserve">8</w:t>
      </w:r>
      <w:r>
        <w:t xml:space="preserve"> </w:t>
      </w:r>
      <w:r>
        <w:t xml:space="preserve">about here)</w:t>
      </w:r>
    </w:p>
    <w:p>
      <w:pPr>
        <w:pStyle w:val="berschrift3"/>
      </w:pPr>
      <w:bookmarkStart w:id="52" w:name="Xe0d67c330dad261876a8d33ba4c7b30b5f0674e"/>
      <w:r>
        <w:t xml:space="preserve">Phonological overlap between target and distractor</w:t>
      </w:r>
      <w:bookmarkEnd w:id="52"/>
    </w:p>
    <w:p>
      <w:pPr>
        <w:pStyle w:val="FirstParagraph"/>
      </w:pPr>
      <w:r>
        <w:t xml:space="preserve">We next examined the meta-analytic effect of mispronunciation sensitivity (moderator: condition) in response to mispronunciations when the target-distractor pairs either had no overlap (</w:t>
      </w:r>
      <w:r>
        <w:rPr>
          <w:i/>
        </w:rPr>
        <w:t xml:space="preserve">n</w:t>
      </w:r>
      <w:r>
        <w:t xml:space="preserve"> </w:t>
      </w:r>
      <w:r>
        <w:t xml:space="preserve">= 80) or shared the same onset phoneme (</w:t>
      </w:r>
      <w:r>
        <w:rPr>
          <w:i/>
        </w:rPr>
        <w:t xml:space="preserve">n</w:t>
      </w:r>
      <w:r>
        <w:t xml:space="preserve"> </w:t>
      </w:r>
      <w:r>
        <w:t xml:space="preserve">= 104). We did not include data for which the overlap included other phonemes (i.e. onset and medial, coda) or the distractor was an unfamiliar object.</w:t>
      </w:r>
    </w:p>
    <w:p>
      <w:pPr>
        <w:pStyle w:val="CaptionedFigure"/>
      </w:pPr>
      <w:r>
        <w:drawing>
          <wp:inline>
            <wp:extent cx="5969000" cy="6565900"/>
            <wp:effectExtent b="0" l="0" r="0" t="0"/>
            <wp:docPr descr="Figure 9: Panel a: Effect sizes for mispronunciation sensitivity within subject group and study (correct - mispronunciations) for target-distractor pairs with onset overlap or no overlap. Panel b: Effect sizes for mispronunciation sensitivity within subject group and stud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53"/>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9: Panel a: Effect sizes for mispronunciation sensitivity within subject group and study (correct - mispronunciations) for target-distractor pairs with onset overlap or no overlap. Panel b: Effect sizes for mispronunciation sensitivity within subject group and study (correct - mispronunciations) for target-distractor pairs with onset overlap or no overlap by age. For both panels, point size depicts inverse variance and the dashed line indicates zero (chance).</w:t>
      </w:r>
    </w:p>
    <w:p>
      <w:pPr>
        <w:pStyle w:val="Textkrper"/>
      </w:pPr>
      <w:r>
        <w:t xml:space="preserve">The model results revealed that mispronunciation sensitivity was greater when target-distractor pairs shared the same onset phoneme compared to when they shared no phonological overlap (Table 2). We plot this relationship in Figure</w:t>
      </w:r>
      <w:r>
        <w:t xml:space="preserve"> </w:t>
      </w:r>
      <w:r>
        <w:t xml:space="preserve">9</w:t>
      </w:r>
      <w:r>
        <w:t xml:space="preserve">a. Adding age as a moderator revealed a small but significant estimate for the three-way interaction between age, condition, and distractor overlap (Figure</w:t>
      </w:r>
      <w:r>
        <w:t xml:space="preserve"> </w:t>
      </w:r>
      <w:r>
        <w:t xml:space="preserve">8</w:t>
      </w:r>
      <w:r>
        <w:t xml:space="preserve">b). Mispronunciation sensitivity increased with age for target-distractor pairs containing onset overlap, but decreased with age for target-distractor pairs containing no overlap. 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in experimental conditions that did not control for overlap.</w:t>
      </w:r>
    </w:p>
    <w:p>
      <w:pPr>
        <w:pStyle w:val="Textkrper"/>
      </w:pPr>
      <w:r>
        <w:t xml:space="preserve">(Insert Figure</w:t>
      </w:r>
      <w:r>
        <w:t xml:space="preserve"> </w:t>
      </w:r>
      <w:r>
        <w:t xml:space="preserve">9</w:t>
      </w:r>
      <w:r>
        <w:t xml:space="preserve"> </w:t>
      </w:r>
      <w:r>
        <w:t xml:space="preserve">about here)</w:t>
      </w:r>
    </w:p>
    <w:p>
      <w:pPr>
        <w:pStyle w:val="berschrift3"/>
      </w:pPr>
      <w:bookmarkStart w:id="54" w:name="distractor-familiarity"/>
      <w:r>
        <w:t xml:space="preserve">Distractor familiarity</w:t>
      </w:r>
      <w:bookmarkEnd w:id="54"/>
    </w:p>
    <w:p>
      <w:pPr>
        <w:pStyle w:val="FirstParagraph"/>
      </w:pPr>
      <w:r>
        <w:t xml:space="preserve">We next calculated the meta-analytic effect of mispronunciation sensitivity (moderator: condition) in experiments were the target image was paired with a familiar (</w:t>
      </w:r>
      <w:r>
        <w:rPr>
          <w:i/>
        </w:rPr>
        <w:t xml:space="preserve">n</w:t>
      </w:r>
      <w:r>
        <w:t xml:space="preserve"> </w:t>
      </w:r>
      <w:r>
        <w:t xml:space="preserve">= 179) or unfamiliar (</w:t>
      </w:r>
      <w:r>
        <w:rPr>
          <w:i/>
        </w:rPr>
        <w:t xml:space="preserve">n</w:t>
      </w:r>
      <w:r>
        <w:t xml:space="preserve"> </w:t>
      </w:r>
      <w:r>
        <w:t xml:space="preserve">= 72) distractor image.</w:t>
      </w:r>
    </w:p>
    <w:p>
      <w:pPr>
        <w:pStyle w:val="Compact"/>
      </w:pPr>
      <w:r>
        <w:t xml:space="preserve">(#tab:mod_table_finalize)</w:t>
      </w:r>
    </w:p>
    <w:p>
      <w:pPr>
        <w:pStyle w:val="Compact"/>
      </w:pPr>
      <w:r>
        <w:rPr>
          <w:i/>
        </w:rPr>
        <w:t xml:space="preserve">Summary of the 5 moderator tests, including effect estimates for effects and critical interactions.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Moderator</w:t>
            </w:r>
          </w:p>
        </w:tc>
        <w:tc>
          <w:tcPr>
            <w:tcBorders>
              <w:bottom w:val="single"/>
            </w:tcBorders>
            <w:vAlign w:val="bottom"/>
          </w:tcPr>
          <w:p>
            <w:pPr>
              <w:pStyle w:val="Compact"/>
              <w:jc w:val="left"/>
            </w:pPr>
            <w:r>
              <w:t xml:space="preserve">Moderator Test</w:t>
            </w:r>
          </w:p>
        </w:tc>
        <w:tc>
          <w:tcPr>
            <w:tcBorders>
              <w:bottom w:val="single"/>
            </w:tcBorders>
            <w:vAlign w:val="bottom"/>
          </w:tcPr>
          <w:p>
            <w:pPr>
              <w:pStyle w:val="Compact"/>
              <w:jc w:val="left"/>
            </w:pPr>
            <w:r>
              <w:t xml:space="preserve">Interaction Terms</w:t>
            </w:r>
          </w:p>
        </w:tc>
        <w:tc>
          <w:tcPr>
            <w:tcBorders>
              <w:bottom w:val="single"/>
            </w:tcBorders>
            <w:vAlign w:val="bottom"/>
          </w:tcPr>
          <w:p>
            <w:pPr>
              <w:pStyle w:val="Compact"/>
              <w:jc w:val="left"/>
            </w:pPr>
            <w:r>
              <w:t xml:space="preserve">Hedges’</w:t>
            </w:r>
            <w:r>
              <w:t xml:space="preserve"> </w:t>
            </w:r>
            <w:r>
              <w:rPr>
                <w:i/>
              </w:rPr>
              <w:t xml:space="preserve">g</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rPr>
                <w:i/>
              </w:rPr>
              <w:t xml:space="preserve">p</w:t>
            </w:r>
            <w:r>
              <w:t xml:space="preserve">-value</w:t>
            </w:r>
          </w:p>
        </w:tc>
      </w:tr>
      <w:tr>
        <w:tc>
          <w:p>
            <w:pPr>
              <w:pStyle w:val="Compact"/>
              <w:jc w:val="left"/>
            </w:pPr>
            <w:r>
              <w:t xml:space="preserve">Misp. size</w:t>
            </w:r>
          </w:p>
        </w:tc>
        <w:tc>
          <w:p>
            <w:pPr>
              <w:pStyle w:val="Compact"/>
              <w:jc w:val="left"/>
            </w:pPr>
            <w:r>
              <w:t xml:space="preserve">QM(1) = 61.081,</w:t>
            </w:r>
            <w:r>
              <w:t xml:space="preserve"> </w:t>
            </w:r>
            <w:r>
              <w:rPr>
                <w:i/>
              </w:rPr>
              <w:t xml:space="preserve">p</w:t>
            </w:r>
            <w:r>
              <w:t xml:space="preserve"> </w:t>
            </w:r>
            <w:r>
              <w:t xml:space="preserve">&lt; .001</w:t>
            </w:r>
          </w:p>
        </w:tc>
        <w:tc>
          <w:p/>
        </w:tc>
        <w:tc>
          <w:p>
            <w:pPr>
              <w:pStyle w:val="Compact"/>
              <w:jc w:val="left"/>
            </w:pPr>
            <w:r>
              <w:t xml:space="preserve">-0.406</w:t>
            </w:r>
          </w:p>
        </w:tc>
        <w:tc>
          <w:p>
            <w:pPr>
              <w:pStyle w:val="Compact"/>
              <w:jc w:val="left"/>
            </w:pPr>
            <w:r>
              <w:t xml:space="preserve">0.052</w:t>
            </w:r>
          </w:p>
        </w:tc>
        <w:tc>
          <w:p>
            <w:pPr>
              <w:pStyle w:val="Compact"/>
              <w:jc w:val="left"/>
            </w:pPr>
            <w:r>
              <w:t xml:space="preserve">[-0.507, -0.304]</w:t>
            </w:r>
          </w:p>
        </w:tc>
        <w:tc>
          <w:p>
            <w:pPr>
              <w:pStyle w:val="Compact"/>
              <w:jc w:val="left"/>
            </w:pPr>
            <w:r>
              <w:t xml:space="preserve">&lt; .001</w:t>
            </w:r>
          </w:p>
        </w:tc>
      </w:tr>
      <w:tr>
        <w:tc>
          <w:p/>
        </w:tc>
        <w:tc>
          <w:p>
            <w:pPr>
              <w:pStyle w:val="Compact"/>
              <w:jc w:val="left"/>
            </w:pPr>
            <w:r>
              <w:t xml:space="preserve">QM(3) = 143.617,</w:t>
            </w:r>
            <w:r>
              <w:t xml:space="preserve"> </w:t>
            </w:r>
            <w:r>
              <w:rPr>
                <w:i/>
              </w:rPr>
              <w:t xml:space="preserve">p</w:t>
            </w:r>
            <w:r>
              <w:t xml:space="preserve"> </w:t>
            </w:r>
            <w:r>
              <w:t xml:space="preserve">&lt; .001</w:t>
            </w:r>
          </w:p>
        </w:tc>
        <w:tc>
          <w:p>
            <w:pPr>
              <w:pStyle w:val="Compact"/>
              <w:jc w:val="left"/>
            </w:pPr>
            <w:r>
              <w:t xml:space="preserve">Age</w:t>
            </w:r>
          </w:p>
        </w:tc>
        <w:tc>
          <w:p>
            <w:pPr>
              <w:pStyle w:val="Compact"/>
              <w:jc w:val="left"/>
            </w:pPr>
            <w:r>
              <w:t xml:space="preserve">0.009</w:t>
            </w:r>
          </w:p>
        </w:tc>
        <w:tc>
          <w:p>
            <w:pPr>
              <w:pStyle w:val="Compact"/>
              <w:jc w:val="left"/>
            </w:pPr>
            <w:r>
              <w:t xml:space="preserve">0.006</w:t>
            </w:r>
          </w:p>
        </w:tc>
        <w:tc>
          <w:p>
            <w:pPr>
              <w:pStyle w:val="Compact"/>
              <w:jc w:val="left"/>
            </w:pPr>
            <w:r>
              <w:t xml:space="preserve">[-0.002, 0.02]</w:t>
            </w:r>
          </w:p>
        </w:tc>
        <w:tc>
          <w:p>
            <w:pPr>
              <w:pStyle w:val="Compact"/>
              <w:jc w:val="left"/>
            </w:pPr>
            <w:r>
              <w:t xml:space="preserve">= 0.099</w:t>
            </w:r>
          </w:p>
        </w:tc>
      </w:tr>
      <w:tr>
        <w:tc>
          <w:p>
            <w:pPr>
              <w:pStyle w:val="Compact"/>
              <w:jc w:val="left"/>
            </w:pPr>
            <w:r>
              <w:t xml:space="preserve">Misp. position</w:t>
            </w:r>
          </w:p>
        </w:tc>
        <w:tc>
          <w:p>
            <w:pPr>
              <w:pStyle w:val="Compact"/>
              <w:jc w:val="left"/>
            </w:pPr>
            <w:r>
              <w:t xml:space="preserve">QM(3) = 172.345,</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-0.126</w:t>
            </w:r>
          </w:p>
        </w:tc>
        <w:tc>
          <w:p>
            <w:pPr>
              <w:pStyle w:val="Compact"/>
              <w:jc w:val="left"/>
            </w:pPr>
            <w:r>
              <w:t xml:space="preserve">0.064</w:t>
            </w:r>
          </w:p>
        </w:tc>
        <w:tc>
          <w:p>
            <w:pPr>
              <w:pStyle w:val="Compact"/>
              <w:jc w:val="left"/>
            </w:pPr>
            <w:r>
              <w:t xml:space="preserve">[-0.252, 0]</w:t>
            </w:r>
          </w:p>
        </w:tc>
        <w:tc>
          <w:p>
            <w:pPr>
              <w:pStyle w:val="Compact"/>
              <w:jc w:val="left"/>
            </w:pPr>
            <w:r>
              <w:t xml:space="preserve">= 0.049</w:t>
            </w:r>
          </w:p>
        </w:tc>
      </w:tr>
      <w:tr>
        <w:tc>
          <w:p/>
        </w:tc>
        <w:tc>
          <w:p>
            <w:pPr>
              <w:pStyle w:val="Compact"/>
              <w:jc w:val="left"/>
            </w:pPr>
            <w:r>
              <w:t xml:space="preserve">QM(7) = 175.856,</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0.022</w:t>
            </w:r>
          </w:p>
        </w:tc>
        <w:tc>
          <w:p>
            <w:pPr>
              <w:pStyle w:val="Compact"/>
              <w:jc w:val="left"/>
            </w:pPr>
            <w:r>
              <w:t xml:space="preserve">0.018</w:t>
            </w:r>
          </w:p>
        </w:tc>
        <w:tc>
          <w:p>
            <w:pPr>
              <w:pStyle w:val="Compact"/>
              <w:jc w:val="left"/>
            </w:pPr>
            <w:r>
              <w:t xml:space="preserve">[-0.013, 0.057]</w:t>
            </w:r>
          </w:p>
        </w:tc>
        <w:tc>
          <w:p>
            <w:pPr>
              <w:pStyle w:val="Compact"/>
              <w:jc w:val="left"/>
            </w:pPr>
            <w:r>
              <w:t xml:space="preserve">= 0.223</w:t>
            </w:r>
          </w:p>
        </w:tc>
      </w:tr>
      <w:tr>
        <w:tc>
          <w:p>
            <w:pPr>
              <w:pStyle w:val="Compact"/>
              <w:jc w:val="left"/>
            </w:pPr>
            <w:r>
              <w:t xml:space="preserve">Misp. type</w:t>
            </w:r>
          </w:p>
        </w:tc>
        <w:tc>
          <w:p>
            <w:pPr>
              <w:pStyle w:val="Compact"/>
              <w:jc w:val="left"/>
            </w:pPr>
            <w:r>
              <w:t xml:space="preserve">QM(3) = 145.138,</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0.056</w:t>
            </w:r>
          </w:p>
        </w:tc>
        <w:tc>
          <w:p>
            <w:pPr>
              <w:pStyle w:val="Compact"/>
              <w:jc w:val="left"/>
            </w:pPr>
            <w:r>
              <w:t xml:space="preserve">0.079</w:t>
            </w:r>
          </w:p>
        </w:tc>
        <w:tc>
          <w:p>
            <w:pPr>
              <w:pStyle w:val="Compact"/>
              <w:jc w:val="left"/>
            </w:pPr>
            <w:r>
              <w:t xml:space="preserve">[-0.099, 0.211]</w:t>
            </w:r>
          </w:p>
        </w:tc>
        <w:tc>
          <w:p>
            <w:pPr>
              <w:pStyle w:val="Compact"/>
              <w:jc w:val="left"/>
            </w:pPr>
            <w:r>
              <w:t xml:space="preserve">= 0.479</w:t>
            </w:r>
          </w:p>
        </w:tc>
      </w:tr>
      <w:tr>
        <w:tc>
          <w:p/>
        </w:tc>
        <w:tc>
          <w:p>
            <w:pPr>
              <w:pStyle w:val="Compact"/>
              <w:jc w:val="left"/>
            </w:pPr>
            <w:r>
              <w:t xml:space="preserve">QM(7) = 153.795,</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0.044</w:t>
            </w:r>
          </w:p>
        </w:tc>
        <w:tc>
          <w:p>
            <w:pPr>
              <w:pStyle w:val="Compact"/>
              <w:jc w:val="left"/>
            </w:pPr>
            <w:r>
              <w:t xml:space="preserve">0.018</w:t>
            </w:r>
          </w:p>
        </w:tc>
        <w:tc>
          <w:p>
            <w:pPr>
              <w:pStyle w:val="Compact"/>
              <w:jc w:val="left"/>
            </w:pPr>
            <w:r>
              <w:t xml:space="preserve">[0.008, 0.08]</w:t>
            </w:r>
          </w:p>
        </w:tc>
        <w:tc>
          <w:p>
            <w:pPr>
              <w:pStyle w:val="Compact"/>
              <w:jc w:val="left"/>
            </w:pPr>
            <w:r>
              <w:t xml:space="preserve">= 0.016</w:t>
            </w:r>
          </w:p>
        </w:tc>
      </w:tr>
      <w:tr>
        <w:tc>
          <w:p/>
        </w:tc>
        <w:tc>
          <w:p>
            <w:pPr>
              <w:pStyle w:val="Compact"/>
              <w:jc w:val="left"/>
            </w:pPr>
            <w:r>
              <w:t xml:space="preserve">QM(7) = 158.889,</w:t>
            </w:r>
            <w:r>
              <w:t xml:space="preserve"> </w:t>
            </w:r>
            <w:r>
              <w:rPr>
                <w:i/>
              </w:rPr>
              <w:t xml:space="preserve">p</w:t>
            </w:r>
            <w:r>
              <w:t xml:space="preserve"> </w:t>
            </w:r>
            <w:r>
              <w:t xml:space="preserve">&lt; .001</w:t>
            </w:r>
          </w:p>
        </w:tc>
        <w:tc>
          <w:p>
            <w:pPr>
              <w:pStyle w:val="Compact"/>
              <w:jc w:val="left"/>
            </w:pPr>
            <w:r>
              <w:t xml:space="preserve">Condition * Language Family</w:t>
            </w:r>
          </w:p>
        </w:tc>
        <w:tc>
          <w:p>
            <w:pPr>
              <w:pStyle w:val="Compact"/>
              <w:jc w:val="left"/>
            </w:pPr>
            <w:r>
              <w:t xml:space="preserve">-0.872</w:t>
            </w:r>
          </w:p>
        </w:tc>
        <w:tc>
          <w:p>
            <w:pPr>
              <w:pStyle w:val="Compact"/>
              <w:jc w:val="left"/>
            </w:pPr>
            <w:r>
              <w:t xml:space="preserve">0.28</w:t>
            </w:r>
          </w:p>
        </w:tc>
        <w:tc>
          <w:p>
            <w:pPr>
              <w:pStyle w:val="Compact"/>
              <w:jc w:val="left"/>
            </w:pPr>
            <w:r>
              <w:t xml:space="preserve">[-1.421, -0.323]</w:t>
            </w:r>
          </w:p>
        </w:tc>
        <w:tc>
          <w:p>
            <w:pPr>
              <w:pStyle w:val="Compact"/>
              <w:jc w:val="left"/>
            </w:pPr>
            <w:r>
              <w:t xml:space="preserve">= 0.002</w:t>
            </w:r>
          </w:p>
        </w:tc>
      </w:tr>
      <w:tr>
        <w:tc>
          <w:p/>
        </w:tc>
        <w:tc>
          <w:p>
            <w:pPr>
              <w:pStyle w:val="Compact"/>
              <w:jc w:val="left"/>
            </w:pPr>
            <w:r>
              <w:t xml:space="preserve">QM(15) = 185.148,</w:t>
            </w:r>
            <w:r>
              <w:t xml:space="preserve"> </w:t>
            </w:r>
            <w:r>
              <w:rPr>
                <w:i/>
              </w:rPr>
              <w:t xml:space="preserve">p</w:t>
            </w:r>
            <w:r>
              <w:t xml:space="preserve"> </w:t>
            </w:r>
            <w:r>
              <w:t xml:space="preserve">&lt; .001</w:t>
            </w:r>
          </w:p>
        </w:tc>
        <w:tc>
          <w:p>
            <w:pPr>
              <w:pStyle w:val="Compact"/>
              <w:jc w:val="left"/>
            </w:pPr>
            <w:r>
              <w:t xml:space="preserve">Condition * Language Family * Age</w:t>
            </w:r>
          </w:p>
        </w:tc>
        <w:tc>
          <w:p>
            <w:pPr>
              <w:pStyle w:val="Compact"/>
              <w:jc w:val="left"/>
            </w:pPr>
            <w:r>
              <w:t xml:space="preserve">0.331</w:t>
            </w:r>
          </w:p>
        </w:tc>
        <w:tc>
          <w:p>
            <w:pPr>
              <w:pStyle w:val="Compact"/>
              <w:jc w:val="left"/>
            </w:pPr>
            <w:r>
              <w:t xml:space="preserve">0.078</w:t>
            </w:r>
          </w:p>
        </w:tc>
        <w:tc>
          <w:p>
            <w:pPr>
              <w:pStyle w:val="Compact"/>
              <w:jc w:val="left"/>
            </w:pPr>
            <w:r>
              <w:t xml:space="preserve">[0.178, 0.484]</w:t>
            </w:r>
          </w:p>
        </w:tc>
        <w:tc>
          <w:p>
            <w:pPr>
              <w:pStyle w:val="Compact"/>
              <w:jc w:val="left"/>
            </w:pPr>
            <w:r>
              <w:t xml:space="preserve">&lt; .001</w:t>
            </w:r>
          </w:p>
        </w:tc>
      </w:tr>
      <w:tr>
        <w:tc>
          <w:p>
            <w:pPr>
              <w:pStyle w:val="Compact"/>
              <w:jc w:val="left"/>
            </w:pPr>
            <w:r>
              <w:t xml:space="preserve">Distractor overlap</w:t>
            </w:r>
          </w:p>
        </w:tc>
        <w:tc>
          <w:p>
            <w:pPr>
              <w:pStyle w:val="Compact"/>
              <w:jc w:val="left"/>
            </w:pPr>
            <w:r>
              <w:t xml:space="preserve">QM(3) = 48.101,</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0.195</w:t>
            </w:r>
          </w:p>
        </w:tc>
        <w:tc>
          <w:p>
            <w:pPr>
              <w:pStyle w:val="Compact"/>
              <w:jc w:val="left"/>
            </w:pPr>
            <w:r>
              <w:t xml:space="preserve">0.213</w:t>
            </w:r>
          </w:p>
        </w:tc>
        <w:tc>
          <w:p>
            <w:pPr>
              <w:pStyle w:val="Compact"/>
              <w:jc w:val="left"/>
            </w:pPr>
            <w:r>
              <w:t xml:space="preserve">[-0.223, 0.612]</w:t>
            </w:r>
          </w:p>
        </w:tc>
        <w:tc>
          <w:p>
            <w:pPr>
              <w:pStyle w:val="Compact"/>
              <w:jc w:val="left"/>
            </w:pPr>
            <w:r>
              <w:t xml:space="preserve">= 0.36</w:t>
            </w:r>
          </w:p>
        </w:tc>
      </w:tr>
      <w:tr>
        <w:tc>
          <w:p/>
        </w:tc>
        <w:tc>
          <w:p>
            <w:pPr>
              <w:pStyle w:val="Compact"/>
              <w:jc w:val="left"/>
            </w:pPr>
            <w:r>
              <w:t xml:space="preserve">QM(7) = 67.82,</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0.091</w:t>
            </w:r>
          </w:p>
        </w:tc>
        <w:tc>
          <w:p>
            <w:pPr>
              <w:pStyle w:val="Compact"/>
              <w:jc w:val="left"/>
            </w:pPr>
            <w:r>
              <w:t xml:space="preserve">0.038</w:t>
            </w:r>
          </w:p>
        </w:tc>
        <w:tc>
          <w:p>
            <w:pPr>
              <w:pStyle w:val="Compact"/>
              <w:jc w:val="left"/>
            </w:pPr>
            <w:r>
              <w:t xml:space="preserve">[0.017, 0.166]</w:t>
            </w:r>
          </w:p>
        </w:tc>
        <w:tc>
          <w:p>
            <w:pPr>
              <w:pStyle w:val="Compact"/>
              <w:jc w:val="left"/>
            </w:pPr>
            <w:r>
              <w:t xml:space="preserve">= 0.016</w:t>
            </w:r>
          </w:p>
        </w:tc>
      </w:tr>
      <w:tr>
        <w:tc>
          <w:p>
            <w:pPr>
              <w:pStyle w:val="Compact"/>
              <w:jc w:val="left"/>
            </w:pPr>
            <w:r>
              <w:t xml:space="preserve">Distractor familiarity</w:t>
            </w:r>
          </w:p>
        </w:tc>
        <w:tc>
          <w:p>
            <w:pPr>
              <w:pStyle w:val="Compact"/>
              <w:jc w:val="left"/>
            </w:pPr>
            <w:r>
              <w:t xml:space="preserve">QM(3) = 104.058,</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0.067</w:t>
            </w:r>
          </w:p>
        </w:tc>
        <w:tc>
          <w:p>
            <w:pPr>
              <w:pStyle w:val="Compact"/>
              <w:jc w:val="left"/>
            </w:pPr>
            <w:r>
              <w:t xml:space="preserve">0.137</w:t>
            </w:r>
          </w:p>
        </w:tc>
        <w:tc>
          <w:p>
            <w:pPr>
              <w:pStyle w:val="Compact"/>
              <w:jc w:val="left"/>
            </w:pPr>
            <w:r>
              <w:t xml:space="preserve">[-0.203, 0.336]</w:t>
            </w:r>
          </w:p>
        </w:tc>
        <w:tc>
          <w:p>
            <w:pPr>
              <w:pStyle w:val="Compact"/>
              <w:jc w:val="left"/>
            </w:pPr>
            <w:r>
              <w:t xml:space="preserve">= 0.628</w:t>
            </w:r>
          </w:p>
        </w:tc>
      </w:tr>
      <w:tr>
        <w:tc>
          <w:p/>
        </w:tc>
        <w:tc>
          <w:p>
            <w:pPr>
              <w:pStyle w:val="Compact"/>
              <w:jc w:val="left"/>
            </w:pPr>
            <w:r>
              <w:t xml:space="preserve">QM(7) = 107.683,</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-0.021</w:t>
            </w:r>
          </w:p>
        </w:tc>
        <w:tc>
          <w:p>
            <w:pPr>
              <w:pStyle w:val="Compact"/>
              <w:jc w:val="left"/>
            </w:pPr>
            <w:r>
              <w:t xml:space="preserve">0.035</w:t>
            </w:r>
          </w:p>
        </w:tc>
        <w:tc>
          <w:p>
            <w:pPr>
              <w:pStyle w:val="Compact"/>
              <w:jc w:val="left"/>
            </w:pPr>
            <w:r>
              <w:t xml:space="preserve">[-0.09, 0.048]</w:t>
            </w:r>
          </w:p>
        </w:tc>
        <w:tc>
          <w:p>
            <w:pPr>
              <w:pStyle w:val="Compact"/>
              <w:jc w:val="left"/>
            </w:pPr>
            <w:r>
              <w:t xml:space="preserve">= 0.547</w:t>
            </w:r>
          </w:p>
        </w:tc>
      </w:tr>
    </w:tbl>
    <w:p>
      <w:pPr>
        <w:pStyle w:val="Textkrper"/>
      </w:pPr>
      <w:r>
        <w:t xml:space="preserve">The model results revealed that infants’ familiarity with the distractor object (familiar or unfamiliar) did not impact their mispronunciation sensitivity, nor was this relationship influenced by the age of the infant. The results of Fisher’s exact test were not significant,</w:t>
      </w:r>
      <w:r>
        <w:t xml:space="preserve"> </w:t>
      </w:r>
      <w:r>
        <w:rPr>
          <w:i/>
        </w:rPr>
        <w:t xml:space="preserve">p</w:t>
      </w:r>
      <w:r>
        <w:t xml:space="preserve"> </w:t>
      </w:r>
      <w:r>
        <w:t xml:space="preserve">= 0.072.</w:t>
      </w:r>
    </w:p>
    <w:p>
      <w:pPr>
        <w:pStyle w:val="berschrift3"/>
      </w:pPr>
      <w:bookmarkStart w:id="55" w:name="interim-discussion-moderator-analyses"/>
      <w:r>
        <w:t xml:space="preserve">Interim discussion: Moderator analyses</w:t>
      </w:r>
      <w:bookmarkEnd w:id="55"/>
    </w:p>
    <w:p>
      <w:pPr>
        <w:pStyle w:val="FirstParagraph"/>
      </w:pPr>
      <w:r>
        <w:t xml:space="preserve">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this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pPr>
        <w:pStyle w:val="berschrift2"/>
      </w:pPr>
      <w:bookmarkStart w:id="56" w:name="exploratory-analyses"/>
      <w:r>
        <w:t xml:space="preserve">Exploratory Analyses</w:t>
      </w:r>
      <w:bookmarkEnd w:id="56"/>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a particular study does not find that infants looked to the target object upon hearing a correct pronunciation. With this pattern of behavior, interpreting an effect of mispronunciation sensitivity becomes difficult; how can infants notice a phoneme change when they do not even show recognition of the correct pronunciation? A lack of recognition or a small effect for correct pronunciations would be more difficult to publish</w:t>
      </w:r>
      <w:r>
        <w:t xml:space="preserve"> </w:t>
      </w:r>
      <w:r>
        <w:t xml:space="preserve">(Ferguson &amp; Heene, 2012)</w:t>
      </w:r>
      <w:r>
        <w:t xml:space="preserve">. In order to have publishable results, adjustments to the analysis approach could be made until a significant effect of recognition for correct pronunciations is found. But, these adjustments would also need to be made for the analysis of mispronunciations, which may impact the size of the mispronunciation sensitivity effect. Such a scenario could explain the publication bias suggested by the asymmetry for correct pronunciations in the funnel plot shown in Figure</w:t>
      </w:r>
      <w:r>
        <w:t xml:space="preserve"> </w:t>
      </w:r>
      <w:r>
        <w:t xml:space="preserve">2</w:t>
      </w:r>
      <w:r>
        <w:t xml:space="preserve"> </w:t>
      </w:r>
      <w:r>
        <w:t xml:space="preserve">(Simmons, Nelson, &amp; Simonsohn, 2011)</w:t>
      </w:r>
      <w:r>
        <w:t xml:space="preserve">. This could lead to an increase in significant results and even alter the developmental trajectory of mispronunciation sensitivity.</w:t>
      </w:r>
    </w:p>
    <w:p>
      <w:pPr>
        <w:pStyle w:val="Textkrper"/>
      </w:pPr>
      <w:r>
        <w:t xml:space="preserve">We examine whether variation in the approach to data analysis may be have an influence on our conclusions regarding infants’ developing mispronunciation sensitivity. To do so, we analyzed analysis choices related to timing (post-naming analysis window; offset time) and type of dependent variable in our coding of the dataset because they are consistently reported. Further, since we observe variation in both aspects of data analysis, summarizing typical choices and their impact might be useful for experiment design in the future and might help establish field standards. In the following, we discuss the possible theoretical motivation for these data analysis choices, the variation present in the current meta-analysis dataset, and the influence these analysis choices may have on reported mispronunciation sensitivity and its development. We focus specifically on the size of the mispronunciation sensitivity effect, considering the whole dataset and including condition (correct pronunciation, mispronunciation) as a moderator.</w:t>
      </w:r>
    </w:p>
    <w:p>
      <w:pPr>
        <w:pStyle w:val="berschrift3"/>
      </w:pPr>
      <w:bookmarkStart w:id="57" w:name="timing"/>
      <w:r>
        <w:t xml:space="preserve">Timing</w:t>
      </w:r>
      <w:bookmarkEnd w:id="57"/>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Evidence suggests that the speed of word recognition processing is slower in young infants</w:t>
      </w:r>
      <w:r>
        <w:t xml:space="preserve"> </w:t>
      </w:r>
      <w:r>
        <w:t xml:space="preserve">(Fernald et al., 1998)</w:t>
      </w:r>
      <w:r>
        <w:t xml:space="preserve">, which may lead researchers to include longer post-naming phases in their experiments with younger infants. The post-naming analysis window, in contrast, represents how much of this phase was included in the statistical analysis and can be chosen after the experimental data is collected and perhaps observed. If infant age is influencing the length of these windows, we should expect a negative correlation.</w:t>
      </w:r>
    </w:p>
    <w:p>
      <w:pPr>
        <w:pStyle w:val="Textkrper"/>
      </w:pPr>
      <w:r>
        <w:t xml:space="preserve">Across papers, there was wide variation in the length of the post-naming phase (</w:t>
      </w:r>
      <w:r>
        <w:rPr>
          <w:i/>
        </w:rPr>
        <w:t xml:space="preserve">Median</w:t>
      </w:r>
      <w:r>
        <w:t xml:space="preserve"> </w:t>
      </w:r>
      <w:r>
        <w:t xml:space="preserve">= 3500 ms, range = 2000 - 9000) and the post-naming analysis window (</w:t>
      </w:r>
      <w:r>
        <w:rPr>
          <w:i/>
        </w:rPr>
        <w:t xml:space="preserve">Median</w:t>
      </w:r>
      <w:r>
        <w:t xml:space="preserve"> </w:t>
      </w:r>
      <w:r>
        <w:t xml:space="preserve">= 2500 ms, range = 1510 - 4000). The most popular post-naming phase length was 4000 ms (</w:t>
      </w:r>
      <w:r>
        <w:rPr>
          <w:i/>
        </w:rPr>
        <w:t xml:space="preserve">n</w:t>
      </w:r>
      <w:r>
        <w:t xml:space="preserve"> </w:t>
      </w:r>
      <w:r>
        <w:t xml:space="preserve">= 74 records) and 2000 ms (</w:t>
      </w:r>
      <w:r>
        <w:rPr>
          <w:i/>
        </w:rPr>
        <w:t xml:space="preserve">n</w:t>
      </w:r>
      <w:r>
        <w:t xml:space="preserve"> </w:t>
      </w:r>
      <w:r>
        <w:t xml:space="preserve">= 97 records) was the most popular for the post-naming analysis window. About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Considering the post-naming analysis window may be determined after data collection and observation, we next investigated whether this impacted measures of mispronunciation sensitivity.</w:t>
      </w:r>
    </w:p>
    <w:p>
      <w:pPr>
        <w:pStyle w:val="CaptionedFigure"/>
      </w:pPr>
      <w:r>
        <w:drawing>
          <wp:inline>
            <wp:extent cx="5969000" cy="6565900"/>
            <wp:effectExtent b="0" l="0" r="0" t="0"/>
            <wp:docPr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58"/>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pPr>
        <w:pStyle w:val="Textkrper"/>
      </w:pPr>
      <w:r>
        <w:t xml:space="preserve">When post-naming analysis window length and condition (correct pronunciation, mispronunciation) were included as moderators, the moderator test was significant (QM(3) = 236.958,</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-0.262, SE = 0.059, 95% CI[-0.377, -0.148],</w:t>
      </w:r>
      <w:r>
        <w:t xml:space="preserve"> </w:t>
      </w:r>
      <w:r>
        <w:rPr>
          <w:i/>
        </w:rPr>
        <w:t xml:space="preserve">p</w:t>
      </w:r>
      <w:r>
        <w:t xml:space="preserve"> </w:t>
      </w:r>
      <w:r>
        <w:t xml:space="preserve">&lt; .001), showing that as the length of the post-naming analysis window increased, the difference between target fixations for correctly pronounced and mispronounced items (mispronunciation sensitivity) decreased. This relationship is plotted in Figure</w:t>
      </w:r>
      <w:r>
        <w:t xml:space="preserve"> </w:t>
      </w:r>
      <w:r>
        <w:t xml:space="preserve">10</w:t>
      </w:r>
      <w:r>
        <w:t xml:space="preserve">a. When age was added as a moderator, the moderator test was significant (QM(7) = 247.322,</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(a limit we imposed for visualization purposes), mispronunciation sensitivity seems to increase with infant age. If the post-naming analysis window is greater than 2000 ms, however, there is no or a negative relation between mispronunciation sensitivity and age.</w:t>
      </w:r>
    </w:p>
    <w:p>
      <w:pPr>
        <w:pStyle w:val="Textkrper"/>
      </w:pPr>
      <w:r>
        <w:t xml:space="preserve">(Insert Figure</w:t>
      </w:r>
      <w:r>
        <w:t xml:space="preserve"> </w:t>
      </w:r>
      <w:r>
        <w:t xml:space="preserve">10</w:t>
      </w:r>
      <w:r>
        <w:t xml:space="preserve"> </w:t>
      </w:r>
      <w:r>
        <w:t xml:space="preserve">about here)</w:t>
      </w:r>
    </w:p>
    <w:p>
      <w:pPr>
        <w:pStyle w:val="berschrift2"/>
      </w:pPr>
      <w:bookmarkStart w:id="59" w:name="dependent-variable"/>
      <w:r>
        <w:t xml:space="preserve">Dependent variable</w:t>
      </w:r>
      <w:bookmarkEnd w:id="59"/>
    </w:p>
    <w:p>
      <w:pPr>
        <w:pStyle w:val="FirstParagraph"/>
      </w:pPr>
      <w:r>
        <w:t xml:space="preserve">As described in the Methods section, there was considerable variation across papers in whether the pre-naming phase was used as a baseline measurement (Difference Score or Pre- vs. Post) or whether the post-naming PTL was compared with a chance value of 50% (Post). Considering analyses of the dependent variables Difference Score or Pre- vs. Post produce the same result, we combined these two dependent variables into one, which we call Baseline Corrected. 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was related to the estimated size of sensitivity to mispronunciations.</w:t>
      </w:r>
    </w:p>
    <w:p>
      <w:pPr>
        <w:pStyle w:val="Textkrper"/>
      </w:pPr>
      <w:r>
        <w:t xml:space="preserve">When we included both condition and dependent variable as moderators, the moderator test was significant (QM(3) = 232.117,</w:t>
      </w:r>
      <w:r>
        <w:t xml:space="preserve"> </w:t>
      </w:r>
      <w:r>
        <w:rPr>
          <w:i/>
        </w:rPr>
        <w:t xml:space="preserve">p</w:t>
      </w:r>
      <w:r>
        <w:t xml:space="preserve"> </w:t>
      </w:r>
      <w:r>
        <w:t xml:space="preserve">&lt; .001). The estimate for the interaction between the type of dependent variable and condition was was significant (</w:t>
      </w:r>
      <m:oMath>
        <m:r>
          <m:t>β</m:t>
        </m:r>
      </m:oMath>
      <w:r>
        <w:t xml:space="preserve"> </w:t>
      </w:r>
      <w:r>
        <w:t xml:space="preserve">= -0.184, SE = 0.093, 95% CI[-0.365, -0.002],</w:t>
      </w:r>
      <w:r>
        <w:t xml:space="preserve"> </w:t>
      </w:r>
      <w:r>
        <w:rPr>
          <w:i/>
        </w:rPr>
        <w:t xml:space="preserve">p</w:t>
      </w:r>
      <w:r>
        <w:t xml:space="preserve"> </w:t>
      </w:r>
      <w:r>
        <w:t xml:space="preserve">= 0.047). As can be seen in @ref(fig:PlotWithinCondDV_baseline), mispronunciation sensitivity was higher when the dependent variable reported was Post compared to when it was Baseline Corrected. When age was included as an additional moderator, the moderator test was significant (QM(7) = 238.595,</w:t>
      </w:r>
      <w:r>
        <w:t xml:space="preserve"> </w:t>
      </w:r>
      <w:r>
        <w:rPr>
          <w:i/>
        </w:rPr>
        <w:t xml:space="preserve">p</w:t>
      </w:r>
      <w:r>
        <w:t xml:space="preserve"> </w:t>
      </w:r>
      <w:r>
        <w:t xml:space="preserve">&lt; .001). However, the estimate for the interaction between dependent variable, condition, and age was not significant (</w:t>
      </w:r>
      <m:oMath>
        <m:r>
          <m:t>β</m:t>
        </m:r>
      </m:oMath>
      <w:r>
        <w:t xml:space="preserve"> </w:t>
      </w:r>
      <w:r>
        <w:t xml:space="preserve">= -0.048, SE = 0.026, 95% CI[-0.1, 0.003],</w:t>
      </w:r>
      <w:r>
        <w:t xml:space="preserve"> </w:t>
      </w:r>
      <w:r>
        <w:rPr>
          <w:i/>
        </w:rPr>
        <w:t xml:space="preserve">p</w:t>
      </w:r>
      <w:r>
        <w:t xml:space="preserve"> </w:t>
      </w:r>
      <w:r>
        <w:t xml:space="preserve">= 0.064).</w:t>
      </w:r>
    </w:p>
    <w:p>
      <w:pPr>
        <w:pStyle w:val="Textkrper"/>
      </w:pPr>
      <w:r>
        <w:t xml:space="preserve">(Insert Figure @ref(fig:PlotWithinCondDV_baseline) about here)</w:t>
      </w:r>
    </w:p>
    <w:p>
      <w:pPr>
        <w:pStyle w:val="CaptionedFigure"/>
      </w:pPr>
      <w:r>
        <w:drawing>
          <wp:inline>
            <wp:extent cx="5969000" cy="6565900"/>
            <wp:effectExtent b="0" l="0" r="0" t="0"/>
            <wp:docPr descr="(#fig:PlotWithinCondAgeDiffScore_old)Effect sizes for the different types of dependent variables calculated: Post (orange), Post vs. Pre (blue), and Difference Score (green).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AgeDiffScore_old-1.png" id="0" name="Picture"/>
                    <pic:cNvPicPr>
                      <a:picLocks noChangeArrowheads="1" noChangeAspect="1"/>
                    </pic:cNvPicPr>
                  </pic:nvPicPr>
                  <pic:blipFill>
                    <a:blip r:embed="rId6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(#fig:PlotWithinCondAgeDiffScore_old)Effect sizes for the different types of dependent variables calculated: Post (orange), Post vs. Pre (blue), and Difference Score (green).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pPr>
        <w:pStyle w:val="berschrift1"/>
      </w:pPr>
      <w:bookmarkStart w:id="61" w:name="general-discussion"/>
      <w:r>
        <w:t xml:space="preserve">General Discussion</w:t>
      </w:r>
      <w:bookmarkEnd w:id="61"/>
    </w:p>
    <w:p>
      <w:pPr>
        <w:pStyle w:val="FirstParagraph"/>
      </w:pPr>
      <w:r>
        <w:t xml:space="preserve">In this meta-analysis, we set out to quantify and assess the phonological specificity of infants’ representations for familiar words and how this is modulated with development, as measured by infant age and vocabulary size. Infants not only recognize object labels when they were correctly pronounced, but are also likely to accept mispronunciations as labels for targets. Nonetheless, there was a considerable difference in target fixations in response to correctly pronounced and mispronounced labels, suggesting that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pPr>
        <w:pStyle w:val="Textkrper"/>
      </w:pPr>
      <w:r>
        <w:t xml:space="preserve">Considering the variation in findings of developmental change in mispronunciation sensitivity (see Introduction), we next evaluated the developmental trajectory of infants’ mispronunciation sensitivity. Our analysis of this relationship revealed a pattern of unchanging sensitivity over infant age and vocabulary size,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 The lack of age or vocabulary effects in our meta-analysis suggest that this understanding is present from an early age and is maintained throughout early lexical development. We note, however, that despite an increasing publication record of mispronunciation sensitivity studies,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This may reflect a decreasing interest in the relationship between mispronunciation sensitivity and vocabulary size and/or to invest in data collection that is not expected to yield significant outcomes. Considering the theoretical implications, however, more experimental work investigating and reporting the relationship between mispronunciation sensitivity and vocabulary size is needed if this link is to be evaluated. Nonetheless, if we are to take our results as robust, it becomes thus a pressing open question that theories have to answer which other factors might prompt acquiring and using language-specific phonological contrasts at such an early age.</w:t>
      </w:r>
    </w:p>
    <w:p>
      <w:pPr>
        <w:pStyle w:val="berschrift2"/>
      </w:pPr>
      <w:bookmarkStart w:id="62" w:name="moderator-analyses-1"/>
      <w:r>
        <w:t xml:space="preserve">Moderator Analyses</w:t>
      </w:r>
      <w:bookmarkEnd w:id="62"/>
    </w:p>
    <w:p>
      <w:pPr>
        <w:pStyle w:val="FirstParagraph"/>
      </w:pPr>
      <w:r>
        <w:t xml:space="preserve">With perhaps a few exceptions, the main focus of many of the experiments included in this meta-analysis was not to evaluate whether infants are sensitive to mispronunciations in general but rather to investigate specific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reported in the literature. The meta-analytic effect for ispronunciation size, as measured by phonological features changed, showed graded sensitivity</w:t>
      </w:r>
      <w:r>
        <w:t xml:space="preserve"> </w:t>
      </w:r>
      <w:r>
        <w:t xml:space="preserve">(Bernier &amp; White, 2017; Mani &amp; Plunkett, 2011; Tamasi, 2016; White &amp; Morgan, 2008)</w:t>
      </w:r>
      <w:r>
        <w:t xml:space="preserve">, an adult-like ability. More studies are needed to evaluate whether this gradual sensitivity develops with age, as only one study examined more than one age</w:t>
      </w:r>
      <w:r>
        <w:t xml:space="preserve"> </w:t>
      </w:r>
      <w:r>
        <w:t xml:space="preserve">(Mani &amp; Plunkett, 2011)</w:t>
      </w:r>
      <w:r>
        <w:t xml:space="preserve"> </w:t>
      </w:r>
      <w:r>
        <w:t xml:space="preserve">and all others test the same age</w:t>
      </w:r>
      <w:r>
        <w:t xml:space="preserve"> </w:t>
      </w:r>
      <w:r>
        <w:t xml:space="preserve">(Bernier &amp; White, 2017; Tamasi, 2016; White &amp; Morgan, 2008)</w:t>
      </w:r>
      <w:r>
        <w:t xml:space="preserve">. With more studies investigating graded sensitivity at multiple ages in infancy, we would achieve a better estimate of whether this is a stable or developing ability, thus also shedding more light on the progression of phono-lexical development in general that then needs to be captured in theories and models.</w:t>
      </w:r>
    </w:p>
    <w:p>
      <w:pPr>
        <w:pStyle w:val="Textkrper"/>
      </w:pPr>
      <w:r>
        <w:t xml:space="preserve">Our meta-analysis showed that infants are more sensitive to changes in the sounds of familiar words when they occur in an earlier position as opposed to a late position. This awards support to lexical access theories that place greater importance on the onset position during word recognition</w:t>
      </w:r>
      <w:r>
        <w:t xml:space="preserve"> </w:t>
      </w:r>
      <w:r>
        <w:t xml:space="preserve">(i.e. COHORT; Marslen-Wilson &amp; Zwitserlood, 1989)</w:t>
      </w:r>
      <w:r>
        <w:t xml:space="preserve">. At face value, our results thus support theories placing more importance on earlier phonemes. But studies that have contrasted mispronunciations on different positions have found this does not modulate sensitivity</w:t>
      </w:r>
      <w:r>
        <w:t xml:space="preserve"> </w:t>
      </w:r>
      <w:r>
        <w:t xml:space="preserve">(Swingley, 2009; Zesiger et al., 2012)</w:t>
      </w:r>
      <w:r>
        <w:t xml:space="preserve">. One potential explanation is how the timing of different mispronunciation locations are considered in analysis. For example,</w:t>
      </w:r>
      <w:r>
        <w:t xml:space="preserve"> </w:t>
      </w:r>
      <w:r>
        <w:t xml:space="preserve">Swingley (2009)</w:t>
      </w:r>
      <w:r>
        <w:t xml:space="preserve"> </w:t>
      </w:r>
      <w:r>
        <w:t xml:space="preserve">adjusted the post-naming analysis window start from 367 ms for onset mispronunciations to 1133 for coda mispronunciations, to ensure that infants have a similar amount of time to respond to the mispronunciation, regardless of position. The length of the post-naming analysis window does impact mispronunciation sensitivity, as we discuss below, and mispronunciations that occur later in the word (i.e. medial and coda mispronunciations) may be at a disadvantage relative to onset mispronunciations if this is not taken into account.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modulation of mispronunciation sensitivity. Studies that include an unfamiliar, as opposed to familiar distractor image, often argue that the unfamiliar image provides a better referent candidate for mispronunciation than a familiar distractor image, where the name is already known. Yet, no studies have directly examined this assertion and our meta-analysis found that distractor familiarity did not modulate mispronunciation sensitivity.</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when further moderators were introduced. Age and native language did not modulate sensitivity to consonant mispronunciations, but sensitivity to vowel mispronunciations increased with age and was greater overall for infants learning Germanic languages (although this increased with age for infants learning Romance languages). This pattern of results supports a learned account of the consonant bias, showing that sensitivity to consonants and vowels have different developmental trajectories, which depend on whether the infant is learning a Romance (French, Italian) or Germanic (British English, Danish) native language</w:t>
      </w:r>
      <w:r>
        <w:t xml:space="preserve"> </w:t>
      </w:r>
      <w:r>
        <w:t xml:space="preserve">(Nazzi et al., 2016)</w:t>
      </w:r>
      <w:r>
        <w:t xml:space="preserve">. TRACE simulations conducted by</w:t>
      </w:r>
      <w:r>
        <w:t xml:space="preserve"> </w:t>
      </w:r>
      <w:r>
        <w:t xml:space="preserve">Mayor &amp; Plunkett (2014)</w:t>
      </w:r>
      <w:r>
        <w:t xml:space="preserve"> </w:t>
      </w:r>
      <w:r>
        <w:t xml:space="preserve">reveal a relationship between vocabulary size and sensitivity to vowel-medial mispronunciations, although here the authors give more weight to the role of mispronunciation position, a distinction we are unable to make in our analyses.</w:t>
      </w:r>
    </w:p>
    <w:p>
      <w:pPr>
        <w:pStyle w:val="Textkrper"/>
      </w:pPr>
      <w:r>
        <w:t xml:space="preserve">Contrary to predictions made from the literature, our meta-analysis revealed that studies which include target and distractor images that overlap in their onset elicit greater mispronunciation sensitivity than studies who do not control for this factor. Perhaps including overlap leads infants to pay more attention to mispronunciations, increasing mispronunciation sensitivity. Yet, older children were more likely to receive the arguably more difficult manipulation where target-distractor pairs overlapped in their onset phoneme, added task demands which may reduce their ability to access the phonetic detail of familiar words as argued by the PRIMIR Framework</w:t>
      </w:r>
      <w:r>
        <w:t xml:space="preserve"> </w:t>
      </w:r>
      <w:r>
        <w:t xml:space="preserve">(Curtin &amp; Werker, 2007; Werker &amp; Curtin, 2005)</w:t>
      </w:r>
      <w:r>
        <w:t xml:space="preserve">. This imbalance has the potential to dampen developmental differences, which would be hidden by task differences in the experiments that older and younger infants participated in. Further support comes from evidence that sensitivity to mispronunciations when the target-distractor pair overlapped on the onset phoneme increased with age. This pattern of results suggests that when infants are given an equally difficult task, developmental effects may be revealed. This explanation can be confirmed by testing more young infants on overlapping target-distractor pairs.</w:t>
      </w:r>
    </w:p>
    <w:p>
      <w:pPr>
        <w:pStyle w:val="berschrift2"/>
      </w:pPr>
      <w:bookmarkStart w:id="63" w:name="data-analysis-choices"/>
      <w:r>
        <w:t xml:space="preserve">Data Analysis Choices</w:t>
      </w:r>
      <w:bookmarkEnd w:id="63"/>
    </w:p>
    <w:p>
      <w:pPr>
        <w:pStyle w:val="FirstParagraph"/>
      </w:pPr>
      <w:r>
        <w:t xml:space="preserve">During the coding of our meta-analysis database, we noted variation in variables relating to timing and the calculation of the dependent variable reported. As infants mature, they recognize words more quickly</w:t>
      </w:r>
      <w:r>
        <w:t xml:space="preserve"> </w:t>
      </w:r>
      <w:r>
        <w:t xml:space="preserve">(Fernald et al., 1998)</w:t>
      </w:r>
      <w:r>
        <w:t xml:space="preserve">, which may lead experimenters to adjust and lower offset times in their analysis as well as shorten the length of the analysis window. A majority of studies used an offset time between 360 and 370 ms (</w:t>
      </w:r>
      <w:r>
        <w:rPr>
          <w:i/>
        </w:rPr>
        <w:t xml:space="preserve">n</w:t>
      </w:r>
      <w:r>
        <w:t xml:space="preserve"> </w:t>
      </w:r>
      <w:r>
        <w:t xml:space="preserve">= 151), which follows the</w:t>
      </w:r>
      <w:r>
        <w:t xml:space="preserve"> </w:t>
      </w:r>
      <w:r>
        <w:t xml:space="preserve">“</w:t>
      </w:r>
      <w:r>
        <w:t xml:space="preserve">best guess</w:t>
      </w:r>
      <w:r>
        <w:t xml:space="preserve">”</w:t>
      </w:r>
      <w:r>
        <w:t xml:space="preserve"> </w:t>
      </w:r>
      <w:r>
        <w:t xml:space="preserve">of</w:t>
      </w:r>
      <w:r>
        <w:t xml:space="preserve"> </w:t>
      </w:r>
      <w:r>
        <w:t xml:space="preserve">Swingley &amp; Aslin (2000)</w:t>
      </w:r>
      <w:r>
        <w:t xml:space="preserve"> </w:t>
      </w:r>
      <w:r>
        <w:t xml:space="preserve">for the amount of time needed for infants to initiate eye movements in response to a spoken target word; in contrast, we found wide variation in the post-naming analysis window which correlated negatively with infant age and influenced the estimate of mispronunciation sensitivity. Looks to the target in response to mispronunciations may be slower than that of correct pronunciations in infants</w:t>
      </w:r>
      <w:r>
        <w:t xml:space="preserve"> </w:t>
      </w:r>
      <w:r>
        <w:t xml:space="preserve">(as predicted by TRACE, Mayor &amp; Plunkett, 2014)</w:t>
      </w:r>
      <w:r>
        <w:t xml:space="preserve">, and those studies with longer post-naming analysis windows capture this effect, thereby reducing the measured sensitivity to mispronunciations. Although we have no direct evidence, an analysis window can be potentially set after collecting data. At worst, this adjustment could be the result of a desire to confirm a hypothesis, increasing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At best, this variation introduces noise into the study of mispronunciation sensitivity, blurring the true developmental trajectory of mispronunciation sensitivity.</w:t>
      </w:r>
    </w:p>
    <w:p>
      <w:pPr>
        <w:pStyle w:val="Textkrper"/>
      </w:pPr>
      <w:r>
        <w:t xml:space="preserve">The type of depedent variable calculated also moderated mispronunciation sensitivity, albeit not conclusions about its developmental trajectory. Unlike the exploratory analyses related to timing, there is no clear reason for one dependent variable to be chosen over another; the prevalence of each dependent variable appears distributed across ages and some authors always calculate the same dependent variable while others use them interchangeably in different publications. One clear difference is that both the Difference Score (reporting looks to the target image after hearing the label minus looks in silence) and Pre vs. Post (reporting both variables separately) dependent variables consider each infants’ actual preference in the pre-naming baseline phase, while the Post dependent variable (reporting looks to target after labelling only) does not. Without access to the raw data, it is difficult to conclusively determine why different dependent variable calculations influence mispronunciation sensitivity.</w:t>
      </w:r>
    </w:p>
    <w:p>
      <w:pPr>
        <w:pStyle w:val="berschrift2"/>
      </w:pPr>
      <w:bookmarkStart w:id="64" w:name="Xd6700ff555ba78df2f6771599b16f9664bcb39e"/>
      <w:r>
        <w:t xml:space="preserve">Recommendations to Establish Analysis Standards</w:t>
      </w:r>
      <w:bookmarkEnd w:id="64"/>
    </w:p>
    <w:p>
      <w:pPr>
        <w:pStyle w:val="FirstParagraph"/>
      </w:pPr>
      <w:r>
        <w:t xml:space="preserve">A lack of a field standards can have serious consequences, as our analyses show, limiting our ability to draw conclusions. We take this opportunity to make several recommendations to address the issue of varying, potentially post hoc analysis decisions. First, preregistration can serve as proof of a priori decisions regarding data analysis, which can also contain a data-dependent description of how data analysis decisions will be made once data is collected</w:t>
      </w:r>
      <w:r>
        <w:t xml:space="preserve"> </w:t>
      </w:r>
      <w:r>
        <w:t xml:space="preserve">(see Havron, Bergmann, &amp; Tsuji, 2020 for a primer)</w:t>
      </w:r>
      <w:r>
        <w:t xml:space="preserve">. The peer-reviewed form of preregistration, Registered Reports, has already been adopted by a large number of developmental journals, and general journals that publish developmental works, showing the field’s increasing acceptance of such practices for hypothesis-testing studies. Second,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removes the need to reduce the post-naming analysis window. Both Growth Curve Analysis</w:t>
      </w:r>
      <w:r>
        <w:t xml:space="preserve"> </w:t>
      </w:r>
      <w:r>
        <w:t xml:space="preserve">(Mirman, Dixon, &amp; Magnuson, 2008)</w:t>
      </w:r>
      <w:r>
        <w:t xml:space="preserve"> </w:t>
      </w:r>
      <w:r>
        <w:t xml:space="preserve">and Permutation Clusters Analysis</w:t>
      </w:r>
      <w:r>
        <w:t xml:space="preserve"> </w:t>
      </w:r>
      <w:r>
        <w:t xml:space="preserve">(Maris &amp; Oostenveld, 2007; Von Holzen &amp; Mani, 2012)</w:t>
      </w:r>
      <w:r>
        <w:t xml:space="preserve"> </w:t>
      </w:r>
      <w:r>
        <w:t xml:space="preserve">offer potential solutions to analyze the full time course. Third, it may be useful to establish standard analysis pipelines for mispronunciation studies. This would allow for a more uniform analysis of this phenomenon, as well as aid experimenters in future research planning</w:t>
      </w:r>
      <w:r>
        <w:t xml:space="preserve"> </w:t>
      </w:r>
      <w:r>
        <w:t xml:space="preserve">(see ManyBabiesConsortium, 2020 for a parallel effort)</w:t>
      </w:r>
      <w:r>
        <w:t xml:space="preserve">. We hope the above suggestions take us one step closer to this important goal that clarifies the link between internal abilities and behavior in a laboratory study.</w:t>
      </w:r>
    </w:p>
    <w:p>
      <w:pPr>
        <w:pStyle w:val="berschrift2"/>
      </w:pPr>
      <w:bookmarkStart w:id="65" w:name="conclusion"/>
      <w:r>
        <w:t xml:space="preserve">Conclusion</w:t>
      </w:r>
      <w:bookmarkEnd w:id="65"/>
    </w:p>
    <w:p>
      <w:pPr>
        <w:pStyle w:val="FirstParagraph"/>
      </w:pPr>
      <w:r>
        <w:t xml:space="preserve">This meta-analysis comprises an aggregation of two decades of research on mispronunciation sensitivity, finding robust evidence that infants have well-specified phonological representations for familiar words. Furthermore, these representations may be well specified at an early age, perhaps before the vocabulary explosion. We recommend future theoretical frameworks take this evidence into account. Our meta-analysis was also able to confirm different findings in the literature, including the role of mispronunciation size, mispronunciation position, and the role of age and native language in sensitivity to mispronunciation type (consonant vs. vowel). Furthermore, evidence of an interaction between task demands (phonological overlap between target-distractor pairs) and infant age may partially explain the lack of developmental change in our meta-analysis.</w:t>
      </w:r>
    </w:p>
    <w:p>
      <w:pPr>
        <w:pStyle w:val="Textkrper"/>
      </w:pPr>
      <w:r>
        <w:t xml:space="preserve">Despite this overall finding,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r>
        <w:br w:type="page"/>
      </w:r>
    </w:p>
    <w:p>
      <w:pPr>
        <w:pStyle w:val="berschrift1"/>
      </w:pPr>
      <w:bookmarkStart w:id="66" w:name="references"/>
      <w:r>
        <w:t xml:space="preserve">References</w:t>
      </w:r>
      <w:bookmarkEnd w:id="66"/>
    </w:p>
    <w:bookmarkStart w:id="246" w:name="refs"/>
    <w:bookmarkStart w:id="68" w:name="ref-RMarkdown"/>
    <w:p>
      <w:pPr>
        <w:pStyle w:val="Literaturverzeichnis"/>
      </w:pPr>
      <w:r>
        <w:t xml:space="preserve">Allaire, J., Xie, Y., McPherson, J., Luraschi, J., Ushey, K., Atkins, A., … Chang, W. (2018). rmarkdown: Dynamic Documents for R. Retrieved from</w:t>
      </w:r>
      <w:r>
        <w:t xml:space="preserve"> </w:t>
      </w:r>
      <w:hyperlink r:id="rId67">
        <w:r>
          <w:rPr>
            <w:rStyle w:val="Hyperlink"/>
          </w:rPr>
          <w:t xml:space="preserve">https://cran.r-project.org/package=rmarkdown</w:t>
        </w:r>
      </w:hyperlink>
    </w:p>
    <w:bookmarkEnd w:id="68"/>
    <w:bookmarkStart w:id="69"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69"/>
    <w:bookmarkStart w:id="71"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70">
        <w:r>
          <w:rPr>
            <w:rStyle w:val="Hyperlink"/>
          </w:rPr>
          <w:t xml:space="preserve">10.1080/15475441.2013.808954</w:t>
        </w:r>
      </w:hyperlink>
    </w:p>
    <w:bookmarkEnd w:id="71"/>
    <w:bookmarkStart w:id="73" w:name="ref-papaja"/>
    <w:p>
      <w:pPr>
        <w:pStyle w:val="Literaturverzeichnis"/>
      </w:pPr>
      <w:r>
        <w:t xml:space="preserve">Aust, F., &amp; Barth, M. (2018). papaja: Prepare reproducible APA journal articles with R Markdown. Retrieved from</w:t>
      </w:r>
      <w:r>
        <w:t xml:space="preserve"> </w:t>
      </w:r>
      <w:hyperlink r:id="rId72">
        <w:r>
          <w:rPr>
            <w:rStyle w:val="Hyperlink"/>
          </w:rPr>
          <w:t xml:space="preserve">https://github.com/crsh/papaja</w:t>
        </w:r>
      </w:hyperlink>
    </w:p>
    <w:bookmarkEnd w:id="73"/>
    <w:bookmarkStart w:id="75" w:name="ref-Bailey2005"/>
    <w:p>
      <w:pPr>
        <w:pStyle w:val="Literaturverzeichnis"/>
      </w:pPr>
      <w:r>
        <w:t xml:space="preserve">Bailey, T. M., &amp; Hahn, U. (2005). Phoneme similarity and confusability.</w:t>
      </w:r>
      <w:r>
        <w:t xml:space="preserve"> </w:t>
      </w:r>
      <w:r>
        <w:rPr>
          <w:i/>
        </w:rPr>
        <w:t xml:space="preserve">Journal of Memory and Language</w:t>
      </w:r>
      <w:r>
        <w:t xml:space="preserve">,</w:t>
      </w:r>
      <w:r>
        <w:t xml:space="preserve"> </w:t>
      </w:r>
      <w:r>
        <w:rPr>
          <w:i/>
        </w:rPr>
        <w:t xml:space="preserve">52</w:t>
      </w:r>
      <w:r>
        <w:t xml:space="preserve">(3), 339–362. doi:</w:t>
      </w:r>
      <w:hyperlink r:id="rId74">
        <w:r>
          <w:rPr>
            <w:rStyle w:val="Hyperlink"/>
          </w:rPr>
          <w:t xml:space="preserve">10.1016/j.jml.2004.12.003</w:t>
        </w:r>
      </w:hyperlink>
    </w:p>
    <w:bookmarkEnd w:id="75"/>
    <w:bookmarkStart w:id="77"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76">
        <w:r>
          <w:rPr>
            <w:rStyle w:val="Hyperlink"/>
          </w:rPr>
          <w:t xml:space="preserve">10.1016/S0885-2014(02)00116-8</w:t>
        </w:r>
      </w:hyperlink>
    </w:p>
    <w:bookmarkEnd w:id="77"/>
    <w:bookmarkStart w:id="79"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78">
        <w:r>
          <w:rPr>
            <w:rStyle w:val="Hyperlink"/>
          </w:rPr>
          <w:t xml:space="preserve">10.1017/S0305000904006567</w:t>
        </w:r>
      </w:hyperlink>
    </w:p>
    <w:bookmarkEnd w:id="79"/>
    <w:bookmarkStart w:id="81" w:name="ref-Bergmann2016"/>
    <w:p>
      <w:pPr>
        <w:pStyle w:val="Literaturverzeichnis"/>
      </w:pPr>
      <w:r>
        <w:t xml:space="preserve">Bergmann, C., &amp; Cristia, A. (2016). Development of infants’ segmentation of words from native speech: A meta-analytic approach.</w:t>
      </w:r>
      <w:r>
        <w:t xml:space="preserve"> </w:t>
      </w:r>
      <w:r>
        <w:rPr>
          <w:i/>
        </w:rPr>
        <w:t xml:space="preserve">Developmental Science</w:t>
      </w:r>
      <w:r>
        <w:t xml:space="preserve">,</w:t>
      </w:r>
      <w:r>
        <w:t xml:space="preserve"> </w:t>
      </w:r>
      <w:r>
        <w:rPr>
          <w:i/>
        </w:rPr>
        <w:t xml:space="preserve">19</w:t>
      </w:r>
      <w:r>
        <w:t xml:space="preserve">(6), 901–917. doi:</w:t>
      </w:r>
      <w:hyperlink r:id="rId80">
        <w:r>
          <w:rPr>
            <w:rStyle w:val="Hyperlink"/>
          </w:rPr>
          <w:t xml:space="preserve">10.1111/desc.12341</w:t>
        </w:r>
      </w:hyperlink>
    </w:p>
    <w:bookmarkEnd w:id="81"/>
    <w:bookmarkStart w:id="83"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82">
        <w:r>
          <w:rPr>
            <w:rStyle w:val="Hyperlink"/>
          </w:rPr>
          <w:t xml:space="preserve">10.17605/OSF.IO/3UBNC</w:t>
        </w:r>
      </w:hyperlink>
    </w:p>
    <w:bookmarkEnd w:id="83"/>
    <w:bookmarkStart w:id="84"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84"/>
    <w:bookmarkStart w:id="86"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85">
        <w:r>
          <w:rPr>
            <w:rStyle w:val="Hyperlink"/>
          </w:rPr>
          <w:t xml:space="preserve">10.1017/S0305000900010023</w:t>
        </w:r>
      </w:hyperlink>
    </w:p>
    <w:bookmarkEnd w:id="86"/>
    <w:bookmarkStart w:id="87"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87"/>
    <w:bookmarkStart w:id="89"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88">
        <w:r>
          <w:rPr>
            <w:rStyle w:val="Hyperlink"/>
          </w:rPr>
          <w:t xml:space="preserve">10.1037/dev0000083</w:t>
        </w:r>
      </w:hyperlink>
    </w:p>
    <w:bookmarkEnd w:id="89"/>
    <w:bookmarkStart w:id="91"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90">
        <w:r>
          <w:rPr>
            <w:rStyle w:val="Hyperlink"/>
          </w:rPr>
          <w:t xml:space="preserve">10.1093/oxfordhb/9780198568971.013.0035</w:t>
        </w:r>
      </w:hyperlink>
    </w:p>
    <w:bookmarkEnd w:id="91"/>
    <w:bookmarkStart w:id="93"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92">
        <w:r>
          <w:rPr>
            <w:rStyle w:val="Hyperlink"/>
          </w:rPr>
          <w:t xml:space="preserve">10.1017/S0952675715000135</w:t>
        </w:r>
      </w:hyperlink>
    </w:p>
    <w:bookmarkEnd w:id="93"/>
    <w:bookmarkStart w:id="95"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94">
        <w:r>
          <w:rPr>
            <w:rStyle w:val="Hyperlink"/>
          </w:rPr>
          <w:t xml:space="preserve">10.1177/1745691612459059</w:t>
        </w:r>
      </w:hyperlink>
    </w:p>
    <w:bookmarkEnd w:id="95"/>
    <w:bookmarkStart w:id="97"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96">
        <w:r>
          <w:rPr>
            <w:rStyle w:val="Hyperlink"/>
          </w:rPr>
          <w:t xml:space="preserve">10.1111/1467-9280.00044</w:t>
        </w:r>
      </w:hyperlink>
    </w:p>
    <w:bookmarkEnd w:id="97"/>
    <w:bookmarkStart w:id="99"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98">
        <w:r>
          <w:rPr>
            <w:rStyle w:val="Hyperlink"/>
          </w:rPr>
          <w:t xml:space="preserve">10.2307/2340521</w:t>
        </w:r>
      </w:hyperlink>
    </w:p>
    <w:bookmarkEnd w:id="99"/>
    <w:bookmarkStart w:id="100"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100"/>
    <w:bookmarkStart w:id="102" w:name="ref-Frank2016"/>
    <w:p>
      <w:pPr>
        <w:pStyle w:val="Literaturverzeichnis"/>
      </w:pPr>
      <w:r>
        <w:t xml:space="preserve">Frank, M. C., Lewis, M. L., &amp; Macdonald, K. (2016). A performance model for early word learning.</w:t>
      </w:r>
      <w:r>
        <w:t xml:space="preserve"> </w:t>
      </w:r>
      <w:r>
        <w:rPr>
          <w:i/>
        </w:rPr>
        <w:t xml:space="preserve">Proceedings of the Cognitive Science Society</w:t>
      </w:r>
      <w:r>
        <w:t xml:space="preserve">, 2609–2614. Retrieved from</w:t>
      </w:r>
      <w:r>
        <w:t xml:space="preserve"> </w:t>
      </w:r>
      <w:hyperlink r:id="rId101">
        <w:r>
          <w:rPr>
            <w:rStyle w:val="Hyperlink"/>
          </w:rPr>
          <w:t xml:space="preserve">https://mindmodeling.org/cogsci2016/papers/0450/paper0450.pdf</w:t>
        </w:r>
      </w:hyperlink>
    </w:p>
    <w:bookmarkEnd w:id="102"/>
    <w:bookmarkStart w:id="104"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03">
        <w:r>
          <w:rPr>
            <w:rStyle w:val="Hyperlink"/>
          </w:rPr>
          <w:t xml:space="preserve">10.1037/a0037714</w:t>
        </w:r>
      </w:hyperlink>
    </w:p>
    <w:bookmarkEnd w:id="104"/>
    <w:bookmarkStart w:id="105"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05"/>
    <w:bookmarkStart w:id="107" w:name="ref-Havron"/>
    <w:p>
      <w:pPr>
        <w:pStyle w:val="Literaturverzeichnis"/>
      </w:pPr>
      <w:r>
        <w:t xml:space="preserve">Havron, N., Bergmann, C., &amp; Tsuji, S. (2020). Preregistration in infant research - a primer. doi:</w:t>
      </w:r>
      <w:hyperlink r:id="rId106">
        <w:r>
          <w:rPr>
            <w:rStyle w:val="Hyperlink"/>
          </w:rPr>
          <w:t xml:space="preserve">10.31234/osf.io/es2gx</w:t>
        </w:r>
      </w:hyperlink>
    </w:p>
    <w:bookmarkEnd w:id="107"/>
    <w:bookmarkStart w:id="109"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08">
        <w:r>
          <w:rPr>
            <w:rStyle w:val="Hyperlink"/>
          </w:rPr>
          <w:t xml:space="preserve">10.3102/10769986006002107</w:t>
        </w:r>
      </w:hyperlink>
    </w:p>
    <w:bookmarkEnd w:id="109"/>
    <w:bookmarkStart w:id="110"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10"/>
    <w:bookmarkStart w:id="112"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11">
        <w:r>
          <w:rPr>
            <w:rStyle w:val="Hyperlink"/>
          </w:rPr>
          <w:t xml:space="preserve">10.1098/rspb.2001.1832</w:t>
        </w:r>
      </w:hyperlink>
    </w:p>
    <w:bookmarkEnd w:id="112"/>
    <w:bookmarkStart w:id="114"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13">
        <w:r>
          <w:rPr>
            <w:rStyle w:val="Hyperlink"/>
          </w:rPr>
          <w:t xml:space="preserve">10.1016/j.csda.2008.06.010</w:t>
        </w:r>
      </w:hyperlink>
    </w:p>
    <w:bookmarkEnd w:id="114"/>
    <w:bookmarkStart w:id="116"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15">
        <w:r>
          <w:rPr>
            <w:rStyle w:val="Hyperlink"/>
          </w:rPr>
          <w:t xml:space="preserve">10.1177/00238309080510010201</w:t>
        </w:r>
      </w:hyperlink>
    </w:p>
    <w:bookmarkEnd w:id="116"/>
    <w:bookmarkStart w:id="118"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17">
        <w:r>
          <w:rPr>
            <w:rStyle w:val="Hyperlink"/>
          </w:rPr>
          <w:t xml:space="preserve">10.1016/j.jml.2007.03.005</w:t>
        </w:r>
      </w:hyperlink>
    </w:p>
    <w:bookmarkEnd w:id="118"/>
    <w:bookmarkStart w:id="120"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19">
        <w:r>
          <w:rPr>
            <w:rStyle w:val="Hyperlink"/>
          </w:rPr>
          <w:t xml:space="preserve">10.1111/j.1532-7078.2009.00027.x</w:t>
        </w:r>
      </w:hyperlink>
    </w:p>
    <w:bookmarkEnd w:id="120"/>
    <w:bookmarkStart w:id="122"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21">
        <w:r>
          <w:rPr>
            <w:rStyle w:val="Hyperlink"/>
          </w:rPr>
          <w:t xml:space="preserve">10.1017/S0305000910000243</w:t>
        </w:r>
      </w:hyperlink>
    </w:p>
    <w:bookmarkEnd w:id="122"/>
    <w:bookmarkStart w:id="123" w:name="ref-MB1"/>
    <w:p>
      <w:pPr>
        <w:pStyle w:val="Literaturverzeichnis"/>
      </w:pPr>
      <w:r>
        <w:t xml:space="preserve">ManyBabiesConsortium. (2020). Quantifying sources of variability in infancy research using the infant-directed speech preference.</w:t>
      </w:r>
      <w:r>
        <w:t xml:space="preserve"> </w:t>
      </w:r>
      <w:r>
        <w:rPr>
          <w:i/>
        </w:rPr>
        <w:t xml:space="preserve">Advances in Methods and Practices in Psychological Science</w:t>
      </w:r>
      <w:r>
        <w:t xml:space="preserve">.</w:t>
      </w:r>
    </w:p>
    <w:bookmarkEnd w:id="123"/>
    <w:bookmarkStart w:id="125"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24">
        <w:r>
          <w:rPr>
            <w:rStyle w:val="Hyperlink"/>
          </w:rPr>
          <w:t xml:space="preserve">10.1016/j.jneumeth.2007.03.024</w:t>
        </w:r>
      </w:hyperlink>
    </w:p>
    <w:bookmarkEnd w:id="125"/>
    <w:bookmarkStart w:id="127"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26">
        <w:r>
          <w:rPr>
            <w:rStyle w:val="Hyperlink"/>
          </w:rPr>
          <w:t xml:space="preserve">10.1016/S0010-0285(03)00034-3</w:t>
        </w:r>
      </w:hyperlink>
    </w:p>
    <w:bookmarkEnd w:id="127"/>
    <w:bookmarkStart w:id="129"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28">
        <w:r>
          <w:rPr>
            <w:rStyle w:val="Hyperlink"/>
          </w:rPr>
          <w:t xml:space="preserve">10.1037/0096-1523.15.3.576</w:t>
        </w:r>
      </w:hyperlink>
    </w:p>
    <w:bookmarkEnd w:id="129"/>
    <w:bookmarkStart w:id="131" w:name="ref-Mayor2014"/>
    <w:p>
      <w:pPr>
        <w:pStyle w:val="Literaturverzeichnis"/>
      </w:pPr>
      <w:r>
        <w:t xml:space="preserve">Mayor, J., &amp; Plunkett, K. (2014). Infant word recognition: Insights from TRACE simulations.</w:t>
      </w:r>
      <w:r>
        <w:t xml:space="preserve"> </w:t>
      </w:r>
      <w:r>
        <w:rPr>
          <w:i/>
        </w:rPr>
        <w:t xml:space="preserve">Journal of Memory and Language</w:t>
      </w:r>
      <w:r>
        <w:t xml:space="preserve">,</w:t>
      </w:r>
      <w:r>
        <w:t xml:space="preserve"> </w:t>
      </w:r>
      <w:r>
        <w:rPr>
          <w:i/>
        </w:rPr>
        <w:t xml:space="preserve">71</w:t>
      </w:r>
      <w:r>
        <w:t xml:space="preserve">(1), 89–123. doi:</w:t>
      </w:r>
      <w:hyperlink r:id="rId130">
        <w:r>
          <w:rPr>
            <w:rStyle w:val="Hyperlink"/>
          </w:rPr>
          <w:t xml:space="preserve">10.1016/j.jml.2013.09.009</w:t>
        </w:r>
      </w:hyperlink>
    </w:p>
    <w:bookmarkEnd w:id="131"/>
    <w:bookmarkStart w:id="133"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32">
        <w:r>
          <w:rPr>
            <w:rStyle w:val="Hyperlink"/>
          </w:rPr>
          <w:t xml:space="preserve">10.1016/0010-0285(86)90015-0</w:t>
        </w:r>
      </w:hyperlink>
    </w:p>
    <w:bookmarkEnd w:id="133"/>
    <w:bookmarkStart w:id="135"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34">
        <w:r>
          <w:rPr>
            <w:rStyle w:val="Hyperlink"/>
          </w:rPr>
          <w:t xml:space="preserve">10.1016/j.jml.2007.11.006</w:t>
        </w:r>
      </w:hyperlink>
    </w:p>
    <w:bookmarkEnd w:id="135"/>
    <w:bookmarkStart w:id="137" w:name="ref-Moher2009"/>
    <w:p>
      <w:pPr>
        <w:pStyle w:val="Literaturverzeichnis"/>
      </w:pPr>
      <w:r>
        <w:t xml:space="preserve">Moher, D., Liberati, A., Tetzlaff, J., Altman, D. G., &amp; PRISMA Group".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36">
        <w:r>
          <w:rPr>
            <w:rStyle w:val="Hyperlink"/>
          </w:rPr>
          <w:t xml:space="preserve">10.1371/journal.pmed.1000097</w:t>
        </w:r>
      </w:hyperlink>
    </w:p>
    <w:bookmarkEnd w:id="137"/>
    <w:bookmarkStart w:id="139"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38">
        <w:r>
          <w:rPr>
            <w:rStyle w:val="Hyperlink"/>
          </w:rPr>
          <w:t xml:space="preserve">10.1037/1082-989X.7.1.105</w:t>
        </w:r>
      </w:hyperlink>
    </w:p>
    <w:bookmarkEnd w:id="139"/>
    <w:bookmarkStart w:id="141"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 doi:</w:t>
      </w:r>
      <w:hyperlink r:id="rId140">
        <w:r>
          <w:rPr>
            <w:rStyle w:val="Hyperlink"/>
          </w:rPr>
          <w:t xml:space="preserve">10.1016/j.jecp.2008.05.003</w:t>
        </w:r>
      </w:hyperlink>
    </w:p>
    <w:bookmarkEnd w:id="141"/>
    <w:bookmarkStart w:id="143"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42">
        <w:r>
          <w:rPr>
            <w:rStyle w:val="Hyperlink"/>
          </w:rPr>
          <w:t xml:space="preserve">10.1177/0963721416655786</w:t>
        </w:r>
      </w:hyperlink>
    </w:p>
    <w:bookmarkEnd w:id="143"/>
    <w:bookmarkStart w:id="145"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44">
        <w:r>
          <w:rPr>
            <w:rStyle w:val="Hyperlink"/>
          </w:rPr>
          <w:t xml:space="preserve">10.1111/desc.12704</w:t>
        </w:r>
      </w:hyperlink>
    </w:p>
    <w:bookmarkEnd w:id="145"/>
    <w:bookmarkStart w:id="146"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46"/>
    <w:bookmarkStart w:id="148"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47">
        <w:r>
          <w:rPr>
            <w:rStyle w:val="Hyperlink"/>
          </w:rPr>
          <w:t xml:space="preserve">10.1016/j.cogpsych.2009.02.002</w:t>
        </w:r>
      </w:hyperlink>
    </w:p>
    <w:bookmarkEnd w:id="148"/>
    <w:bookmarkStart w:id="150" w:name="ref-R"/>
    <w:p>
      <w:pPr>
        <w:pStyle w:val="Literaturverzeichnis"/>
      </w:pPr>
      <w:r>
        <w:t xml:space="preserve">R Core Team. (2018). R: A Language and Environment for Statistical Computing. Vienna, Austria: R Foundation for Statistical Computing. Retrieved from</w:t>
      </w:r>
      <w:r>
        <w:t xml:space="preserve"> </w:t>
      </w:r>
      <w:hyperlink r:id="rId149">
        <w:r>
          <w:rPr>
            <w:rStyle w:val="Hyperlink"/>
          </w:rPr>
          <w:t xml:space="preserve">https://www.r-project.org/</w:t>
        </w:r>
      </w:hyperlink>
    </w:p>
    <w:bookmarkEnd w:id="150"/>
    <w:bookmarkStart w:id="151"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51"/>
    <w:bookmarkStart w:id="153" w:name="ref-Sakaluk2016"/>
    <w:p>
      <w:pPr>
        <w:pStyle w:val="Literaturverzeichnis"/>
      </w:pPr>
      <w:r>
        <w:t xml:space="preserve">Sakaluk, J. (2016). Make it pretty: Forest and funnel plots for meta-analysis using ggplot2. [Blog post]. Retrieved from</w:t>
      </w:r>
      <w:r>
        <w:t xml:space="preserve"> </w:t>
      </w:r>
      <w:hyperlink r:id="rId152">
        <w:r>
          <w:rPr>
            <w:rStyle w:val="Hyperlink"/>
          </w:rPr>
          <w:t xml:space="preserve">https://sakaluk.wordpress.com/2016/02/16/7-make-it-pretty-plots-for-meta-analysis/</w:t>
        </w:r>
      </w:hyperlink>
    </w:p>
    <w:bookmarkEnd w:id="153"/>
    <w:bookmarkStart w:id="155"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54">
        <w:r>
          <w:rPr>
            <w:rStyle w:val="Hyperlink"/>
          </w:rPr>
          <w:t xml:space="preserve">10.1007/978-3-319-21416-0&gt;</w:t>
        </w:r>
      </w:hyperlink>
    </w:p>
    <w:bookmarkEnd w:id="155"/>
    <w:bookmarkStart w:id="157"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56">
        <w:r>
          <w:rPr>
            <w:rStyle w:val="Hyperlink"/>
          </w:rPr>
          <w:t xml:space="preserve">10.1177/0956797611417632</w:t>
        </w:r>
      </w:hyperlink>
    </w:p>
    <w:bookmarkEnd w:id="157"/>
    <w:bookmarkStart w:id="159"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58">
        <w:r>
          <w:rPr>
            <w:rStyle w:val="Hyperlink"/>
          </w:rPr>
          <w:t xml:space="preserve">10.1037/a0033242</w:t>
        </w:r>
      </w:hyperlink>
    </w:p>
    <w:bookmarkEnd w:id="159"/>
    <w:bookmarkStart w:id="161"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60">
        <w:r>
          <w:rPr>
            <w:rStyle w:val="Hyperlink"/>
          </w:rPr>
          <w:t xml:space="preserve">10.1111/infa.12020</w:t>
        </w:r>
      </w:hyperlink>
    </w:p>
    <w:bookmarkEnd w:id="161"/>
    <w:bookmarkStart w:id="163"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162">
        <w:r>
          <w:rPr>
            <w:rStyle w:val="Hyperlink"/>
          </w:rPr>
          <w:t xml:space="preserve">10.1016/j.jml.2008.11.003</w:t>
        </w:r>
      </w:hyperlink>
    </w:p>
    <w:bookmarkEnd w:id="163"/>
    <w:bookmarkStart w:id="165"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164">
        <w:r>
          <w:rPr>
            <w:rStyle w:val="Hyperlink"/>
          </w:rPr>
          <w:t xml:space="preserve">10.1037/dev0000114</w:t>
        </w:r>
      </w:hyperlink>
    </w:p>
    <w:bookmarkEnd w:id="165"/>
    <w:bookmarkStart w:id="167"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166">
        <w:r>
          <w:rPr>
            <w:rStyle w:val="Hyperlink"/>
          </w:rPr>
          <w:t xml:space="preserve">10.1016/S0010-0277(00)00081-0</w:t>
        </w:r>
      </w:hyperlink>
    </w:p>
    <w:bookmarkEnd w:id="167"/>
    <w:bookmarkStart w:id="169"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168">
        <w:r>
          <w:rPr>
            <w:rStyle w:val="Hyperlink"/>
          </w:rPr>
          <w:t xml:space="preserve">10.1111/1467-9280.00485</w:t>
        </w:r>
      </w:hyperlink>
    </w:p>
    <w:bookmarkEnd w:id="169"/>
    <w:bookmarkStart w:id="170"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170"/>
    <w:bookmarkStart w:id="172"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171">
        <w:r>
          <w:rPr>
            <w:rStyle w:val="Hyperlink"/>
          </w:rPr>
          <w:t xml:space="preserve">10.1177/1745691614552498</w:t>
        </w:r>
      </w:hyperlink>
    </w:p>
    <w:bookmarkEnd w:id="172"/>
    <w:bookmarkStart w:id="174"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173">
        <w:r>
          <w:rPr>
            <w:rStyle w:val="Hyperlink"/>
          </w:rPr>
          <w:t xml:space="preserve">10.18637/jss.v036.i03</w:t>
        </w:r>
      </w:hyperlink>
    </w:p>
    <w:bookmarkEnd w:id="174"/>
    <w:bookmarkStart w:id="176"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175">
        <w:r>
          <w:rPr>
            <w:rStyle w:val="Hyperlink"/>
          </w:rPr>
          <w:t xml:space="preserve">10.1016/j.jecp.2011.02.002</w:t>
        </w:r>
      </w:hyperlink>
    </w:p>
    <w:bookmarkEnd w:id="176"/>
    <w:bookmarkStart w:id="178"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177">
        <w:r>
          <w:rPr>
            <w:rStyle w:val="Hyperlink"/>
          </w:rPr>
          <w:t xml:space="preserve">10.1207/s15473341lld0102_4</w:t>
        </w:r>
      </w:hyperlink>
    </w:p>
    <w:bookmarkEnd w:id="178"/>
    <w:bookmarkStart w:id="180"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179">
        <w:r>
          <w:rPr>
            <w:rStyle w:val="Hyperlink"/>
          </w:rPr>
          <w:t xml:space="preserve">10.1016/j.jml.2008.03.001</w:t>
        </w:r>
      </w:hyperlink>
    </w:p>
    <w:bookmarkEnd w:id="180"/>
    <w:bookmarkStart w:id="182"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181">
        <w:r>
          <w:rPr>
            <w:rStyle w:val="Hyperlink"/>
          </w:rPr>
          <w:t xml:space="preserve">10.1111/j.1532-7078.2011.00111.x</w:t>
        </w:r>
      </w:hyperlink>
    </w:p>
    <w:bookmarkEnd w:id="182"/>
    <w:bookmarkStart w:id="183" w:name="ref-RMarkdown"/>
    <w:p>
      <w:pPr>
        <w:pStyle w:val="Literaturverzeichnis"/>
      </w:pPr>
      <w:r>
        <w:t xml:space="preserve">Allaire, J., Xie, Y., McPherson, J., Luraschi, J., Ushey, K., Atkins, A., … Chang, W. (2018). rmarkdown: Dynamic Documents for R. Retrieved from</w:t>
      </w:r>
      <w:r>
        <w:t xml:space="preserve"> </w:t>
      </w:r>
      <w:hyperlink r:id="rId67">
        <w:r>
          <w:rPr>
            <w:rStyle w:val="Hyperlink"/>
          </w:rPr>
          <w:t xml:space="preserve">https://cran.r-project.org/package=rmarkdown</w:t>
        </w:r>
      </w:hyperlink>
    </w:p>
    <w:bookmarkEnd w:id="183"/>
    <w:bookmarkStart w:id="184"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184"/>
    <w:bookmarkStart w:id="185"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70">
        <w:r>
          <w:rPr>
            <w:rStyle w:val="Hyperlink"/>
          </w:rPr>
          <w:t xml:space="preserve">10.1080/15475441.2013.808954</w:t>
        </w:r>
      </w:hyperlink>
    </w:p>
    <w:bookmarkEnd w:id="185"/>
    <w:bookmarkStart w:id="186" w:name="ref-papaja"/>
    <w:p>
      <w:pPr>
        <w:pStyle w:val="Literaturverzeichnis"/>
      </w:pPr>
      <w:r>
        <w:t xml:space="preserve">Aust, F., &amp; Barth, M. (2018). papaja: Prepare reproducible APA journal articles with R Markdown. Retrieved from</w:t>
      </w:r>
      <w:r>
        <w:t xml:space="preserve"> </w:t>
      </w:r>
      <w:hyperlink r:id="rId72">
        <w:r>
          <w:rPr>
            <w:rStyle w:val="Hyperlink"/>
          </w:rPr>
          <w:t xml:space="preserve">https://github.com/crsh/papaja</w:t>
        </w:r>
      </w:hyperlink>
    </w:p>
    <w:bookmarkEnd w:id="186"/>
    <w:bookmarkStart w:id="187" w:name="ref-Bailey2005"/>
    <w:p>
      <w:pPr>
        <w:pStyle w:val="Literaturverzeichnis"/>
      </w:pPr>
      <w:r>
        <w:t xml:space="preserve">Bailey, T. M., &amp; Hahn, U. (2005). Phoneme similarity and confusability.</w:t>
      </w:r>
      <w:r>
        <w:t xml:space="preserve"> </w:t>
      </w:r>
      <w:r>
        <w:rPr>
          <w:i/>
        </w:rPr>
        <w:t xml:space="preserve">Journal of Memory and Language</w:t>
      </w:r>
      <w:r>
        <w:t xml:space="preserve">,</w:t>
      </w:r>
      <w:r>
        <w:t xml:space="preserve"> </w:t>
      </w:r>
      <w:r>
        <w:rPr>
          <w:i/>
        </w:rPr>
        <w:t xml:space="preserve">52</w:t>
      </w:r>
      <w:r>
        <w:t xml:space="preserve">(3), 339–362. doi:</w:t>
      </w:r>
      <w:hyperlink r:id="rId74">
        <w:r>
          <w:rPr>
            <w:rStyle w:val="Hyperlink"/>
          </w:rPr>
          <w:t xml:space="preserve">10.1016/j.jml.2004.12.003</w:t>
        </w:r>
      </w:hyperlink>
    </w:p>
    <w:bookmarkEnd w:id="187"/>
    <w:bookmarkStart w:id="188"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76">
        <w:r>
          <w:rPr>
            <w:rStyle w:val="Hyperlink"/>
          </w:rPr>
          <w:t xml:space="preserve">10.1016/S0885-2014(02)00116-8</w:t>
        </w:r>
      </w:hyperlink>
    </w:p>
    <w:bookmarkEnd w:id="188"/>
    <w:bookmarkStart w:id="189"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78">
        <w:r>
          <w:rPr>
            <w:rStyle w:val="Hyperlink"/>
          </w:rPr>
          <w:t xml:space="preserve">10.1017/S0305000904006567</w:t>
        </w:r>
      </w:hyperlink>
    </w:p>
    <w:bookmarkEnd w:id="189"/>
    <w:bookmarkStart w:id="190" w:name="ref-Bergmann2016"/>
    <w:p>
      <w:pPr>
        <w:pStyle w:val="Literaturverzeichnis"/>
      </w:pPr>
      <w:r>
        <w:t xml:space="preserve">Bergmann, C., &amp; Cristia, A. (2016). Development of infants’ segmentation of words from native speech: A meta-analytic approach.</w:t>
      </w:r>
      <w:r>
        <w:t xml:space="preserve"> </w:t>
      </w:r>
      <w:r>
        <w:rPr>
          <w:i/>
        </w:rPr>
        <w:t xml:space="preserve">Developmental Science</w:t>
      </w:r>
      <w:r>
        <w:t xml:space="preserve">,</w:t>
      </w:r>
      <w:r>
        <w:t xml:space="preserve"> </w:t>
      </w:r>
      <w:r>
        <w:rPr>
          <w:i/>
        </w:rPr>
        <w:t xml:space="preserve">19</w:t>
      </w:r>
      <w:r>
        <w:t xml:space="preserve">(6), 901–917. doi:</w:t>
      </w:r>
      <w:hyperlink r:id="rId80">
        <w:r>
          <w:rPr>
            <w:rStyle w:val="Hyperlink"/>
          </w:rPr>
          <w:t xml:space="preserve">10.1111/desc.12341</w:t>
        </w:r>
      </w:hyperlink>
    </w:p>
    <w:bookmarkEnd w:id="190"/>
    <w:bookmarkStart w:id="191"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82">
        <w:r>
          <w:rPr>
            <w:rStyle w:val="Hyperlink"/>
          </w:rPr>
          <w:t xml:space="preserve">10.17605/OSF.IO/3UBNC</w:t>
        </w:r>
      </w:hyperlink>
    </w:p>
    <w:bookmarkEnd w:id="191"/>
    <w:bookmarkStart w:id="192"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192"/>
    <w:bookmarkStart w:id="193"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85">
        <w:r>
          <w:rPr>
            <w:rStyle w:val="Hyperlink"/>
          </w:rPr>
          <w:t xml:space="preserve">10.1017/S0305000900010023</w:t>
        </w:r>
      </w:hyperlink>
    </w:p>
    <w:bookmarkEnd w:id="193"/>
    <w:bookmarkStart w:id="194"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194"/>
    <w:bookmarkStart w:id="195"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88">
        <w:r>
          <w:rPr>
            <w:rStyle w:val="Hyperlink"/>
          </w:rPr>
          <w:t xml:space="preserve">10.1037/dev0000083</w:t>
        </w:r>
      </w:hyperlink>
    </w:p>
    <w:bookmarkEnd w:id="195"/>
    <w:bookmarkStart w:id="196"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90">
        <w:r>
          <w:rPr>
            <w:rStyle w:val="Hyperlink"/>
          </w:rPr>
          <w:t xml:space="preserve">10.1093/oxfordhb/9780198568971.013.0035</w:t>
        </w:r>
      </w:hyperlink>
    </w:p>
    <w:bookmarkEnd w:id="196"/>
    <w:bookmarkStart w:id="197"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92">
        <w:r>
          <w:rPr>
            <w:rStyle w:val="Hyperlink"/>
          </w:rPr>
          <w:t xml:space="preserve">10.1017/S0952675715000135</w:t>
        </w:r>
      </w:hyperlink>
    </w:p>
    <w:bookmarkEnd w:id="197"/>
    <w:bookmarkStart w:id="198"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94">
        <w:r>
          <w:rPr>
            <w:rStyle w:val="Hyperlink"/>
          </w:rPr>
          <w:t xml:space="preserve">10.1177/1745691612459059</w:t>
        </w:r>
      </w:hyperlink>
    </w:p>
    <w:bookmarkEnd w:id="198"/>
    <w:bookmarkStart w:id="199"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96">
        <w:r>
          <w:rPr>
            <w:rStyle w:val="Hyperlink"/>
          </w:rPr>
          <w:t xml:space="preserve">10.1111/1467-9280.00044</w:t>
        </w:r>
      </w:hyperlink>
    </w:p>
    <w:bookmarkEnd w:id="199"/>
    <w:bookmarkStart w:id="200"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98">
        <w:r>
          <w:rPr>
            <w:rStyle w:val="Hyperlink"/>
          </w:rPr>
          <w:t xml:space="preserve">10.2307/2340521</w:t>
        </w:r>
      </w:hyperlink>
    </w:p>
    <w:bookmarkEnd w:id="200"/>
    <w:bookmarkStart w:id="201"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201"/>
    <w:bookmarkStart w:id="202" w:name="ref-Frank2016"/>
    <w:p>
      <w:pPr>
        <w:pStyle w:val="Literaturverzeichnis"/>
      </w:pPr>
      <w:r>
        <w:t xml:space="preserve">Frank, M. C., Lewis, M. L., &amp; Macdonald, K. (2016). A performance model for early word learning.</w:t>
      </w:r>
      <w:r>
        <w:t xml:space="preserve"> </w:t>
      </w:r>
      <w:r>
        <w:rPr>
          <w:i/>
        </w:rPr>
        <w:t xml:space="preserve">Proceedings of the Cognitive Science Society</w:t>
      </w:r>
      <w:r>
        <w:t xml:space="preserve">, 2609–2614. Retrieved from</w:t>
      </w:r>
      <w:r>
        <w:t xml:space="preserve"> </w:t>
      </w:r>
      <w:hyperlink r:id="rId101">
        <w:r>
          <w:rPr>
            <w:rStyle w:val="Hyperlink"/>
          </w:rPr>
          <w:t xml:space="preserve">https://mindmodeling.org/cogsci2016/papers/0450/paper0450.pdf</w:t>
        </w:r>
      </w:hyperlink>
    </w:p>
    <w:bookmarkEnd w:id="202"/>
    <w:bookmarkStart w:id="203"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03">
        <w:r>
          <w:rPr>
            <w:rStyle w:val="Hyperlink"/>
          </w:rPr>
          <w:t xml:space="preserve">10.1037/a0037714</w:t>
        </w:r>
      </w:hyperlink>
    </w:p>
    <w:bookmarkEnd w:id="203"/>
    <w:bookmarkStart w:id="204"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204"/>
    <w:bookmarkStart w:id="205" w:name="ref-Havron"/>
    <w:p>
      <w:pPr>
        <w:pStyle w:val="Literaturverzeichnis"/>
      </w:pPr>
      <w:r>
        <w:t xml:space="preserve">Havron, N., Bergmann, C., &amp; Tsuji, S. (2020). Preregistration in infant research - a primer. doi:</w:t>
      </w:r>
      <w:hyperlink r:id="rId106">
        <w:r>
          <w:rPr>
            <w:rStyle w:val="Hyperlink"/>
          </w:rPr>
          <w:t xml:space="preserve">10.31234/osf.io/es2gx</w:t>
        </w:r>
      </w:hyperlink>
    </w:p>
    <w:bookmarkEnd w:id="205"/>
    <w:bookmarkStart w:id="206"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08">
        <w:r>
          <w:rPr>
            <w:rStyle w:val="Hyperlink"/>
          </w:rPr>
          <w:t xml:space="preserve">10.3102/10769986006002107</w:t>
        </w:r>
      </w:hyperlink>
    </w:p>
    <w:bookmarkEnd w:id="206"/>
    <w:bookmarkStart w:id="207"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207"/>
    <w:bookmarkStart w:id="208"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11">
        <w:r>
          <w:rPr>
            <w:rStyle w:val="Hyperlink"/>
          </w:rPr>
          <w:t xml:space="preserve">10.1098/rspb.2001.1832</w:t>
        </w:r>
      </w:hyperlink>
    </w:p>
    <w:bookmarkEnd w:id="208"/>
    <w:bookmarkStart w:id="209"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13">
        <w:r>
          <w:rPr>
            <w:rStyle w:val="Hyperlink"/>
          </w:rPr>
          <w:t xml:space="preserve">10.1016/j.csda.2008.06.010</w:t>
        </w:r>
      </w:hyperlink>
    </w:p>
    <w:bookmarkEnd w:id="209"/>
    <w:bookmarkStart w:id="210"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15">
        <w:r>
          <w:rPr>
            <w:rStyle w:val="Hyperlink"/>
          </w:rPr>
          <w:t xml:space="preserve">10.1177/00238309080510010201</w:t>
        </w:r>
      </w:hyperlink>
    </w:p>
    <w:bookmarkEnd w:id="210"/>
    <w:bookmarkStart w:id="211"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17">
        <w:r>
          <w:rPr>
            <w:rStyle w:val="Hyperlink"/>
          </w:rPr>
          <w:t xml:space="preserve">10.1016/j.jml.2007.03.005</w:t>
        </w:r>
      </w:hyperlink>
    </w:p>
    <w:bookmarkEnd w:id="211"/>
    <w:bookmarkStart w:id="212"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19">
        <w:r>
          <w:rPr>
            <w:rStyle w:val="Hyperlink"/>
          </w:rPr>
          <w:t xml:space="preserve">10.1111/j.1532-7078.2009.00027.x</w:t>
        </w:r>
      </w:hyperlink>
    </w:p>
    <w:bookmarkEnd w:id="212"/>
    <w:bookmarkStart w:id="213"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21">
        <w:r>
          <w:rPr>
            <w:rStyle w:val="Hyperlink"/>
          </w:rPr>
          <w:t xml:space="preserve">10.1017/S0305000910000243</w:t>
        </w:r>
      </w:hyperlink>
    </w:p>
    <w:bookmarkEnd w:id="213"/>
    <w:bookmarkStart w:id="214" w:name="ref-MB1"/>
    <w:p>
      <w:pPr>
        <w:pStyle w:val="Literaturverzeichnis"/>
      </w:pPr>
      <w:r>
        <w:t xml:space="preserve">ManyBabiesConsortium. (2020). Quantifying sources of variability in infancy research using the infant-directed speech preference.</w:t>
      </w:r>
      <w:r>
        <w:t xml:space="preserve"> </w:t>
      </w:r>
      <w:r>
        <w:rPr>
          <w:i/>
        </w:rPr>
        <w:t xml:space="preserve">Advances in Methods and Practices in Psychological Science</w:t>
      </w:r>
      <w:r>
        <w:t xml:space="preserve">.</w:t>
      </w:r>
    </w:p>
    <w:bookmarkEnd w:id="214"/>
    <w:bookmarkStart w:id="215"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24">
        <w:r>
          <w:rPr>
            <w:rStyle w:val="Hyperlink"/>
          </w:rPr>
          <w:t xml:space="preserve">10.1016/j.jneumeth.2007.03.024</w:t>
        </w:r>
      </w:hyperlink>
    </w:p>
    <w:bookmarkEnd w:id="215"/>
    <w:bookmarkStart w:id="216"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26">
        <w:r>
          <w:rPr>
            <w:rStyle w:val="Hyperlink"/>
          </w:rPr>
          <w:t xml:space="preserve">10.1016/S0010-0285(03)00034-3</w:t>
        </w:r>
      </w:hyperlink>
    </w:p>
    <w:bookmarkEnd w:id="216"/>
    <w:bookmarkStart w:id="217"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28">
        <w:r>
          <w:rPr>
            <w:rStyle w:val="Hyperlink"/>
          </w:rPr>
          <w:t xml:space="preserve">10.1037/0096-1523.15.3.576</w:t>
        </w:r>
      </w:hyperlink>
    </w:p>
    <w:bookmarkEnd w:id="217"/>
    <w:bookmarkStart w:id="218" w:name="ref-Mayor2014"/>
    <w:p>
      <w:pPr>
        <w:pStyle w:val="Literaturverzeichnis"/>
      </w:pPr>
      <w:r>
        <w:t xml:space="preserve">Mayor, J., &amp; Plunkett, K. (2014). Infant word recognition: Insights from TRACE simulations.</w:t>
      </w:r>
      <w:r>
        <w:t xml:space="preserve"> </w:t>
      </w:r>
      <w:r>
        <w:rPr>
          <w:i/>
        </w:rPr>
        <w:t xml:space="preserve">Journal of Memory and Language</w:t>
      </w:r>
      <w:r>
        <w:t xml:space="preserve">,</w:t>
      </w:r>
      <w:r>
        <w:t xml:space="preserve"> </w:t>
      </w:r>
      <w:r>
        <w:rPr>
          <w:i/>
        </w:rPr>
        <w:t xml:space="preserve">71</w:t>
      </w:r>
      <w:r>
        <w:t xml:space="preserve">(1), 89–123. doi:</w:t>
      </w:r>
      <w:hyperlink r:id="rId130">
        <w:r>
          <w:rPr>
            <w:rStyle w:val="Hyperlink"/>
          </w:rPr>
          <w:t xml:space="preserve">10.1016/j.jml.2013.09.009</w:t>
        </w:r>
      </w:hyperlink>
    </w:p>
    <w:bookmarkEnd w:id="218"/>
    <w:bookmarkStart w:id="219"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32">
        <w:r>
          <w:rPr>
            <w:rStyle w:val="Hyperlink"/>
          </w:rPr>
          <w:t xml:space="preserve">10.1016/0010-0285(86)90015-0</w:t>
        </w:r>
      </w:hyperlink>
    </w:p>
    <w:bookmarkEnd w:id="219"/>
    <w:bookmarkStart w:id="220"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34">
        <w:r>
          <w:rPr>
            <w:rStyle w:val="Hyperlink"/>
          </w:rPr>
          <w:t xml:space="preserve">10.1016/j.jml.2007.11.006</w:t>
        </w:r>
      </w:hyperlink>
    </w:p>
    <w:bookmarkEnd w:id="220"/>
    <w:bookmarkStart w:id="221" w:name="ref-Moher2009"/>
    <w:p>
      <w:pPr>
        <w:pStyle w:val="Literaturverzeichnis"/>
      </w:pPr>
      <w:r>
        <w:t xml:space="preserve">Moher, D., Liberati, A., Tetzlaff, J., Altman, D. G., &amp; PRISMA Group".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36">
        <w:r>
          <w:rPr>
            <w:rStyle w:val="Hyperlink"/>
          </w:rPr>
          <w:t xml:space="preserve">10.1371/journal.pmed.1000097</w:t>
        </w:r>
      </w:hyperlink>
    </w:p>
    <w:bookmarkEnd w:id="221"/>
    <w:bookmarkStart w:id="222"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38">
        <w:r>
          <w:rPr>
            <w:rStyle w:val="Hyperlink"/>
          </w:rPr>
          <w:t xml:space="preserve">10.1037/1082-989X.7.1.105</w:t>
        </w:r>
      </w:hyperlink>
    </w:p>
    <w:bookmarkEnd w:id="222"/>
    <w:bookmarkStart w:id="223"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 doi:</w:t>
      </w:r>
      <w:hyperlink r:id="rId140">
        <w:r>
          <w:rPr>
            <w:rStyle w:val="Hyperlink"/>
          </w:rPr>
          <w:t xml:space="preserve">10.1016/j.jecp.2008.05.003</w:t>
        </w:r>
      </w:hyperlink>
    </w:p>
    <w:bookmarkEnd w:id="223"/>
    <w:bookmarkStart w:id="224"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42">
        <w:r>
          <w:rPr>
            <w:rStyle w:val="Hyperlink"/>
          </w:rPr>
          <w:t xml:space="preserve">10.1177/0963721416655786</w:t>
        </w:r>
      </w:hyperlink>
    </w:p>
    <w:bookmarkEnd w:id="224"/>
    <w:bookmarkStart w:id="225"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44">
        <w:r>
          <w:rPr>
            <w:rStyle w:val="Hyperlink"/>
          </w:rPr>
          <w:t xml:space="preserve">10.1111/desc.12704</w:t>
        </w:r>
      </w:hyperlink>
    </w:p>
    <w:bookmarkEnd w:id="225"/>
    <w:bookmarkStart w:id="226"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226"/>
    <w:bookmarkStart w:id="227"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47">
        <w:r>
          <w:rPr>
            <w:rStyle w:val="Hyperlink"/>
          </w:rPr>
          <w:t xml:space="preserve">10.1016/j.cogpsych.2009.02.002</w:t>
        </w:r>
      </w:hyperlink>
    </w:p>
    <w:bookmarkEnd w:id="227"/>
    <w:bookmarkStart w:id="228" w:name="ref-R"/>
    <w:p>
      <w:pPr>
        <w:pStyle w:val="Literaturverzeichnis"/>
      </w:pPr>
      <w:r>
        <w:t xml:space="preserve">R Core Team. (2018). R: A Language and Environment for Statistical Computing. Vienna, Austria: R Foundation for Statistical Computing. Retrieved from</w:t>
      </w:r>
      <w:r>
        <w:t xml:space="preserve"> </w:t>
      </w:r>
      <w:hyperlink r:id="rId149">
        <w:r>
          <w:rPr>
            <w:rStyle w:val="Hyperlink"/>
          </w:rPr>
          <w:t xml:space="preserve">https://www.r-project.org/</w:t>
        </w:r>
      </w:hyperlink>
    </w:p>
    <w:bookmarkEnd w:id="228"/>
    <w:bookmarkStart w:id="229"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229"/>
    <w:bookmarkStart w:id="230" w:name="ref-Sakaluk2016"/>
    <w:p>
      <w:pPr>
        <w:pStyle w:val="Literaturverzeichnis"/>
      </w:pPr>
      <w:r>
        <w:t xml:space="preserve">Sakaluk, J. (2016). Make it pretty: Forest and funnel plots for meta-analysis using ggplot2. [Blog post]. Retrieved from</w:t>
      </w:r>
      <w:r>
        <w:t xml:space="preserve"> </w:t>
      </w:r>
      <w:hyperlink r:id="rId152">
        <w:r>
          <w:rPr>
            <w:rStyle w:val="Hyperlink"/>
          </w:rPr>
          <w:t xml:space="preserve">https://sakaluk.wordpress.com/2016/02/16/7-make-it-pretty-plots-for-meta-analysis/</w:t>
        </w:r>
      </w:hyperlink>
    </w:p>
    <w:bookmarkEnd w:id="230"/>
    <w:bookmarkStart w:id="231"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54">
        <w:r>
          <w:rPr>
            <w:rStyle w:val="Hyperlink"/>
          </w:rPr>
          <w:t xml:space="preserve">10.1007/978-3-319-21416-0&gt;</w:t>
        </w:r>
      </w:hyperlink>
    </w:p>
    <w:bookmarkEnd w:id="231"/>
    <w:bookmarkStart w:id="232"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56">
        <w:r>
          <w:rPr>
            <w:rStyle w:val="Hyperlink"/>
          </w:rPr>
          <w:t xml:space="preserve">10.1177/0956797611417632</w:t>
        </w:r>
      </w:hyperlink>
    </w:p>
    <w:bookmarkEnd w:id="232"/>
    <w:bookmarkStart w:id="233"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58">
        <w:r>
          <w:rPr>
            <w:rStyle w:val="Hyperlink"/>
          </w:rPr>
          <w:t xml:space="preserve">10.1037/a0033242</w:t>
        </w:r>
      </w:hyperlink>
    </w:p>
    <w:bookmarkEnd w:id="233"/>
    <w:bookmarkStart w:id="234"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60">
        <w:r>
          <w:rPr>
            <w:rStyle w:val="Hyperlink"/>
          </w:rPr>
          <w:t xml:space="preserve">10.1111/infa.12020</w:t>
        </w:r>
      </w:hyperlink>
    </w:p>
    <w:bookmarkEnd w:id="234"/>
    <w:bookmarkStart w:id="235"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162">
        <w:r>
          <w:rPr>
            <w:rStyle w:val="Hyperlink"/>
          </w:rPr>
          <w:t xml:space="preserve">10.1016/j.jml.2008.11.003</w:t>
        </w:r>
      </w:hyperlink>
    </w:p>
    <w:bookmarkEnd w:id="235"/>
    <w:bookmarkStart w:id="236"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164">
        <w:r>
          <w:rPr>
            <w:rStyle w:val="Hyperlink"/>
          </w:rPr>
          <w:t xml:space="preserve">10.1037/dev0000114</w:t>
        </w:r>
      </w:hyperlink>
    </w:p>
    <w:bookmarkEnd w:id="236"/>
    <w:bookmarkStart w:id="237"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166">
        <w:r>
          <w:rPr>
            <w:rStyle w:val="Hyperlink"/>
          </w:rPr>
          <w:t xml:space="preserve">10.1016/S0010-0277(00)00081-0</w:t>
        </w:r>
      </w:hyperlink>
    </w:p>
    <w:bookmarkEnd w:id="237"/>
    <w:bookmarkStart w:id="238"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168">
        <w:r>
          <w:rPr>
            <w:rStyle w:val="Hyperlink"/>
          </w:rPr>
          <w:t xml:space="preserve">10.1111/1467-9280.00485</w:t>
        </w:r>
      </w:hyperlink>
    </w:p>
    <w:bookmarkEnd w:id="238"/>
    <w:bookmarkStart w:id="239"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239"/>
    <w:bookmarkStart w:id="240"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171">
        <w:r>
          <w:rPr>
            <w:rStyle w:val="Hyperlink"/>
          </w:rPr>
          <w:t xml:space="preserve">10.1177/1745691614552498</w:t>
        </w:r>
      </w:hyperlink>
    </w:p>
    <w:bookmarkEnd w:id="240"/>
    <w:bookmarkStart w:id="241"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173">
        <w:r>
          <w:rPr>
            <w:rStyle w:val="Hyperlink"/>
          </w:rPr>
          <w:t xml:space="preserve">10.18637/jss.v036.i03</w:t>
        </w:r>
      </w:hyperlink>
    </w:p>
    <w:bookmarkEnd w:id="241"/>
    <w:bookmarkStart w:id="242"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175">
        <w:r>
          <w:rPr>
            <w:rStyle w:val="Hyperlink"/>
          </w:rPr>
          <w:t xml:space="preserve">10.1016/j.jecp.2011.02.002</w:t>
        </w:r>
      </w:hyperlink>
    </w:p>
    <w:bookmarkEnd w:id="242"/>
    <w:bookmarkStart w:id="243"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177">
        <w:r>
          <w:rPr>
            <w:rStyle w:val="Hyperlink"/>
          </w:rPr>
          <w:t xml:space="preserve">10.1207/s15473341lld0102_4</w:t>
        </w:r>
      </w:hyperlink>
    </w:p>
    <w:bookmarkEnd w:id="243"/>
    <w:bookmarkStart w:id="244"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179">
        <w:r>
          <w:rPr>
            <w:rStyle w:val="Hyperlink"/>
          </w:rPr>
          <w:t xml:space="preserve">10.1016/j.jml.2008.03.001</w:t>
        </w:r>
      </w:hyperlink>
    </w:p>
    <w:bookmarkEnd w:id="244"/>
    <w:bookmarkStart w:id="245"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181">
        <w:r>
          <w:rPr>
            <w:rStyle w:val="Hyperlink"/>
          </w:rPr>
          <w:t xml:space="preserve">10.1111/j.1532-7078.2011.00111.x</w:t>
        </w:r>
      </w:hyperlink>
    </w:p>
    <w:bookmarkEnd w:id="245"/>
    <w:bookmarkEnd w:id="24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respectively.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hyperlink" Id="rId31" Target="http://p-curve.com" TargetMode="External" /><Relationship Type="http://schemas.openxmlformats.org/officeDocument/2006/relationships/hyperlink" Id="rId67" Target="https://cran.r-project.org/package=rmarkdown" TargetMode="External" /><Relationship Type="http://schemas.openxmlformats.org/officeDocument/2006/relationships/hyperlink" Id="rId154" Target="https://doi.org/10.1007/978-3-319-21416-0%3E" TargetMode="External" /><Relationship Type="http://schemas.openxmlformats.org/officeDocument/2006/relationships/hyperlink" Id="rId132" Target="https://doi.org/10.1016/0010-0285(86)90015-0" TargetMode="External" /><Relationship Type="http://schemas.openxmlformats.org/officeDocument/2006/relationships/hyperlink" Id="rId166" Target="https://doi.org/10.1016/S0010-0277(00)00081-0" TargetMode="External" /><Relationship Type="http://schemas.openxmlformats.org/officeDocument/2006/relationships/hyperlink" Id="rId126" Target="https://doi.org/10.1016/S0010-0285(03)00034-3" TargetMode="External" /><Relationship Type="http://schemas.openxmlformats.org/officeDocument/2006/relationships/hyperlink" Id="rId76" Target="https://doi.org/10.1016/S0885-2014(02)00116-8" TargetMode="External" /><Relationship Type="http://schemas.openxmlformats.org/officeDocument/2006/relationships/hyperlink" Id="rId147" Target="https://doi.org/10.1016/j.cogpsych.2009.02.002" TargetMode="External" /><Relationship Type="http://schemas.openxmlformats.org/officeDocument/2006/relationships/hyperlink" Id="rId113" Target="https://doi.org/10.1016/j.csda.2008.06.010" TargetMode="External" /><Relationship Type="http://schemas.openxmlformats.org/officeDocument/2006/relationships/hyperlink" Id="rId140" Target="https://doi.org/10.1016/j.jecp.2008.05.003" TargetMode="External" /><Relationship Type="http://schemas.openxmlformats.org/officeDocument/2006/relationships/hyperlink" Id="rId175" Target="https://doi.org/10.1016/j.jecp.2011.02.002" TargetMode="External" /><Relationship Type="http://schemas.openxmlformats.org/officeDocument/2006/relationships/hyperlink" Id="rId74" Target="https://doi.org/10.1016/j.jml.2004.12.003" TargetMode="External" /><Relationship Type="http://schemas.openxmlformats.org/officeDocument/2006/relationships/hyperlink" Id="rId117" Target="https://doi.org/10.1016/j.jml.2007.03.005" TargetMode="External" /><Relationship Type="http://schemas.openxmlformats.org/officeDocument/2006/relationships/hyperlink" Id="rId134" Target="https://doi.org/10.1016/j.jml.2007.11.006" TargetMode="External" /><Relationship Type="http://schemas.openxmlformats.org/officeDocument/2006/relationships/hyperlink" Id="rId179" Target="https://doi.org/10.1016/j.jml.2008.03.001" TargetMode="External" /><Relationship Type="http://schemas.openxmlformats.org/officeDocument/2006/relationships/hyperlink" Id="rId162" Target="https://doi.org/10.1016/j.jml.2008.11.003" TargetMode="External" /><Relationship Type="http://schemas.openxmlformats.org/officeDocument/2006/relationships/hyperlink" Id="rId130" Target="https://doi.org/10.1016/j.jml.2013.09.009" TargetMode="External" /><Relationship Type="http://schemas.openxmlformats.org/officeDocument/2006/relationships/hyperlink" Id="rId124" Target="https://doi.org/10.1016/j.jneumeth.2007.03.024" TargetMode="External" /><Relationship Type="http://schemas.openxmlformats.org/officeDocument/2006/relationships/hyperlink" Id="rId85" Target="https://doi.org/10.1017/S0305000900010023" TargetMode="External" /><Relationship Type="http://schemas.openxmlformats.org/officeDocument/2006/relationships/hyperlink" Id="rId78" Target="https://doi.org/10.1017/S0305000904006567" TargetMode="External" /><Relationship Type="http://schemas.openxmlformats.org/officeDocument/2006/relationships/hyperlink" Id="rId121" Target="https://doi.org/10.1017/S0305000910000243" TargetMode="External" /><Relationship Type="http://schemas.openxmlformats.org/officeDocument/2006/relationships/hyperlink" Id="rId92" Target="https://doi.org/10.1017/S0952675715000135" TargetMode="External" /><Relationship Type="http://schemas.openxmlformats.org/officeDocument/2006/relationships/hyperlink" Id="rId128" Target="https://doi.org/10.1037/0096-1523.15.3.576" TargetMode="External" /><Relationship Type="http://schemas.openxmlformats.org/officeDocument/2006/relationships/hyperlink" Id="rId138" Target="https://doi.org/10.1037/1082-989X.7.1.105" TargetMode="External" /><Relationship Type="http://schemas.openxmlformats.org/officeDocument/2006/relationships/hyperlink" Id="rId158" Target="https://doi.org/10.1037/a0033242" TargetMode="External" /><Relationship Type="http://schemas.openxmlformats.org/officeDocument/2006/relationships/hyperlink" Id="rId103" Target="https://doi.org/10.1037/a0037714" TargetMode="External" /><Relationship Type="http://schemas.openxmlformats.org/officeDocument/2006/relationships/hyperlink" Id="rId88" Target="https://doi.org/10.1037/dev0000083" TargetMode="External" /><Relationship Type="http://schemas.openxmlformats.org/officeDocument/2006/relationships/hyperlink" Id="rId164" Target="https://doi.org/10.1037/dev0000114" TargetMode="External" /><Relationship Type="http://schemas.openxmlformats.org/officeDocument/2006/relationships/hyperlink" Id="rId70" Target="https://doi.org/10.1080/15475441.2013.808954" TargetMode="External" /><Relationship Type="http://schemas.openxmlformats.org/officeDocument/2006/relationships/hyperlink" Id="rId90" Target="https://doi.org/10.1093/oxfordhb/9780198568971.013.0035" TargetMode="External" /><Relationship Type="http://schemas.openxmlformats.org/officeDocument/2006/relationships/hyperlink" Id="rId111" Target="https://doi.org/10.1098/rspb.2001.1832" TargetMode="External" /><Relationship Type="http://schemas.openxmlformats.org/officeDocument/2006/relationships/hyperlink" Id="rId96" Target="https://doi.org/10.1111/1467-9280.00044" TargetMode="External" /><Relationship Type="http://schemas.openxmlformats.org/officeDocument/2006/relationships/hyperlink" Id="rId168" Target="https://doi.org/10.1111/1467-9280.00485" TargetMode="External" /><Relationship Type="http://schemas.openxmlformats.org/officeDocument/2006/relationships/hyperlink" Id="rId80" Target="https://doi.org/10.1111/desc.12341" TargetMode="External" /><Relationship Type="http://schemas.openxmlformats.org/officeDocument/2006/relationships/hyperlink" Id="rId144" Target="https://doi.org/10.1111/desc.12704" TargetMode="External" /><Relationship Type="http://schemas.openxmlformats.org/officeDocument/2006/relationships/hyperlink" Id="rId160" Target="https://doi.org/10.1111/infa.12020" TargetMode="External" /><Relationship Type="http://schemas.openxmlformats.org/officeDocument/2006/relationships/hyperlink" Id="rId119" Target="https://doi.org/10.1111/j.1532-7078.2009.00027.x" TargetMode="External" /><Relationship Type="http://schemas.openxmlformats.org/officeDocument/2006/relationships/hyperlink" Id="rId181" Target="https://doi.org/10.1111/j.1532-7078.2011.00111.x" TargetMode="External" /><Relationship Type="http://schemas.openxmlformats.org/officeDocument/2006/relationships/hyperlink" Id="rId115" Target="https://doi.org/10.1177/00238309080510010201" TargetMode="External" /><Relationship Type="http://schemas.openxmlformats.org/officeDocument/2006/relationships/hyperlink" Id="rId156" Target="https://doi.org/10.1177/0956797611417632" TargetMode="External" /><Relationship Type="http://schemas.openxmlformats.org/officeDocument/2006/relationships/hyperlink" Id="rId142" Target="https://doi.org/10.1177/0963721416655786" TargetMode="External" /><Relationship Type="http://schemas.openxmlformats.org/officeDocument/2006/relationships/hyperlink" Id="rId94" Target="https://doi.org/10.1177/1745691612459059" TargetMode="External" /><Relationship Type="http://schemas.openxmlformats.org/officeDocument/2006/relationships/hyperlink" Id="rId171" Target="https://doi.org/10.1177/1745691614552498" TargetMode="External" /><Relationship Type="http://schemas.openxmlformats.org/officeDocument/2006/relationships/hyperlink" Id="rId177" Target="https://doi.org/10.1207/s15473341lld0102_4" TargetMode="External" /><Relationship Type="http://schemas.openxmlformats.org/officeDocument/2006/relationships/hyperlink" Id="rId136" Target="https://doi.org/10.1371/journal.pmed.1000097" TargetMode="External" /><Relationship Type="http://schemas.openxmlformats.org/officeDocument/2006/relationships/hyperlink" Id="rId82" Target="https://doi.org/10.17605/OSF.IO/3UBNC" TargetMode="External" /><Relationship Type="http://schemas.openxmlformats.org/officeDocument/2006/relationships/hyperlink" Id="rId173" Target="https://doi.org/10.18637/jss.v036.i03" TargetMode="External" /><Relationship Type="http://schemas.openxmlformats.org/officeDocument/2006/relationships/hyperlink" Id="rId98" Target="https://doi.org/10.2307/2340521" TargetMode="External" /><Relationship Type="http://schemas.openxmlformats.org/officeDocument/2006/relationships/hyperlink" Id="rId108" Target="https://doi.org/10.3102/10769986006002107" TargetMode="External" /><Relationship Type="http://schemas.openxmlformats.org/officeDocument/2006/relationships/hyperlink" Id="rId106" Target="https://doi.org/10.31234/osf.io/es2gx" TargetMode="External" /><Relationship Type="http://schemas.openxmlformats.org/officeDocument/2006/relationships/hyperlink" Id="rId72" Target="https://github.com/crsh/papaja" TargetMode="External" /><Relationship Type="http://schemas.openxmlformats.org/officeDocument/2006/relationships/hyperlink" Id="rId24" Target="https://metalab.stanford.edu" TargetMode="External" /><Relationship Type="http://schemas.openxmlformats.org/officeDocument/2006/relationships/hyperlink" Id="rId101" Target="https://mindmodeling.org/cogsci2016/papers/0450/paper0450.pdf" TargetMode="External" /><Relationship Type="http://schemas.openxmlformats.org/officeDocument/2006/relationships/hyperlink" Id="rId23" Target="https://osf.io/rvbjs/" TargetMode="External" /><Relationship Type="http://schemas.openxmlformats.org/officeDocument/2006/relationships/hyperlink" Id="rId152" Target="https://sakaluk.wordpress.com/2016/02/16/7-make-it-pretty-plots-for-meta-analysis/" TargetMode="External" /><Relationship Type="http://schemas.openxmlformats.org/officeDocument/2006/relationships/hyperlink" Id="rId149"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p-curve.com" TargetMode="External" /><Relationship Type="http://schemas.openxmlformats.org/officeDocument/2006/relationships/hyperlink" Id="rId67" Target="https://cran.r-project.org/package=rmarkdown" TargetMode="External" /><Relationship Type="http://schemas.openxmlformats.org/officeDocument/2006/relationships/hyperlink" Id="rId154" Target="https://doi.org/10.1007/978-3-319-21416-0%3E" TargetMode="External" /><Relationship Type="http://schemas.openxmlformats.org/officeDocument/2006/relationships/hyperlink" Id="rId132" Target="https://doi.org/10.1016/0010-0285(86)90015-0" TargetMode="External" /><Relationship Type="http://schemas.openxmlformats.org/officeDocument/2006/relationships/hyperlink" Id="rId166" Target="https://doi.org/10.1016/S0010-0277(00)00081-0" TargetMode="External" /><Relationship Type="http://schemas.openxmlformats.org/officeDocument/2006/relationships/hyperlink" Id="rId126" Target="https://doi.org/10.1016/S0010-0285(03)00034-3" TargetMode="External" /><Relationship Type="http://schemas.openxmlformats.org/officeDocument/2006/relationships/hyperlink" Id="rId76" Target="https://doi.org/10.1016/S0885-2014(02)00116-8" TargetMode="External" /><Relationship Type="http://schemas.openxmlformats.org/officeDocument/2006/relationships/hyperlink" Id="rId147" Target="https://doi.org/10.1016/j.cogpsych.2009.02.002" TargetMode="External" /><Relationship Type="http://schemas.openxmlformats.org/officeDocument/2006/relationships/hyperlink" Id="rId113" Target="https://doi.org/10.1016/j.csda.2008.06.010" TargetMode="External" /><Relationship Type="http://schemas.openxmlformats.org/officeDocument/2006/relationships/hyperlink" Id="rId140" Target="https://doi.org/10.1016/j.jecp.2008.05.003" TargetMode="External" /><Relationship Type="http://schemas.openxmlformats.org/officeDocument/2006/relationships/hyperlink" Id="rId175" Target="https://doi.org/10.1016/j.jecp.2011.02.002" TargetMode="External" /><Relationship Type="http://schemas.openxmlformats.org/officeDocument/2006/relationships/hyperlink" Id="rId74" Target="https://doi.org/10.1016/j.jml.2004.12.003" TargetMode="External" /><Relationship Type="http://schemas.openxmlformats.org/officeDocument/2006/relationships/hyperlink" Id="rId117" Target="https://doi.org/10.1016/j.jml.2007.03.005" TargetMode="External" /><Relationship Type="http://schemas.openxmlformats.org/officeDocument/2006/relationships/hyperlink" Id="rId134" Target="https://doi.org/10.1016/j.jml.2007.11.006" TargetMode="External" /><Relationship Type="http://schemas.openxmlformats.org/officeDocument/2006/relationships/hyperlink" Id="rId179" Target="https://doi.org/10.1016/j.jml.2008.03.001" TargetMode="External" /><Relationship Type="http://schemas.openxmlformats.org/officeDocument/2006/relationships/hyperlink" Id="rId162" Target="https://doi.org/10.1016/j.jml.2008.11.003" TargetMode="External" /><Relationship Type="http://schemas.openxmlformats.org/officeDocument/2006/relationships/hyperlink" Id="rId130" Target="https://doi.org/10.1016/j.jml.2013.09.009" TargetMode="External" /><Relationship Type="http://schemas.openxmlformats.org/officeDocument/2006/relationships/hyperlink" Id="rId124" Target="https://doi.org/10.1016/j.jneumeth.2007.03.024" TargetMode="External" /><Relationship Type="http://schemas.openxmlformats.org/officeDocument/2006/relationships/hyperlink" Id="rId85" Target="https://doi.org/10.1017/S0305000900010023" TargetMode="External" /><Relationship Type="http://schemas.openxmlformats.org/officeDocument/2006/relationships/hyperlink" Id="rId78" Target="https://doi.org/10.1017/S0305000904006567" TargetMode="External" /><Relationship Type="http://schemas.openxmlformats.org/officeDocument/2006/relationships/hyperlink" Id="rId121" Target="https://doi.org/10.1017/S0305000910000243" TargetMode="External" /><Relationship Type="http://schemas.openxmlformats.org/officeDocument/2006/relationships/hyperlink" Id="rId92" Target="https://doi.org/10.1017/S0952675715000135" TargetMode="External" /><Relationship Type="http://schemas.openxmlformats.org/officeDocument/2006/relationships/hyperlink" Id="rId128" Target="https://doi.org/10.1037/0096-1523.15.3.576" TargetMode="External" /><Relationship Type="http://schemas.openxmlformats.org/officeDocument/2006/relationships/hyperlink" Id="rId138" Target="https://doi.org/10.1037/1082-989X.7.1.105" TargetMode="External" /><Relationship Type="http://schemas.openxmlformats.org/officeDocument/2006/relationships/hyperlink" Id="rId158" Target="https://doi.org/10.1037/a0033242" TargetMode="External" /><Relationship Type="http://schemas.openxmlformats.org/officeDocument/2006/relationships/hyperlink" Id="rId103" Target="https://doi.org/10.1037/a0037714" TargetMode="External" /><Relationship Type="http://schemas.openxmlformats.org/officeDocument/2006/relationships/hyperlink" Id="rId88" Target="https://doi.org/10.1037/dev0000083" TargetMode="External" /><Relationship Type="http://schemas.openxmlformats.org/officeDocument/2006/relationships/hyperlink" Id="rId164" Target="https://doi.org/10.1037/dev0000114" TargetMode="External" /><Relationship Type="http://schemas.openxmlformats.org/officeDocument/2006/relationships/hyperlink" Id="rId70" Target="https://doi.org/10.1080/15475441.2013.808954" TargetMode="External" /><Relationship Type="http://schemas.openxmlformats.org/officeDocument/2006/relationships/hyperlink" Id="rId90" Target="https://doi.org/10.1093/oxfordhb/9780198568971.013.0035" TargetMode="External" /><Relationship Type="http://schemas.openxmlformats.org/officeDocument/2006/relationships/hyperlink" Id="rId111" Target="https://doi.org/10.1098/rspb.2001.1832" TargetMode="External" /><Relationship Type="http://schemas.openxmlformats.org/officeDocument/2006/relationships/hyperlink" Id="rId96" Target="https://doi.org/10.1111/1467-9280.00044" TargetMode="External" /><Relationship Type="http://schemas.openxmlformats.org/officeDocument/2006/relationships/hyperlink" Id="rId168" Target="https://doi.org/10.1111/1467-9280.00485" TargetMode="External" /><Relationship Type="http://schemas.openxmlformats.org/officeDocument/2006/relationships/hyperlink" Id="rId80" Target="https://doi.org/10.1111/desc.12341" TargetMode="External" /><Relationship Type="http://schemas.openxmlformats.org/officeDocument/2006/relationships/hyperlink" Id="rId144" Target="https://doi.org/10.1111/desc.12704" TargetMode="External" /><Relationship Type="http://schemas.openxmlformats.org/officeDocument/2006/relationships/hyperlink" Id="rId160" Target="https://doi.org/10.1111/infa.12020" TargetMode="External" /><Relationship Type="http://schemas.openxmlformats.org/officeDocument/2006/relationships/hyperlink" Id="rId119" Target="https://doi.org/10.1111/j.1532-7078.2009.00027.x" TargetMode="External" /><Relationship Type="http://schemas.openxmlformats.org/officeDocument/2006/relationships/hyperlink" Id="rId181" Target="https://doi.org/10.1111/j.1532-7078.2011.00111.x" TargetMode="External" /><Relationship Type="http://schemas.openxmlformats.org/officeDocument/2006/relationships/hyperlink" Id="rId115" Target="https://doi.org/10.1177/00238309080510010201" TargetMode="External" /><Relationship Type="http://schemas.openxmlformats.org/officeDocument/2006/relationships/hyperlink" Id="rId156" Target="https://doi.org/10.1177/0956797611417632" TargetMode="External" /><Relationship Type="http://schemas.openxmlformats.org/officeDocument/2006/relationships/hyperlink" Id="rId142" Target="https://doi.org/10.1177/0963721416655786" TargetMode="External" /><Relationship Type="http://schemas.openxmlformats.org/officeDocument/2006/relationships/hyperlink" Id="rId94" Target="https://doi.org/10.1177/1745691612459059" TargetMode="External" /><Relationship Type="http://schemas.openxmlformats.org/officeDocument/2006/relationships/hyperlink" Id="rId171" Target="https://doi.org/10.1177/1745691614552498" TargetMode="External" /><Relationship Type="http://schemas.openxmlformats.org/officeDocument/2006/relationships/hyperlink" Id="rId177" Target="https://doi.org/10.1207/s15473341lld0102_4" TargetMode="External" /><Relationship Type="http://schemas.openxmlformats.org/officeDocument/2006/relationships/hyperlink" Id="rId136" Target="https://doi.org/10.1371/journal.pmed.1000097" TargetMode="External" /><Relationship Type="http://schemas.openxmlformats.org/officeDocument/2006/relationships/hyperlink" Id="rId82" Target="https://doi.org/10.17605/OSF.IO/3UBNC" TargetMode="External" /><Relationship Type="http://schemas.openxmlformats.org/officeDocument/2006/relationships/hyperlink" Id="rId173" Target="https://doi.org/10.18637/jss.v036.i03" TargetMode="External" /><Relationship Type="http://schemas.openxmlformats.org/officeDocument/2006/relationships/hyperlink" Id="rId98" Target="https://doi.org/10.2307/2340521" TargetMode="External" /><Relationship Type="http://schemas.openxmlformats.org/officeDocument/2006/relationships/hyperlink" Id="rId108" Target="https://doi.org/10.3102/10769986006002107" TargetMode="External" /><Relationship Type="http://schemas.openxmlformats.org/officeDocument/2006/relationships/hyperlink" Id="rId106" Target="https://doi.org/10.31234/osf.io/es2gx" TargetMode="External" /><Relationship Type="http://schemas.openxmlformats.org/officeDocument/2006/relationships/hyperlink" Id="rId72" Target="https://github.com/crsh/papaja" TargetMode="External" /><Relationship Type="http://schemas.openxmlformats.org/officeDocument/2006/relationships/hyperlink" Id="rId24" Target="https://metalab.stanford.edu" TargetMode="External" /><Relationship Type="http://schemas.openxmlformats.org/officeDocument/2006/relationships/hyperlink" Id="rId101" Target="https://mindmodeling.org/cogsci2016/papers/0450/paper0450.pdf" TargetMode="External" /><Relationship Type="http://schemas.openxmlformats.org/officeDocument/2006/relationships/hyperlink" Id="rId23" Target="https://osf.io/rvbjs/" TargetMode="External" /><Relationship Type="http://schemas.openxmlformats.org/officeDocument/2006/relationships/hyperlink" Id="rId152" Target="https://sakaluk.wordpress.com/2016/02/16/7-make-it-pretty-plots-for-meta-analysis/" TargetMode="External" /><Relationship Type="http://schemas.openxmlformats.org/officeDocument/2006/relationships/hyperlink" Id="rId149"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2020-06-25T12:43:37Z</dcterms:created>
  <dcterms:modified xsi:type="dcterms:W3CDTF">2020-06-25T12:43:37Z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 noextraspace</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