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8"/>
        <w:gridCol w:w="2954"/>
        <w:gridCol w:w="1609"/>
        <w:gridCol w:w="1609"/>
        <w:gridCol w:w="1732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innovation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subset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Total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PPE reuse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All clinicians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729 (93.1%)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731 (93.4%)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1460 (93.2%)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PPE reuse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Flexible for this innovation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305 (89.2%)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153 (85.5%)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458 (87.9%)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High-flow oxygen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All clinicians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690 (88.2%)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555 (71.2%)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1245 (79.7%)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High-flow oxygen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Flexible for this innovation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658 (90.8%)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431 (81.6%)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1089 (86.9%)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Ivermectin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All clinicians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 (4.7%)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 (8.6%)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104 (6.7%)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Ivermectin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Flexible for this innovation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 (5.0%)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 (15.9%)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 (7.5%)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2025-11-25T11:55:38Z</dcterms:modified>
  <cp:category/>
</cp:coreProperties>
</file>