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an overview of some of the best embedding models available today:</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7"/>
          <w:szCs w:val="27"/>
          <w:u w:val="single"/>
        </w:rPr>
      </w:pPr>
      <w:bookmarkStart w:colFirst="0" w:colLast="0" w:name="_fvy0p8rqzl14" w:id="0"/>
      <w:bookmarkEnd w:id="0"/>
      <w:r w:rsidDel="00000000" w:rsidR="00000000" w:rsidRPr="00000000">
        <w:rPr>
          <w:sz w:val="27"/>
          <w:szCs w:val="27"/>
          <w:u w:val="single"/>
          <w:rtl w:val="0"/>
        </w:rPr>
        <w:t xml:space="preserve">Commercial Models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OpenAI's text-embedding-3-large</w:t>
      </w:r>
      <w:r w:rsidDel="00000000" w:rsidR="00000000" w:rsidRPr="00000000">
        <w:rPr>
          <w:rFonts w:ascii="Roboto" w:cs="Roboto" w:eastAsia="Roboto" w:hAnsi="Roboto"/>
          <w:sz w:val="24"/>
          <w:szCs w:val="24"/>
          <w:rtl w:val="0"/>
        </w:rPr>
        <w:t xml:space="preserve"> stands out with its 3072-dimensional embeddings, offering high performance across multiple benchmarks</w:t>
      </w:r>
      <w:hyperlink r:id="rId6">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 This model is particularly effective for tasks like semantic search and code search</w:t>
      </w:r>
      <w:hyperlink r:id="rId7">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Voyage-3-large</w:t>
      </w:r>
      <w:r w:rsidDel="00000000" w:rsidR="00000000" w:rsidRPr="00000000">
        <w:rPr>
          <w:rFonts w:ascii="Roboto" w:cs="Roboto" w:eastAsia="Roboto" w:hAnsi="Roboto"/>
          <w:sz w:val="24"/>
          <w:szCs w:val="24"/>
          <w:rtl w:val="0"/>
        </w:rPr>
        <w:t xml:space="preserve"> has surprisingly taken the lead in embedding relevance, outperforming other models in recent tests</w:t>
      </w:r>
      <w:hyperlink r:id="rId8">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 It offers 2048-dimensional embeddings and has shown exceptional results in information retrieval tasks.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Jina Embeddings v3</w:t>
      </w:r>
      <w:r w:rsidDel="00000000" w:rsidR="00000000" w:rsidRPr="00000000">
        <w:rPr>
          <w:rFonts w:ascii="Roboto" w:cs="Roboto" w:eastAsia="Roboto" w:hAnsi="Roboto"/>
          <w:sz w:val="24"/>
          <w:szCs w:val="24"/>
          <w:rtl w:val="0"/>
        </w:rPr>
        <w:t xml:space="preserve"> provides 1024-dimensional embeddings with multilingual support for 89 languages and the ability to process up to 8192 tokens</w:t>
      </w:r>
      <w:hyperlink r:id="rId9">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 It's well-suited for tasks like semantic search and dense retrieval.</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Cohere Embed v3</w:t>
      </w:r>
      <w:r w:rsidDel="00000000" w:rsidR="00000000" w:rsidRPr="00000000">
        <w:rPr>
          <w:rFonts w:ascii="Roboto" w:cs="Roboto" w:eastAsia="Roboto" w:hAnsi="Roboto"/>
          <w:sz w:val="24"/>
          <w:szCs w:val="24"/>
          <w:rtl w:val="0"/>
        </w:rPr>
        <w:t xml:space="preserve"> also offers 1024-dimensional embeddings, though it has been outperformed by some newer models in recent comparisons</w:t>
      </w:r>
      <w:hyperlink r:id="rId1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7"/>
          <w:szCs w:val="27"/>
          <w:u w:val="single"/>
        </w:rPr>
      </w:pPr>
      <w:bookmarkStart w:colFirst="0" w:colLast="0" w:name="_jhfj1zkzfcd9" w:id="1"/>
      <w:bookmarkEnd w:id="1"/>
      <w:r w:rsidDel="00000000" w:rsidR="00000000" w:rsidRPr="00000000">
        <w:rPr>
          <w:sz w:val="27"/>
          <w:szCs w:val="27"/>
          <w:u w:val="single"/>
          <w:rtl w:val="0"/>
        </w:rPr>
        <w:t xml:space="preserve">Open-Source Models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Stella</w:t>
      </w:r>
      <w:r w:rsidDel="00000000" w:rsidR="00000000" w:rsidRPr="00000000">
        <w:rPr>
          <w:rFonts w:ascii="Roboto" w:cs="Roboto" w:eastAsia="Roboto" w:hAnsi="Roboto"/>
          <w:sz w:val="24"/>
          <w:szCs w:val="24"/>
          <w:rtl w:val="0"/>
        </w:rPr>
        <w:t xml:space="preserve"> has emerged as a top-performing open-source model, particularly for information retrieval tasks. Both the 400M and 1.5B variants offer 1024-dimensional embeddings and have shown impressive results</w:t>
      </w:r>
      <w:hyperlink r:id="rId11">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BGE (Balanced General-purpose Embeddings)</w:t>
      </w:r>
      <w:r w:rsidDel="00000000" w:rsidR="00000000" w:rsidRPr="00000000">
        <w:rPr>
          <w:rFonts w:ascii="Roboto" w:cs="Roboto" w:eastAsia="Roboto" w:hAnsi="Roboto"/>
          <w:sz w:val="24"/>
          <w:szCs w:val="24"/>
          <w:rtl w:val="0"/>
        </w:rPr>
        <w:t xml:space="preserve"> aims to create reliable embeddings for a wide range of tasks, striking a balance between accuracy and generalizability</w:t>
      </w:r>
      <w:hyperlink r:id="rId12">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E5</w:t>
      </w:r>
      <w:r w:rsidDel="00000000" w:rsidR="00000000" w:rsidRPr="00000000">
        <w:rPr>
          <w:rFonts w:ascii="Roboto" w:cs="Roboto" w:eastAsia="Roboto" w:hAnsi="Roboto"/>
          <w:sz w:val="24"/>
          <w:szCs w:val="24"/>
          <w:rtl w:val="0"/>
        </w:rPr>
        <w:t xml:space="preserve"> is a group of transformer-based models that excel in tasks such as semantic search, question answering, and text classification</w:t>
      </w:r>
      <w:hyperlink r:id="rId13">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7"/>
          <w:szCs w:val="27"/>
          <w:u w:val="single"/>
        </w:rPr>
      </w:pPr>
      <w:bookmarkStart w:colFirst="0" w:colLast="0" w:name="_gzh0tc8hc3t7" w:id="2"/>
      <w:bookmarkEnd w:id="2"/>
      <w:r w:rsidDel="00000000" w:rsidR="00000000" w:rsidRPr="00000000">
        <w:rPr>
          <w:sz w:val="27"/>
          <w:szCs w:val="27"/>
          <w:u w:val="single"/>
          <w:rtl w:val="0"/>
        </w:rPr>
        <w:t xml:space="preserve">Specialized Models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NV-Embed</w:t>
      </w:r>
      <w:r w:rsidDel="00000000" w:rsidR="00000000" w:rsidRPr="00000000">
        <w:rPr>
          <w:rFonts w:ascii="Roboto" w:cs="Roboto" w:eastAsia="Roboto" w:hAnsi="Roboto"/>
          <w:sz w:val="24"/>
          <w:szCs w:val="24"/>
          <w:rtl w:val="0"/>
        </w:rPr>
        <w:t xml:space="preserve"> from NVIDIA uses cutting-edge large language models to create high-dimensional embeddings, designed for complex tasks like large-scale language inference and dense vector search</w:t>
      </w:r>
      <w:hyperlink r:id="rId14">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ModernBERT Embed</w:t>
      </w:r>
      <w:r w:rsidDel="00000000" w:rsidR="00000000" w:rsidRPr="00000000">
        <w:rPr>
          <w:rFonts w:ascii="Roboto" w:cs="Roboto" w:eastAsia="Roboto" w:hAnsi="Roboto"/>
          <w:sz w:val="24"/>
          <w:szCs w:val="24"/>
          <w:rtl w:val="0"/>
        </w:rPr>
        <w:t xml:space="preserve"> is a newer model based on the ModernBERT architecture, aiming to improve on the foundational BERT model in both speed and accuracy</w:t>
      </w:r>
      <w:hyperlink r:id="rId15">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7"/>
          <w:szCs w:val="27"/>
          <w:u w:val="single"/>
        </w:rPr>
      </w:pPr>
      <w:bookmarkStart w:colFirst="0" w:colLast="0" w:name="_syflauwfr2jr" w:id="3"/>
      <w:bookmarkEnd w:id="3"/>
      <w:r w:rsidDel="00000000" w:rsidR="00000000" w:rsidRPr="00000000">
        <w:rPr>
          <w:sz w:val="27"/>
          <w:szCs w:val="27"/>
          <w:u w:val="single"/>
          <w:rtl w:val="0"/>
        </w:rPr>
        <w:t xml:space="preserve">Performance Considerations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selecting an embedding model, it's important to consider factors such as:</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Task-specific performance</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Dimensionality of embeddings</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Multilingual support</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Computational requirements</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Licensing and commercial use restrictions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best model for a particular application may depend on the specific requirements and constraints of the project. For instance, while Voyage-3-large has shown exceptional performance in recent tests, models like Stella offer strong performance with open-source licensing</w:t>
      </w:r>
      <w:hyperlink r:id="rId16">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rPr/>
      </w:pPr>
      <w:r w:rsidDel="00000000" w:rsidR="00000000" w:rsidRPr="00000000">
        <w:rPr>
          <w:rFonts w:ascii="Roboto" w:cs="Roboto" w:eastAsia="Roboto" w:hAnsi="Roboto"/>
          <w:sz w:val="24"/>
          <w:szCs w:val="24"/>
          <w:rtl w:val="0"/>
        </w:rPr>
        <w:t xml:space="preserve">It's worth noting that the field of embedding models is rapidly evolving, with new models and improvements being released regularly. As of early 2025, these models represent some of the best options available, but it's always advisable to check for the latest benchmarks and releases when making a decision for a specific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stax.com/blog/best-embedding-models-information-retrieval-2025" TargetMode="External"/><Relationship Id="rId10" Type="http://schemas.openxmlformats.org/officeDocument/2006/relationships/hyperlink" Target="https://www.datastax.com/blog/best-embedding-models-information-retrieval-2025" TargetMode="External"/><Relationship Id="rId13" Type="http://schemas.openxmlformats.org/officeDocument/2006/relationships/hyperlink" Target="https://futureagi.com/blogs/best-embedding-models-of-2025" TargetMode="External"/><Relationship Id="rId12" Type="http://schemas.openxmlformats.org/officeDocument/2006/relationships/hyperlink" Target="https://futureagi.com/blogs/best-embedding-models-of-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enai.co/post/best-embedding-apis" TargetMode="External"/><Relationship Id="rId15" Type="http://schemas.openxmlformats.org/officeDocument/2006/relationships/hyperlink" Target="https://www.datastax.com/blog/best-embedding-models-information-retrieval-2025" TargetMode="External"/><Relationship Id="rId14" Type="http://schemas.openxmlformats.org/officeDocument/2006/relationships/hyperlink" Target="https://futureagi.com/blogs/best-embedding-models-of-2025" TargetMode="External"/><Relationship Id="rId16" Type="http://schemas.openxmlformats.org/officeDocument/2006/relationships/hyperlink" Target="https://www.datastax.com/blog/best-embedding-models-information-retrieval-2025" TargetMode="External"/><Relationship Id="rId5" Type="http://schemas.openxmlformats.org/officeDocument/2006/relationships/styles" Target="styles.xml"/><Relationship Id="rId6" Type="http://schemas.openxmlformats.org/officeDocument/2006/relationships/hyperlink" Target="https://www.datastax.com/blog/best-embedding-models-information-retrieval-2025" TargetMode="External"/><Relationship Id="rId7" Type="http://schemas.openxmlformats.org/officeDocument/2006/relationships/hyperlink" Target="https://www.edenai.co/post/best-embedding-apis" TargetMode="External"/><Relationship Id="rId8" Type="http://schemas.openxmlformats.org/officeDocument/2006/relationships/hyperlink" Target="https://www.datastax.com/blog/best-embedding-models-information-retrieval-20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