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04" w:lineRule="auto"/>
        <w:jc w:val="center"/>
      </w:pPr>
      <w:r>
        <w:rPr>
          <w:rFonts w:ascii="KT Flow Black" w:cs="KT Flow Black" w:eastAsia="KT Flow Black" w:hAnsi="KT Flow Black"/>
          <w:b w:val="false"/>
          <w:bCs w:val="false"/>
          <w:color w:val="0D0D12"/>
          <w:sz w:val="40"/>
          <w:szCs w:val="40"/>
        </w:rPr>
        <w:t xml:space="preserve">시청률 자판기 구동 원리 설명서</w:t>
      </w:r>
    </w:p>
    <w:p>
      <w:pPr>
        <w:pBdr>
          <w:bottom w:val="single" w:color="C3C5CF" w:sz="6" w:space="1"/>
        </w:pBdr>
        <w:spacing w:after="0" w:before="20" w:line="20" w:lineRule="exact"/>
        <w:rPr>
          <w:sz w:val="2"/>
          <w:szCs w:val="2"/>
        </w:rPr>
      </w:pPr>
    </w:p>
    <w:p>
      <w:pPr>
        <w:spacing w:after="0" w:before="0" w:line="100" w:lineRule="exact"/>
        <w:rPr>
          <w:sz w:val="10"/>
          <w:szCs w:val="10"/>
        </w:rPr>
      </w:pPr>
    </w:p>
    <w:p>
      <w:pPr>
        <w:spacing w:after="80" w:before="100" w:line="204" w:lineRule="auto"/>
      </w:pPr>
      <w:r>
        <w:rPr>
          <w:rFonts w:ascii="KT Flow Bold" w:cs="KT Flow Bold" w:eastAsia="KT Flow Bold" w:hAnsi="KT Flow Bold"/>
          <w:b w:val="false"/>
          <w:bCs w:val="false"/>
          <w:color w:val="0D0D12"/>
          <w:sz w:val="26"/>
          <w:szCs w:val="26"/>
        </w:rPr>
        <w:t xml:space="preserve">Ⅰ. 요약</w:t>
      </w:r>
    </w:p>
    <w:tbl>
      <w:tblPr>
        <w:tblW w:type="dxa" w:w="8908"/>
        <w:tblInd w:type="dxa" w:w="309"/>
        <w:tblBorders>
          <w:top w:val="single" w:color="C3C5CF" w:sz="4"/>
          <w:left w:val="single" w:color="C3C5CF" w:sz="4"/>
          <w:bottom w:val="single" w:color="C3C5CF" w:sz="4"/>
          <w:right w:val="single" w:color="C3C5CF" w:sz="4"/>
          <w:insideH w:val="single" w:color="C3C5CF" w:sz="4"/>
          <w:insideV w:val="single" w:color="C3C5CF" w:sz="4"/>
        </w:tblBorders>
        <w:tblLayout w:type="fixed"/>
      </w:tblPr>
      <w:tblGrid>
        <w:gridCol w:w="1211"/>
        <w:gridCol w:w="3630"/>
        <w:gridCol w:w="4067"/>
      </w:tblGrid>
      <w:tr>
        <w:tc>
          <w:tcPr>
            <w:tcW w:type="dxa" w:w="1211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구분</w:t>
            </w:r>
          </w:p>
        </w:tc>
        <w:tc>
          <w:tcPr>
            <w:tcW w:type="dxa" w:w="3630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편성표 뽑기 (AI 스마트 편성)</w:t>
            </w:r>
          </w:p>
        </w:tc>
        <w:tc>
          <w:tcPr>
            <w:tcW w:type="dxa" w:w="4067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구매 프로그램 제안</w:t>
            </w:r>
          </w:p>
        </w:tc>
      </w:tr>
      <w:tr>
        <w:tc>
          <w:tcPr>
            <w:tcW w:type="dxa" w:w="1211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질문</w:t>
            </w:r>
          </w:p>
        </w:tc>
        <w:tc>
          <w:tcPr>
            <w:tcW w:type="dxa" w:w="363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다음 주 어느 칸에 무엇을 편성할까</w:t>
            </w:r>
          </w:p>
        </w:tc>
        <w:tc>
          <w:tcPr>
            <w:tcW w:type="dxa" w:w="406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사면 당사 채널에서 몇 %가 나올까</w:t>
            </w:r>
          </w:p>
        </w:tc>
      </w:tr>
      <w:tr>
        <w:tc>
          <w:tcPr>
            <w:tcW w:type="dxa" w:w="1211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근거 실적</w:t>
            </w:r>
          </w:p>
        </w:tc>
        <w:tc>
          <w:tcPr>
            <w:tcW w:type="dxa" w:w="363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당사 채널 최근 3개월 방영 실적</w:t>
            </w:r>
          </w:p>
        </w:tc>
        <w:tc>
          <w:tcPr>
            <w:tcW w:type="dxa" w:w="406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타 케이블 재방 실적 + 당사 시간대 평균</w:t>
            </w:r>
          </w:p>
        </w:tc>
      </w:tr>
      <w:tr>
        <w:tc>
          <w:tcPr>
            <w:tcW w:type="dxa" w:w="1211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핵심 계산</w:t>
            </w:r>
          </w:p>
        </w:tc>
        <w:tc>
          <w:tcPr>
            <w:tcW w:type="dxa" w:w="363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성과 지수 × 시간대 기준 시청률</w:t>
            </w:r>
          </w:p>
        </w:tc>
        <w:tc>
          <w:tcPr>
            <w:tcW w:type="dxa" w:w="406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성과 배수 × 시간대 기준 시청률</w:t>
            </w:r>
          </w:p>
        </w:tc>
      </w:tr>
      <w:tr>
        <w:tc>
          <w:tcPr>
            <w:tcW w:type="dxa" w:w="1211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산출물</w:t>
            </w:r>
          </w:p>
        </w:tc>
        <w:tc>
          <w:tcPr>
            <w:tcW w:type="dxa" w:w="363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요일별 편성표, 칸별 기대 시청률</w:t>
            </w:r>
          </w:p>
        </w:tc>
        <w:tc>
          <w:tcPr>
            <w:tcW w:type="dxa" w:w="406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후보 순위, 예상 시청률·범위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</w:p>
    <w:p>
      <w:pPr>
        <w:spacing w:after="80" w:before="280" w:line="204" w:lineRule="auto"/>
      </w:pPr>
      <w:r>
        <w:rPr>
          <w:rFonts w:ascii="KT Flow Bold" w:cs="KT Flow Bold" w:eastAsia="KT Flow Bold" w:hAnsi="KT Flow Bold"/>
          <w:b w:val="false"/>
          <w:bCs w:val="false"/>
          <w:color w:val="0D0D12"/>
          <w:sz w:val="26"/>
          <w:szCs w:val="26"/>
        </w:rPr>
        <w:t xml:space="preserve">Ⅱ. 편성표 뽑기 원리</w:t>
      </w:r>
    </w:p>
    <w:tbl>
      <w:tblPr>
        <w:tblW w:type="dxa" w:w="8908"/>
        <w:tblInd w:type="dxa" w:w="309"/>
        <w:tblBorders>
          <w:top w:val="single" w:color="C3C5CF" w:sz="4"/>
          <w:left w:val="single" w:color="C3C5CF" w:sz="4"/>
          <w:bottom w:val="single" w:color="C3C5CF" w:sz="4"/>
          <w:right w:val="single" w:color="C3C5CF" w:sz="4"/>
          <w:insideH w:val="single" w:color="C3C5CF" w:sz="4"/>
          <w:insideV w:val="single" w:color="C3C5CF" w:sz="4"/>
        </w:tblBorders>
        <w:tblLayout w:type="fixed"/>
      </w:tblPr>
      <w:tblGrid>
        <w:gridCol w:w="2948"/>
        <w:gridCol w:w="5960"/>
      </w:tblGrid>
      <w:tr>
        <w:tc>
          <w:tcPr>
            <w:tcW w:type="dxa" w:w="2948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단계</w:t>
            </w:r>
          </w:p>
        </w:tc>
        <w:tc>
          <w:tcPr>
            <w:tcW w:type="dxa" w:w="5960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핵심 규칙</w:t>
            </w:r>
          </w:p>
        </w:tc>
      </w:tr>
      <w:tr>
        <w:tc>
          <w:tcPr>
            <w:tcW w:type="dxa" w:w="294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① 고정 편성 확정</w:t>
            </w:r>
          </w:p>
        </w:tc>
        <w:tc>
          <w:tcPr>
            <w:tcW w:type="dxa" w:w="596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본방·직재방·직전회차 재방, 필수·잠금 칸은 AI가 변경 불가</w:t>
            </w:r>
          </w:p>
        </w:tc>
      </w:tr>
      <w:tr>
        <w:tc>
          <w:tcPr>
            <w:tcW w:type="dxa" w:w="294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② 후보 선별</w:t>
            </w:r>
          </w:p>
        </w:tc>
        <w:tc>
          <w:tcPr>
            <w:tcW w:type="dxa" w:w="596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최근 3개월 내 당사 편성분만, 표본 3회 미만·종영 본방 제외</w:t>
            </w:r>
          </w:p>
        </w:tc>
      </w:tr>
      <w:tr>
        <w:tc>
          <w:tcPr>
            <w:tcW w:type="dxa" w:w="294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③ 칸 배치</w:t>
            </w:r>
          </w:p>
        </w:tc>
        <w:tc>
          <w:tcPr>
            <w:tcW w:type="dxa" w:w="596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점수 높은 후보 배치 후 교체 반복, 같은 입력은 같은 결과</w:t>
            </w:r>
          </w:p>
        </w:tc>
      </w:tr>
      <w:tr>
        <w:tc>
          <w:tcPr>
            <w:tcW w:type="dxa" w:w="294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④ 지난주 대조</w:t>
            </w:r>
          </w:p>
        </w:tc>
        <w:tc>
          <w:tcPr>
            <w:tcW w:type="dxa" w:w="596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기대 시청률이 3% 이상·오차 범위 밖으로 높을 때만 교체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</w:p>
    <w:p>
      <w:pPr>
        <w:spacing w:after="60" w:before="280" w:line="204" w:lineRule="auto"/>
        <w:ind w:left="209"/>
        <w:jc w:val="left"/>
      </w:pPr>
      <w:r>
        <w:rPr>
          <w:rFonts w:ascii="KT Flow Medium" w:cs="KT Flow Medium" w:eastAsia="KT Flow Medium" w:hAnsi="KT Flow Medium"/>
          <w:b w:val="false"/>
          <w:bCs w:val="false"/>
          <w:color w:val="54566A"/>
          <w:sz w:val="20"/>
          <w:szCs w:val="20"/>
        </w:rPr>
        <w:t xml:space="preserve">&lt; 칸 점수 구성 (합계 100%) &gt;</w:t>
      </w:r>
    </w:p>
    <w:tbl>
      <w:tblPr>
        <w:tblW w:type="dxa" w:w="8908"/>
        <w:tblInd w:type="dxa" w:w="309"/>
        <w:tblBorders>
          <w:top w:val="single" w:color="C3C5CF" w:sz="4"/>
          <w:left w:val="single" w:color="C3C5CF" w:sz="4"/>
          <w:bottom w:val="single" w:color="C3C5CF" w:sz="4"/>
          <w:right w:val="single" w:color="C3C5CF" w:sz="4"/>
          <w:insideH w:val="single" w:color="C3C5CF" w:sz="4"/>
          <w:insideV w:val="single" w:color="C3C5CF" w:sz="4"/>
        </w:tblBorders>
        <w:tblLayout w:type="fixed"/>
      </w:tblPr>
      <w:tblGrid>
        <w:gridCol w:w="1653"/>
        <w:gridCol w:w="1397"/>
        <w:gridCol w:w="1982"/>
        <w:gridCol w:w="1397"/>
        <w:gridCol w:w="1397"/>
        <w:gridCol w:w="1081"/>
      </w:tblGrid>
      <w:tr>
        <w:tc>
          <w:tcPr>
            <w:tcW w:type="dxa" w:w="1653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시청률 기대</w:t>
            </w:r>
          </w:p>
        </w:tc>
        <w:tc>
          <w:tcPr>
            <w:tcW w:type="dxa" w:w="1397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타깃 적합</w:t>
            </w:r>
          </w:p>
        </w:tc>
        <w:tc>
          <w:tcPr>
            <w:tcW w:type="dxa" w:w="1982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요일·시간 적합</w:t>
            </w:r>
          </w:p>
        </w:tc>
        <w:tc>
          <w:tcPr>
            <w:tcW w:type="dxa" w:w="1397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앞뒤 연결</w:t>
            </w:r>
          </w:p>
        </w:tc>
        <w:tc>
          <w:tcPr>
            <w:tcW w:type="dxa" w:w="1397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최근 추세</w:t>
            </w:r>
          </w:p>
        </w:tc>
        <w:tc>
          <w:tcPr>
            <w:tcW w:type="dxa" w:w="1081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안정성</w:t>
            </w:r>
          </w:p>
        </w:tc>
      </w:tr>
      <w:tr>
        <w:tc>
          <w:tcPr>
            <w:tcW w:type="dxa" w:w="165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35%</w:t>
            </w:r>
          </w:p>
        </w:tc>
        <w:tc>
          <w:tcPr>
            <w:tcW w:type="dxa" w:w="139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20%</w:t>
            </w:r>
          </w:p>
        </w:tc>
        <w:tc>
          <w:tcPr>
            <w:tcW w:type="dxa" w:w="1982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20%</w:t>
            </w:r>
          </w:p>
        </w:tc>
        <w:tc>
          <w:tcPr>
            <w:tcW w:type="dxa" w:w="139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10%</w:t>
            </w:r>
          </w:p>
        </w:tc>
        <w:tc>
          <w:tcPr>
            <w:tcW w:type="dxa" w:w="139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10%</w:t>
            </w:r>
          </w:p>
        </w:tc>
        <w:tc>
          <w:tcPr>
            <w:tcW w:type="dxa" w:w="1081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5%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</w:p>
    <w:p>
      <w:pPr>
        <w:spacing w:after="100" w:before="0" w:line="204" w:lineRule="auto"/>
        <w:ind w:left="300"/>
      </w:pPr>
      <w:r>
        <w:rPr>
          <w:rFonts w:ascii="KT Flow Thin" w:cs="KT Flow Thin" w:eastAsia="KT Flow Thin" w:hAnsi="KT Flow Thin"/>
          <w:b w:val="false"/>
          <w:bCs w:val="false"/>
          <w:color w:val="8A8C9A"/>
          <w:sz w:val="17"/>
          <w:szCs w:val="17"/>
        </w:rPr>
        <w:t xml:space="preserve">※ 앞뒤 연결은 앞 편성과의 시청 흐름, 최근 추세는 최근 4주÷3개월, 안정성은 방영 간 편차. 근거 없는 항목은 빼고 재계산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기대 시청률 = 프로그램 성과 지수 × 시간대 기준 시청률</w:t>
      </w:r>
    </w:p>
    <w:p>
      <w:pPr>
        <w:spacing w:after="30" w:before="30" w:line="204" w:lineRule="auto"/>
        <w:ind w:left="11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-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표본이 적으면 장르·채널 평균 쪽으로 끌어당겨 과대평가를 막음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감점과 한도로 쏠림을 막음</w:t>
      </w:r>
    </w:p>
    <w:p>
      <w:pPr>
        <w:spacing w:after="30" w:before="30" w:line="204" w:lineRule="auto"/>
        <w:ind w:left="11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-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연속 편성 15%·같은 시간 반복 5% 감점, 하루 3회·주 14회 한도(오리지널 제외)</w:t>
      </w:r>
    </w:p>
    <w:p>
      <w:pPr>
        <w:spacing w:after="80" w:before="280" w:line="204" w:lineRule="auto"/>
      </w:pPr>
      <w:r>
        <w:rPr>
          <w:rFonts w:ascii="KT Flow Bold" w:cs="KT Flow Bold" w:eastAsia="KT Flow Bold" w:hAnsi="KT Flow Bold"/>
          <w:b w:val="false"/>
          <w:bCs w:val="false"/>
          <w:color w:val="0D0D12"/>
          <w:sz w:val="26"/>
          <w:szCs w:val="26"/>
        </w:rPr>
        <w:t xml:space="preserve">Ⅲ. 구매 프로그램 제안 원리</w:t>
      </w:r>
    </w:p>
    <w:tbl>
      <w:tblPr>
        <w:tblW w:type="dxa" w:w="8908"/>
        <w:tblInd w:type="dxa" w:w="309"/>
        <w:tblBorders>
          <w:top w:val="single" w:color="C3C5CF" w:sz="4"/>
          <w:left w:val="single" w:color="C3C5CF" w:sz="4"/>
          <w:bottom w:val="single" w:color="C3C5CF" w:sz="4"/>
          <w:right w:val="single" w:color="C3C5CF" w:sz="4"/>
          <w:insideH w:val="single" w:color="C3C5CF" w:sz="4"/>
          <w:insideV w:val="single" w:color="C3C5CF" w:sz="4"/>
        </w:tblBorders>
        <w:tblLayout w:type="fixed"/>
      </w:tblPr>
      <w:tblGrid>
        <w:gridCol w:w="2692"/>
        <w:gridCol w:w="6216"/>
      </w:tblGrid>
      <w:tr>
        <w:tc>
          <w:tcPr>
            <w:tcW w:type="dxa" w:w="2692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단계</w:t>
            </w:r>
          </w:p>
        </w:tc>
        <w:tc>
          <w:tcPr>
            <w:tcW w:type="dxa" w:w="6216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핵심 규칙</w:t>
            </w:r>
          </w:p>
        </w:tc>
      </w:tr>
      <w:tr>
        <w:tc>
          <w:tcPr>
            <w:tcW w:type="dxa" w:w="2692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① 후보 선별</w:t>
            </w:r>
          </w:p>
        </w:tc>
        <w:tc>
          <w:tcPr>
            <w:tcW w:type="dxa" w:w="6216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당사 미방영, 케이블 재방 3개 채널·48회 이상 근거</w:t>
            </w:r>
          </w:p>
        </w:tc>
      </w:tr>
      <w:tr>
        <w:tc>
          <w:tcPr>
            <w:tcW w:type="dxa" w:w="2692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② 성과 배수</w:t>
            </w:r>
          </w:p>
        </w:tc>
        <w:tc>
          <w:tcPr>
            <w:tcW w:type="dxa" w:w="6216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시청률 ÷ 그 채널·시간대 평균(해당 프로그램 제외)</w:t>
            </w:r>
          </w:p>
        </w:tc>
      </w:tr>
      <w:tr>
        <w:tc>
          <w:tcPr>
            <w:tcW w:type="dxa" w:w="2692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③ 중앙값·보정</w:t>
            </w:r>
          </w:p>
        </w:tc>
        <w:tc>
          <w:tcPr>
            <w:tcW w:type="dxa" w:w="6216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채널별 배수의 중앙값, 표본 적으면 평균(1) 쪽으로 보정</w:t>
            </w:r>
          </w:p>
        </w:tc>
      </w:tr>
      <w:tr>
        <w:tc>
          <w:tcPr>
            <w:tcW w:type="dxa" w:w="2692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④ 예상 시청률</w:t>
            </w:r>
          </w:p>
        </w:tc>
        <w:tc>
          <w:tcPr>
            <w:tcW w:type="dxa" w:w="6216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당사 시간대 기준 × 배수, 과거 예측 오차로 범위 표시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</w:p>
    <w:p>
      <w:pPr>
        <w:spacing w:after="100" w:before="0" w:line="204" w:lineRule="auto"/>
        <w:ind w:left="300"/>
      </w:pPr>
      <w:r>
        <w:rPr>
          <w:rFonts w:ascii="KT Flow Thin" w:cs="KT Flow Thin" w:eastAsia="KT Flow Thin" w:hAnsi="KT Flow Thin"/>
          <w:b w:val="false"/>
          <w:bCs w:val="false"/>
          <w:color w:val="8A8C9A"/>
          <w:sz w:val="17"/>
          <w:szCs w:val="17"/>
        </w:rPr>
        <w:t xml:space="preserve">※ 지상파·종편·tvN 본방은 재방 편성의 근거가 되지 않아 제외함. 순위는 최근 편성 구성으로 가중한 월 평균 예상 시청률 순</w:t>
      </w:r>
    </w:p>
    <w:p>
      <w:pPr>
        <w:spacing w:after="80" w:before="280" w:line="204" w:lineRule="auto"/>
      </w:pPr>
      <w:r>
        <w:rPr>
          <w:rFonts w:ascii="KT Flow Bold" w:cs="KT Flow Bold" w:eastAsia="KT Flow Bold" w:hAnsi="KT Flow Bold"/>
          <w:b w:val="false"/>
          <w:bCs w:val="false"/>
          <w:color w:val="0D0D12"/>
          <w:sz w:val="26"/>
          <w:szCs w:val="26"/>
        </w:rPr>
        <w:t xml:space="preserve">Ⅳ. 유의사항</w:t>
      </w:r>
    </w:p>
    <w:p>
      <w:pPr>
        <w:spacing w:after="0" w:before="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1.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시청률 수치는 DB 실적으로만 계산하며 AI 문장 모델은 수치를 만들지 않음</w:t>
      </w:r>
    </w:p>
    <w:p>
      <w:pPr>
        <w:spacing w:after="0" w:before="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2.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기대값은 과거 실적 기반이므로 표본 적은 신작은 근거 등급이 낮게 표시됨</w:t>
      </w:r>
    </w:p>
    <w:p>
      <w:pPr>
        <w:spacing w:after="0" w:before="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3.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구매 제안은 가격·판권·경쟁 편성을 반영하지 않아 후보를 좁히는 참고용임</w:t>
      </w:r>
    </w:p>
    <w:sectPr>
      <w:headerReference w:type="default" r:id="rId7"/>
      <w:footerReference w:type="default" r:id="rId8"/>
      <w:pgSz w:w="11906" w:h="16838" w:orient="portrait"/>
      <w:pgMar w:top="907" w:right="941" w:bottom="941" w:left="94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KT Flow Black">
    <w:embedRegular r:id="rIdFont1" w:fontKey="{AAC3C57B-DB24-6F18-8790-13BC9E1674C8}" w:subsetted="0"/>
  </w:font>
  <w:font w:name="KT Flow Bold">
    <w:embedRegular r:id="rIdFont2" w:fontKey="{45E7010E-28B6-7D81-B6A9-CAC9EF133329}" w:subsetted="0"/>
  </w:font>
  <w:font w:name="KT Flow Medium">
    <w:embedRegular r:id="rIdFont3" w:fontKey="{14DFCE7D-E27B-5E90-15F1-C40E420EC039}" w:subsetted="0"/>
  </w:font>
  <w:font w:name="KT Flow Thin">
    <w:embedRegular r:id="rIdFont4" w:fontKey="{352D1E8F-AE54-D671-20FD-3C56EA9AA03F}" w:subsetted="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04" w:lineRule="auto"/>
      <w:jc w:val="center"/>
    </w:pPr>
    <w:r>
      <w:rPr>
        <w:rFonts w:ascii="KT Flow Medium" w:cs="KT Flow Medium" w:eastAsia="KT Flow Medium" w:hAnsi="KT Flow Medium"/>
        <w:b w:val="false"/>
        <w:bCs w:val="false"/>
        <w:color w:val="8A8C9A"/>
        <w:sz w:val="12"/>
        <w:szCs w:val="12"/>
      </w:rPr>
      <w:t xml:space="preserve">- </w:t>
    </w:r>
    <w:r>
      <w:rPr>
        <w:rFonts w:ascii="KT Flow Medium" w:cs="KT Flow Medium" w:eastAsia="KT Flow Medium" w:hAnsi="KT Flow Medium"/>
        <w:color w:val="8A8C9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KT Flow Medium" w:cs="KT Flow Medium" w:eastAsia="KT Flow Medium" w:hAnsi="KT Flow Medium"/>
        <w:b w:val="false"/>
        <w:bCs w:val="false"/>
        <w:color w:val="8A8C9A"/>
        <w:sz w:val="12"/>
        <w:szCs w:val="12"/>
      </w:rPr>
      <w:t xml:space="preserve"> of </w:t>
    </w:r>
    <w:r>
      <w:rPr>
        <w:rFonts w:ascii="KT Flow Medium" w:cs="KT Flow Medium" w:eastAsia="KT Flow Medium" w:hAnsi="KT Flow Medium"/>
        <w:color w:val="8A8C9A"/>
        <w:sz w:val="12"/>
        <w:szCs w:val="12"/>
      </w:rPr>
      <w:fldChar w:fldCharType="begin"/>
      <w:instrText xml:space="preserve">NUMPAGES</w:instrText>
      <w:fldChar w:fldCharType="separate"/>
      <w:fldChar w:fldCharType="end"/>
    </w:r>
    <w:r>
      <w:rPr>
        <w:rFonts w:ascii="KT Flow Medium" w:cs="KT Flow Medium" w:eastAsia="KT Flow Medium" w:hAnsi="KT Flow Medium"/>
        <w:b w:val="false"/>
        <w:bCs w:val="false"/>
        <w:color w:val="8A8C9A"/>
        <w:sz w:val="12"/>
        <w:szCs w:val="12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4" w:lineRule="auto"/>
      <w:jc w:val="right"/>
    </w:pPr>
    <w:r>
      <w:drawing>
        <wp:inline distT="0" distB="0" distL="0" distR="0">
          <wp:extent cx="43815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saveSubsetFonts w:val="fals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T Flow Thin" w:cs="KT Flow Thin" w:eastAsia="KT Flow Thin" w:hAnsi="KT Flow Thin"/>
        <w:color w:val="0D0D12"/>
        <w:sz w:val="22"/>
        <w:szCs w:val="22"/>
      </w:rPr>
    </w:rPrDefault>
    <w:pPrDefault>
      <w:pPr>
        <w:spacing w:after="0" w:line="20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2d86b722bb7addeaa1f719c0e0710678e02e302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2026-10-06T03:14:48.511Z</dcterms:created>
  <dcterms:modified xsi:type="dcterms:W3CDTF">2026-10-06T03:14:48.512Z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