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sz w:val="20"/>
          <w:szCs w:val="20"/>
        </w:rPr>
      </w:pPr>
      <w:r w:rsidDel="00000000" w:rsidR="00000000" w:rsidRPr="00000000">
        <w:rPr>
          <w:b w:val="1"/>
          <w:bCs w:val="1"/>
          <w:sz w:val="20"/>
          <w:szCs w:val="20"/>
          <w:rtl w:val="0"/>
        </w:rPr>
        <w:t xml:space="preserve">Project Overview</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ThinkTwice – Predictive Spending and Habit Tracking</w:t>
      </w:r>
    </w:p>
    <w:p w:rsidR="00000000" w:rsidDel="00000000" w:rsidP="00000000" w:rsidRDefault="00000000" w:rsidRPr="00000000" w14:paraId="00000003">
      <w:pPr>
        <w:keepNext w:val="0"/>
        <w:keepLines w:val="0"/>
        <w:spacing w:before="280" w:lineRule="auto"/>
        <w:rPr>
          <w:b w:val="1"/>
          <w:bCs w:val="1"/>
          <w:sz w:val="20"/>
          <w:szCs w:val="20"/>
        </w:rPr>
      </w:pPr>
      <w:r w:rsidDel="00000000" w:rsidR="00000000" w:rsidRPr="00000000">
        <w:rPr>
          <w:b w:val="1"/>
          <w:bCs w:val="1"/>
          <w:sz w:val="20"/>
          <w:szCs w:val="20"/>
          <w:rtl w:val="0"/>
        </w:rPr>
        <w:t xml:space="preserve">Introduction</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ThinkTwice is an ADHD-friendly personal finance and habit-tracking application designed to help users understand how everyday spending decisions may affect their future finances and nutritional habits. While many financial applications focus on reviewing past transactions, setting budgets, or monitoring spending limits, ThinkTwice uses machine learning to identify recurring behaviors and forecast where those habits may lead.</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tracking expenses such as dining, snacks, coffee, groceries, and fuel, ThinkTwice helps users distinguish essential expenses from discretionary purchases. The application aims to provide clear, practical feedback before small habits develop into larger financial or lifestyle problems.</w:t>
      </w:r>
    </w:p>
    <w:p w:rsidR="00000000" w:rsidDel="00000000" w:rsidP="00000000" w:rsidRDefault="00000000" w:rsidRPr="00000000" w14:paraId="00000006">
      <w:pPr>
        <w:keepNext w:val="0"/>
        <w:keepLines w:val="0"/>
        <w:spacing w:before="280" w:lineRule="auto"/>
        <w:rPr>
          <w:b w:val="1"/>
          <w:bCs w:val="1"/>
          <w:sz w:val="20"/>
          <w:szCs w:val="20"/>
        </w:rPr>
      </w:pPr>
      <w:r w:rsidDel="00000000" w:rsidR="00000000" w:rsidRPr="00000000">
        <w:rPr>
          <w:b w:val="1"/>
          <w:bCs w:val="1"/>
          <w:sz w:val="20"/>
          <w:szCs w:val="20"/>
          <w:rtl w:val="0"/>
        </w:rPr>
        <w:t xml:space="preserve">Project Objective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ThinkTwice is to combine expense tracking with predictive analysis to help users make proactive financial and nutritional decisions. Using recent transactions and historical spending data, machine-learning models will identify recurring patterns, estimate their future impact, and recommend practical adjustments to the user’s monthly budget.</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if a user purchases $16 worth of snacks and energy drinks and spends $65 on fuel, ThinkTwice could separate the essential fuel expense from the discretionary food purchase. The application could then show how repeatedly making similar purchases may affect the user’s monthly budget while encouraging greater awareness of their nutritional choices.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only informing users that they spent $35 on coffee during the week, ThinkTwice could project that continuing the same habit may result in approximately $140 in coffee purchases by the end of the month. This gives users an opportunity to adjust their behavior before overspending occurs.</w:t>
      </w:r>
    </w:p>
    <w:p w:rsidR="00000000" w:rsidDel="00000000" w:rsidP="00000000" w:rsidRDefault="00000000" w:rsidRPr="00000000" w14:paraId="0000000A">
      <w:pPr>
        <w:keepNext w:val="0"/>
        <w:keepLines w:val="0"/>
        <w:spacing w:before="280" w:lineRule="auto"/>
        <w:rPr>
          <w:b w:val="1"/>
          <w:bCs w:val="1"/>
          <w:sz w:val="20"/>
          <w:szCs w:val="20"/>
        </w:rPr>
      </w:pPr>
      <w:r w:rsidDel="00000000" w:rsidR="00000000" w:rsidRPr="00000000">
        <w:rPr>
          <w:b w:val="1"/>
          <w:bCs w:val="1"/>
          <w:sz w:val="20"/>
          <w:szCs w:val="20"/>
          <w:rtl w:val="0"/>
        </w:rPr>
        <w:t xml:space="preserve">Tools and Technologies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tools and technologies are being used to develop ThinkTwice:</w:t>
      </w:r>
    </w:p>
    <w:p w:rsidR="00000000" w:rsidDel="00000000" w:rsidP="00000000" w:rsidRDefault="00000000" w:rsidRPr="00000000" w14:paraId="0000000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 Native and Expo</w:t>
      </w:r>
      <w:r w:rsidDel="00000000" w:rsidR="00000000" w:rsidRPr="00000000">
        <w:rPr>
          <w:rFonts w:ascii="Times New Roman" w:cs="Times New Roman" w:eastAsia="Times New Roman" w:hAnsi="Times New Roman"/>
          <w:rtl w:val="0"/>
        </w:rPr>
        <w:t xml:space="preserve"> – Cross-platform web and mobile application development.</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TypeScript</w:t>
      </w:r>
      <w:r w:rsidDel="00000000" w:rsidR="00000000" w:rsidRPr="00000000">
        <w:rPr>
          <w:rFonts w:ascii="Times New Roman" w:cs="Times New Roman" w:eastAsia="Times New Roman" w:hAnsi="Times New Roman"/>
          <w:rtl w:val="0"/>
        </w:rPr>
        <w:t xml:space="preserve"> – Front-end and back-end application development.</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Node.js and Express</w:t>
      </w:r>
      <w:r w:rsidDel="00000000" w:rsidR="00000000" w:rsidRPr="00000000">
        <w:rPr>
          <w:rFonts w:ascii="Times New Roman" w:cs="Times New Roman" w:eastAsia="Times New Roman" w:hAnsi="Times New Roman"/>
          <w:rtl w:val="0"/>
        </w:rPr>
        <w:t xml:space="preserve"> – REST API and back-end services.</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 Storage and management of user and application data.</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Firebase</w:t>
      </w:r>
      <w:r w:rsidDel="00000000" w:rsidR="00000000" w:rsidRPr="00000000">
        <w:rPr>
          <w:rFonts w:ascii="Times New Roman" w:cs="Times New Roman" w:eastAsia="Times New Roman" w:hAnsi="Times New Roman"/>
          <w:rtl w:val="0"/>
        </w:rPr>
        <w:t xml:space="preserve"> – User authentication and web hosting.</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 Machine-learning models and predictive analysis.</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Docker</w:t>
      </w:r>
      <w:r w:rsidDel="00000000" w:rsidR="00000000" w:rsidRPr="00000000">
        <w:rPr>
          <w:rFonts w:ascii="Times New Roman" w:cs="Times New Roman" w:eastAsia="Times New Roman" w:hAnsi="Times New Roman"/>
          <w:rtl w:val="0"/>
        </w:rPr>
        <w:t xml:space="preserve"> – Consistent development environments across the team.</w:t>
      </w:r>
    </w:p>
    <w:p w:rsidR="00000000" w:rsidDel="00000000" w:rsidP="00000000" w:rsidRDefault="00000000" w:rsidRPr="00000000" w14:paraId="0000001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 and GitHub</w:t>
      </w:r>
      <w:r w:rsidDel="00000000" w:rsidR="00000000" w:rsidRPr="00000000">
        <w:rPr>
          <w:rFonts w:ascii="Times New Roman" w:cs="Times New Roman" w:eastAsia="Times New Roman" w:hAnsi="Times New Roman"/>
          <w:rtl w:val="0"/>
        </w:rPr>
        <w:t xml:space="preserve"> – Version control, collaboration, and source-code management.</w:t>
      </w:r>
    </w:p>
    <w:p w:rsidR="00000000" w:rsidDel="00000000" w:rsidP="00000000" w:rsidRDefault="00000000" w:rsidRPr="00000000" w14:paraId="00000014">
      <w:pPr>
        <w:keepNext w:val="0"/>
        <w:keepLines w:val="0"/>
        <w:spacing w:before="280" w:lineRule="auto"/>
        <w:rPr>
          <w:b w:val="1"/>
          <w:bCs w:val="1"/>
          <w:sz w:val="20"/>
          <w:szCs w:val="20"/>
        </w:rPr>
      </w:pPr>
      <w:r w:rsidDel="00000000" w:rsidR="00000000" w:rsidRPr="00000000">
        <w:rPr>
          <w:b w:val="1"/>
          <w:bCs w:val="1"/>
          <w:sz w:val="20"/>
          <w:szCs w:val="20"/>
          <w:rtl w:val="0"/>
        </w:rPr>
        <w:t xml:space="preserve">Project Deliverables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project, the team plans to deliver:</w:t>
      </w:r>
    </w:p>
    <w:p w:rsidR="00000000" w:rsidDel="00000000" w:rsidP="00000000" w:rsidRDefault="00000000" w:rsidRPr="00000000" w14:paraId="0000001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ADHD-friendly, cross-platform web and mobile application.</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user registration and authentication.</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for tracking expenses and recurring spending habits.</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dashboards summarizing user activity.</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categorization for essential and discretionary expenses.</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Machine-learning models for identifying and forecasting spending patterns.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insights showing the potential future impact of current habits.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recommendations for adjusting monthly budgets.</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that encourage awareness of nutritional spending habits.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back-end API and PostgreSQL database.</w:t>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documentation, source code, and a final presentation.</w:t>
      </w:r>
    </w:p>
    <w:p w:rsidR="00000000" w:rsidDel="00000000" w:rsidP="00000000" w:rsidRDefault="00000000" w:rsidRPr="00000000" w14:paraId="00000021">
      <w:pPr>
        <w:keepNext w:val="0"/>
        <w:keepLines w:val="0"/>
        <w:spacing w:before="280" w:lineRule="auto"/>
        <w:rPr>
          <w:b w:val="1"/>
          <w:bCs w:val="1"/>
          <w:sz w:val="20"/>
          <w:szCs w:val="20"/>
        </w:rPr>
      </w:pPr>
      <w:r w:rsidDel="00000000" w:rsidR="00000000" w:rsidRPr="00000000">
        <w:rPr>
          <w:b w:val="1"/>
          <w:bCs w:val="1"/>
          <w:sz w:val="20"/>
          <w:szCs w:val="20"/>
          <w:rtl w:val="0"/>
        </w:rPr>
        <w:t xml:space="preserve">Expected Outcome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outcome of ThinkTwice is a cross-platform application that moves beyond traditional expense tracking by transforming a user’s spending history into forward-looking financial and habit-based insights. Its ADHD-friendly design will present information in a clear and manageable way, helping users recognize patterns without overwhelming or shaming them.</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By connecting recurring behaviors with their projected financial costs and potential nutritional consequences, ThinkTwice will give users an opportunity to make informed adjustments before harmful habits become larger problems. Ultimately, ThinkTwice is built around a simple idea: </w:t>
      </w:r>
      <w:r w:rsidDel="00000000" w:rsidR="00000000" w:rsidRPr="00000000">
        <w:rPr>
          <w:rFonts w:ascii="Times New Roman" w:cs="Times New Roman" w:eastAsia="Times New Roman" w:hAnsi="Times New Roman"/>
          <w:b w:val="1"/>
          <w:bCs w:val="1"/>
          <w:rtl w:val="0"/>
        </w:rPr>
        <w:t xml:space="preserve">Don’t just track where your money went. See where it’s taking you.</w:t>
      </w:r>
    </w:p>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