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313A39"/>
        <w:jc w:val="center"/>
        <w:rPr/>
      </w:pPr>
      <w:r>
        <w:rPr>
          <w:b/>
          <w:bCs/>
          <w:color w:val="FFFFFF"/>
          <w:sz w:val="56"/>
          <w:szCs w:val="56"/>
        </w:rPr>
        <w:t>CONTRAT DE BAIL</w:t>
      </w:r>
    </w:p>
    <w:p>
      <w:pPr>
        <w:pStyle w:val="Normal"/>
        <w:shd w:val="clear" w:color="auto" w:fill="313A39"/>
        <w:spacing w:before="60" w:after="0"/>
        <w:jc w:val="center"/>
        <w:rPr/>
      </w:pPr>
      <w:r>
        <w:rPr>
          <w:b/>
          <w:bCs/>
          <w:color w:val="00887F"/>
          <w:sz w:val="38"/>
          <w:szCs w:val="38"/>
        </w:rPr>
        <w:t>À USAGE D'HABITATION</w:t>
      </w:r>
    </w:p>
    <w:p>
      <w:pPr>
        <w:pStyle w:val="Normal"/>
        <w:shd w:val="clear" w:color="auto" w:fill="313A39"/>
        <w:spacing w:before="60" w:after="0"/>
        <w:jc w:val="center"/>
        <w:rPr/>
      </w:pPr>
      <w:r>
        <w:rPr>
          <w:i/>
          <w:iCs/>
          <w:color w:val="B2D9D6"/>
          <w:sz w:val="28"/>
          <w:szCs w:val="28"/>
        </w:rPr>
        <w:t>MEUBLÉ / SEMI-MEUBLÉ</w:t>
      </w:r>
    </w:p>
    <w:p>
      <w:pPr>
        <w:pStyle w:val="Normal"/>
        <w:shd w:val="clear" w:color="auto" w:fill="313A39"/>
        <w:spacing w:before="120" w:after="240"/>
        <w:jc w:val="center"/>
        <w:rPr/>
      </w:pPr>
      <w:r>
        <w:rPr>
          <w:color w:val="FFFFFF"/>
        </w:rPr>
        <w:t xml:space="preserve">Référence : </w:t>
      </w:r>
      <w:r>
        <w:rPr>
          <w:color w:val="FFFFFF"/>
        </w:rPr>
        <w:t>{reference}</w:t>
      </w:r>
    </w:p>
    <w:p>
      <w:pPr>
        <w:pStyle w:val="Normal"/>
        <w:spacing w:before="0" w:after="160"/>
        <w:rPr/>
      </w:pPr>
      <w:r>
        <w:rPr/>
      </w:r>
    </w:p>
    <w:tbl>
      <w:tblPr>
        <w:tblW w:w="9506" w:type="dxa"/>
        <w:jc w:val="start"/>
        <w:tblInd w:w="0" w:type="dxa"/>
        <w:tblLayout w:type="fixed"/>
        <w:tblCellMar>
          <w:top w:w="160" w:type="dxa"/>
          <w:start w:w="240" w:type="dxa"/>
          <w:bottom w:w="160" w:type="dxa"/>
          <w:end w:w="240" w:type="dxa"/>
        </w:tblCellMar>
        <w:tblLook w:val="0000" w:noHBand="0" w:noVBand="0" w:firstColumn="0" w:lastRow="0" w:lastColumn="0" w:firstRow="0"/>
      </w:tblPr>
      <w:tblGrid>
        <w:gridCol w:w="4699"/>
        <w:gridCol w:w="4807"/>
      </w:tblGrid>
      <w:tr>
        <w:trPr/>
        <w:tc>
          <w:tcPr>
            <w:tcW w:w="4699" w:type="dxa"/>
            <w:tcBorders>
              <w:top w:val="single" w:sz="6" w:space="0" w:color="00887F"/>
              <w:start w:val="single" w:sz="6" w:space="0" w:color="00887F"/>
              <w:bottom w:val="single" w:sz="6" w:space="0" w:color="00887F"/>
              <w:end w:val="single" w:sz="6" w:space="0" w:color="00887F"/>
            </w:tcBorders>
            <w:shd w:color="auto" w:fill="E6F4F3" w:val="clear"/>
          </w:tcPr>
          <w:p>
            <w:pPr>
              <w:pStyle w:val="Normal"/>
              <w:rPr/>
            </w:pPr>
            <w:r>
              <w:rPr>
                <w:b/>
                <w:bCs/>
                <w:color w:val="00887F"/>
                <w:sz w:val="22"/>
                <w:szCs w:val="22"/>
              </w:rPr>
              <w:t xml:space="preserve">☐  </w:t>
            </w:r>
            <w:r>
              <w:rPr>
                <w:b/>
                <w:bCs/>
                <w:color w:val="00887F"/>
                <w:sz w:val="22"/>
                <w:szCs w:val="22"/>
              </w:rPr>
              <w:t>MEUBLÉ</w:t>
            </w:r>
          </w:p>
          <w:p>
            <w:pPr>
              <w:pStyle w:val="Normal"/>
              <w:spacing w:before="40" w:after="0"/>
              <w:rPr/>
            </w:pPr>
            <w:r>
              <w:rPr>
                <w:i/>
                <w:iCs/>
                <w:color w:val="5C6B6A"/>
                <w:sz w:val="17"/>
                <w:szCs w:val="17"/>
              </w:rPr>
              <w:t>Mobilier complet fourni par le Bailleur, inventorié à l'état des lieux</w:t>
            </w:r>
          </w:p>
        </w:tc>
        <w:tc>
          <w:tcPr>
            <w:tcW w:w="4807" w:type="dxa"/>
            <w:tcBorders>
              <w:top w:val="single" w:sz="6" w:space="0" w:color="5C6B6A"/>
              <w:start w:val="single" w:sz="6" w:space="0" w:color="5C6B6A"/>
              <w:bottom w:val="single" w:sz="6" w:space="0" w:color="5C6B6A"/>
              <w:end w:val="single" w:sz="6" w:space="0" w:color="5C6B6A"/>
            </w:tcBorders>
            <w:shd w:color="auto" w:fill="F0F5F4" w:val="clear"/>
          </w:tcPr>
          <w:p>
            <w:pPr>
              <w:pStyle w:val="Normal"/>
              <w:rPr/>
            </w:pPr>
            <w:r>
              <w:rPr>
                <w:b/>
                <w:bCs/>
                <w:color w:val="5C6B6A"/>
                <w:sz w:val="22"/>
                <w:szCs w:val="22"/>
              </w:rPr>
              <w:t xml:space="preserve">☐  </w:t>
            </w:r>
            <w:r>
              <w:rPr>
                <w:b/>
                <w:bCs/>
                <w:color w:val="5C6B6A"/>
                <w:sz w:val="22"/>
                <w:szCs w:val="22"/>
              </w:rPr>
              <w:t>SEMI-MEUBLÉ</w:t>
            </w:r>
          </w:p>
          <w:p>
            <w:pPr>
              <w:pStyle w:val="Normal"/>
              <w:spacing w:before="40" w:after="0"/>
              <w:rPr/>
            </w:pPr>
            <w:r>
              <w:rPr>
                <w:i/>
                <w:iCs/>
                <w:color w:val="5C6B6A"/>
                <w:sz w:val="17"/>
                <w:szCs w:val="17"/>
              </w:rPr>
              <w:t>Équipement partiel — Preneur complète à ses frais</w:t>
            </w:r>
          </w:p>
        </w:tc>
      </w:tr>
    </w:tbl>
    <w:p>
      <w:pPr>
        <w:pStyle w:val="Normal"/>
        <w:spacing w:before="0" w:after="80"/>
        <w:rPr/>
      </w:pPr>
      <w:r>
        <w:rPr/>
      </w:r>
    </w:p>
    <w:tbl>
      <w:tblPr>
        <w:tblW w:w="9506" w:type="dxa"/>
        <w:jc w:val="start"/>
        <w:tblInd w:w="0" w:type="dxa"/>
        <w:tblLayout w:type="fixed"/>
        <w:tblCellMar>
          <w:top w:w="130" w:type="dxa"/>
          <w:start w:w="200" w:type="dxa"/>
          <w:bottom w:w="130" w:type="dxa"/>
          <w:end w:w="200" w:type="dxa"/>
        </w:tblCellMar>
        <w:tblLook w:val="0000" w:noHBand="0" w:noVBand="0" w:firstColumn="0" w:lastRow="0" w:lastColumn="0" w:firstRow="0"/>
      </w:tblPr>
      <w:tblGrid>
        <w:gridCol w:w="9506"/>
      </w:tblGrid>
      <w:tr>
        <w:trPr/>
        <w:tc>
          <w:tcPr>
            <w:tcW w:w="9506" w:type="dxa"/>
            <w:tcBorders>
              <w:start w:val="single" w:sz="30" w:space="0" w:color="00887F"/>
              <w:end w:val="single" w:sz="30" w:space="0" w:color="00887F"/>
            </w:tcBorders>
            <w:shd w:color="auto" w:fill="E6F4F3" w:val="clear"/>
          </w:tcPr>
          <w:p>
            <w:pPr>
              <w:pStyle w:val="Normal"/>
              <w:jc w:val="both"/>
              <w:rPr/>
            </w:pPr>
            <w:r>
              <w:rPr>
                <w:sz w:val="19"/>
                <w:szCs w:val="19"/>
              </w:rPr>
              <w:t>Les Parties cochent d'un commun accord la case correspondante avant signature. L'inventaire détaillé du mobilier fourni est établi contradictoirement dans l'état des lieux d'entrée.</w:t>
            </w:r>
          </w:p>
        </w:tc>
      </w:tr>
    </w:tbl>
    <w:p>
      <w:pPr>
        <w:pStyle w:val="Normal"/>
        <w:spacing w:before="0" w:after="80"/>
        <w:rPr/>
      </w:pPr>
      <w:r>
        <w:rPr/>
      </w:r>
    </w:p>
    <w:tbl>
      <w:tblPr>
        <w:tblW w:w="9506" w:type="dxa"/>
        <w:jc w:val="start"/>
        <w:tblInd w:w="0" w:type="dxa"/>
        <w:tblLayout w:type="fixed"/>
        <w:tblCellMar>
          <w:top w:w="240" w:type="dxa"/>
          <w:start w:w="280" w:type="dxa"/>
          <w:bottom w:w="240" w:type="dxa"/>
          <w:end w:w="280" w:type="dxa"/>
        </w:tblCellMar>
        <w:tblLook w:val="0000" w:noHBand="0" w:noVBand="0" w:firstColumn="0" w:lastRow="0" w:lastColumn="0" w:firstRow="0"/>
      </w:tblPr>
      <w:tblGrid>
        <w:gridCol w:w="4445"/>
        <w:gridCol w:w="5061"/>
      </w:tblGrid>
      <w:tr>
        <w:trPr/>
        <w:tc>
          <w:tcPr>
            <w:tcW w:w="4445" w:type="dxa"/>
            <w:tcBorders/>
            <w:shd w:color="auto" w:fill="E6F4F3" w:val="clear"/>
          </w:tcPr>
          <w:p>
            <w:pPr>
              <w:pStyle w:val="Normal"/>
              <w:spacing w:before="0" w:after="100"/>
              <w:rPr/>
            </w:pPr>
            <w:r>
              <w:rPr>
                <w:b/>
                <w:bCs/>
                <w:color w:val="00887F"/>
                <w:sz w:val="22"/>
                <w:szCs w:val="22"/>
              </w:rPr>
              <w:t>LE BAILLEUR</w:t>
            </w:r>
          </w:p>
          <w:p>
            <w:pPr>
              <w:pStyle w:val="Normal"/>
              <w:rPr/>
            </w:pPr>
            <w:r>
              <w:rPr>
                <w:b/>
                <w:bCs/>
                <w:sz w:val="21"/>
                <w:szCs w:val="21"/>
              </w:rPr>
              <w:t>SCI Les Mangroves</w:t>
            </w:r>
          </w:p>
          <w:p>
            <w:pPr>
              <w:pStyle w:val="Normal"/>
              <w:rPr/>
            </w:pPr>
            <w:r>
              <w:rPr>
                <w:color w:val="5C6B6A"/>
                <w:sz w:val="18"/>
                <w:szCs w:val="18"/>
              </w:rPr>
              <w:t>Société Civile Immobilière — Capital : 1 000 000 FCFA</w:t>
            </w:r>
          </w:p>
          <w:p>
            <w:pPr>
              <w:pStyle w:val="Normal"/>
              <w:rPr/>
            </w:pPr>
            <w:r>
              <w:rPr>
                <w:color w:val="5C6B6A"/>
                <w:sz w:val="18"/>
                <w:szCs w:val="18"/>
              </w:rPr>
              <w:t>BP 559 — Okala carrière (Mickolongo)</w:t>
            </w:r>
          </w:p>
          <w:p>
            <w:pPr>
              <w:pStyle w:val="Normal"/>
              <w:rPr/>
            </w:pPr>
            <w:r>
              <w:rPr>
                <w:color w:val="5C6B6A"/>
                <w:sz w:val="18"/>
                <w:szCs w:val="18"/>
              </w:rPr>
              <w:t>Libreville, République du Gabon</w:t>
            </w:r>
          </w:p>
          <w:p>
            <w:pPr>
              <w:pStyle w:val="Normal"/>
              <w:spacing w:before="0" w:after="120"/>
              <w:rPr/>
            </w:pPr>
            <w:r>
              <w:rPr/>
            </w:r>
          </w:p>
          <w:p>
            <w:pPr>
              <w:pStyle w:val="Normal"/>
              <w:rPr/>
            </w:pPr>
            <w:r>
              <w:rPr>
                <w:i/>
                <w:iCs/>
                <w:color w:val="5C6B6A"/>
                <w:sz w:val="17"/>
                <w:szCs w:val="17"/>
              </w:rPr>
              <w:t>Mandataire gestionnaire :</w:t>
            </w:r>
          </w:p>
          <w:p>
            <w:pPr>
              <w:pStyle w:val="Normal"/>
              <w:rPr/>
            </w:pPr>
            <w:r>
              <w:rPr>
                <w:b/>
                <w:bCs/>
                <w:sz w:val="19"/>
                <w:szCs w:val="19"/>
              </w:rPr>
              <w:t>Agence UPSIDE</w:t>
            </w:r>
          </w:p>
          <w:p>
            <w:pPr>
              <w:pStyle w:val="Normal"/>
              <w:rPr/>
            </w:pPr>
            <w:r>
              <w:rPr>
                <w:color w:val="5C6B6A"/>
                <w:sz w:val="18"/>
                <w:szCs w:val="18"/>
              </w:rPr>
              <w:t>M. Ralph Pinto — Gérant</w:t>
            </w:r>
          </w:p>
          <w:p>
            <w:pPr>
              <w:pStyle w:val="Normal"/>
              <w:rPr/>
            </w:pPr>
            <w:r>
              <w:rPr>
                <w:color w:val="5C6B6A"/>
                <w:sz w:val="18"/>
                <w:szCs w:val="18"/>
              </w:rPr>
              <w:t>BP 13488, Libreville</w:t>
            </w:r>
          </w:p>
        </w:tc>
        <w:tc>
          <w:tcPr>
            <w:tcW w:w="5061" w:type="dxa"/>
            <w:tcBorders/>
            <w:shd w:color="auto" w:fill="F0F5F4" w:val="clear"/>
          </w:tcPr>
          <w:p>
            <w:pPr>
              <w:pStyle w:val="Normal"/>
              <w:spacing w:before="0" w:after="80"/>
              <w:rPr/>
            </w:pPr>
            <w:r>
              <w:rPr>
                <w:b/>
                <w:bCs/>
                <w:color w:val="00887F"/>
                <w:sz w:val="22"/>
                <w:szCs w:val="22"/>
              </w:rPr>
              <w:t>LE PRENEUR</w:t>
            </w:r>
          </w:p>
          <w:p>
            <w:pPr>
              <w:pStyle w:val="Normal"/>
              <w:rPr/>
            </w:pPr>
            <w:r>
              <w:rPr>
                <w:b/>
                <w:bCs/>
              </w:rPr>
              <w:t>Personne physique</w:t>
            </w:r>
          </w:p>
          <w:p>
            <w:pPr>
              <w:pStyle w:val="Normal"/>
              <w:rPr/>
            </w:pPr>
            <w:r>
              <w:rPr>
                <w:color w:val="5C6B6A"/>
                <w:sz w:val="18"/>
                <w:szCs w:val="18"/>
              </w:rPr>
              <w:t>Nom / Prénom : ……………………………………………</w:t>
            </w:r>
          </w:p>
          <w:p>
            <w:pPr>
              <w:pStyle w:val="Normal"/>
              <w:rPr/>
            </w:pPr>
            <w:r>
              <w:rPr>
                <w:color w:val="5C6B6A"/>
                <w:sz w:val="18"/>
                <w:szCs w:val="18"/>
              </w:rPr>
              <w:t>Né(e) le : ……………………… à : …………………………</w:t>
            </w:r>
          </w:p>
          <w:p>
            <w:pPr>
              <w:pStyle w:val="Normal"/>
              <w:rPr/>
            </w:pPr>
            <w:r>
              <w:rPr>
                <w:color w:val="5C6B6A"/>
                <w:sz w:val="18"/>
                <w:szCs w:val="18"/>
              </w:rPr>
              <w:t>Nationalité : ………………………………………………………</w:t>
            </w:r>
          </w:p>
          <w:p>
            <w:pPr>
              <w:pStyle w:val="Normal"/>
              <w:rPr/>
            </w:pPr>
            <w:r>
              <w:rPr>
                <w:color w:val="5C6B6A"/>
                <w:sz w:val="18"/>
                <w:szCs w:val="18"/>
              </w:rPr>
              <w:t>CNI / Passeport n° : ………………………………………</w:t>
            </w:r>
          </w:p>
          <w:p>
            <w:pPr>
              <w:pStyle w:val="Normal"/>
              <w:rPr/>
            </w:pPr>
            <w:r>
              <w:rPr>
                <w:color w:val="5C6B6A"/>
                <w:sz w:val="18"/>
                <w:szCs w:val="18"/>
              </w:rPr>
              <w:t>NIP : …………………………………………………………………</w:t>
            </w:r>
          </w:p>
          <w:p>
            <w:pPr>
              <w:pStyle w:val="Normal"/>
              <w:rPr/>
            </w:pPr>
            <w:r>
              <w:rPr>
                <w:color w:val="5C6B6A"/>
                <w:sz w:val="18"/>
                <w:szCs w:val="18"/>
              </w:rPr>
              <w:t>Adresse actuelle : ……………………………………………</w:t>
            </w:r>
          </w:p>
          <w:p>
            <w:pPr>
              <w:pStyle w:val="Normal"/>
              <w:rPr/>
            </w:pPr>
            <w:r>
              <w:rPr>
                <w:color w:val="5C6B6A"/>
                <w:sz w:val="18"/>
                <w:szCs w:val="18"/>
              </w:rPr>
              <w:t>Téléphone : ………………… · Email : ………………………</w:t>
            </w:r>
          </w:p>
        </w:tc>
      </w:tr>
    </w:tbl>
    <w:p>
      <w:pPr>
        <w:pStyle w:val="Normal"/>
        <w:spacing w:before="0" w:after="160"/>
        <w:rPr/>
      </w:pPr>
      <w:r>
        <w:rPr/>
      </w:r>
    </w:p>
    <w:tbl>
      <w:tblPr>
        <w:tblW w:w="9506" w:type="dxa"/>
        <w:jc w:val="start"/>
        <w:tblInd w:w="0" w:type="dxa"/>
        <w:tblLayout w:type="fixed"/>
        <w:tblCellMar>
          <w:top w:w="120" w:type="dxa"/>
          <w:start w:w="200" w:type="dxa"/>
          <w:bottom w:w="120" w:type="dxa"/>
          <w:end w:w="200" w:type="dxa"/>
        </w:tblCellMar>
        <w:tblLook w:val="0000" w:noHBand="0" w:noVBand="0" w:firstColumn="0" w:lastRow="0" w:lastColumn="0" w:firstRow="0"/>
      </w:tblPr>
      <w:tblGrid>
        <w:gridCol w:w="9506"/>
      </w:tblGrid>
      <w:tr>
        <w:trPr/>
        <w:tc>
          <w:tcPr>
            <w:tcW w:w="9506" w:type="dxa"/>
            <w:tcBorders>
              <w:top w:val="single" w:sz="6" w:space="0" w:color="00887F"/>
              <w:bottom w:val="single" w:sz="6" w:space="0" w:color="00887F"/>
            </w:tcBorders>
            <w:shd w:color="auto" w:fill="F0F5F4" w:val="clear"/>
          </w:tcPr>
          <w:p>
            <w:pPr>
              <w:pStyle w:val="Normal"/>
              <w:jc w:val="center"/>
              <w:rPr/>
            </w:pPr>
            <w:r>
              <w:rPr>
                <w:color w:val="5C6B6A"/>
              </w:rPr>
              <w:t xml:space="preserve">Lot : </w:t>
            </w:r>
            <w:r>
              <w:rPr>
                <w:b/>
                <w:bCs/>
              </w:rPr>
              <w:t>US</w:t>
              <w:noBreakHyphen/>
              <w:t>LBV</w:t>
              <w:noBreakHyphen/>
              <w:t>XXXX</w:t>
            </w:r>
            <w:r>
              <w:rPr>
                <w:color w:val="5C6B6A"/>
              </w:rPr>
              <w:t xml:space="preserve">   ·   Surface : </w:t>
            </w:r>
            <w:r>
              <w:rPr>
                <w:b/>
                <w:bCs/>
              </w:rPr>
              <w:t>XXX m²</w:t>
            </w:r>
            <w:r>
              <w:rPr>
                <w:color w:val="5C6B6A"/>
              </w:rPr>
              <w:t xml:space="preserve">   ·   Prise d'effet : </w:t>
            </w:r>
            <w:r>
              <w:rPr>
                <w:b/>
                <w:bCs/>
              </w:rPr>
              <w:t>XX/XX/2026</w:t>
            </w:r>
            <w:r>
              <w:rPr>
                <w:color w:val="5C6B6A"/>
              </w:rPr>
              <w:t xml:space="preserve">   ·   Durée : </w:t>
            </w:r>
            <w:r>
              <w:rPr>
                <w:b/>
                <w:bCs/>
              </w:rPr>
              <w:t>XX an(s)</w:t>
            </w:r>
            <w:r>
              <w:rPr>
                <w:color w:val="5C6B6A"/>
              </w:rPr>
              <w:t xml:space="preserve">   ·   Loyer TTC HC : </w:t>
            </w:r>
            <w:r>
              <w:rPr>
                <w:b/>
                <w:bCs/>
              </w:rPr>
              <w:t>XXXXXXX FCFA/mois</w:t>
            </w:r>
          </w:p>
        </w:tc>
      </w:tr>
    </w:tbl>
    <w:p>
      <w:pPr>
        <w:pStyle w:val="Normal"/>
        <w:spacing w:before="0" w:after="400"/>
        <w:rPr/>
      </w:pPr>
      <w:r>
        <w:rPr/>
      </w:r>
    </w:p>
    <w:tbl>
      <w:tblPr>
        <w:tblW w:w="9506" w:type="dxa"/>
        <w:jc w:val="start"/>
        <w:tblInd w:w="0" w:type="dxa"/>
        <w:tblLayout w:type="fixed"/>
        <w:tblCellMar>
          <w:top w:w="130" w:type="dxa"/>
          <w:start w:w="200" w:type="dxa"/>
          <w:bottom w:w="130" w:type="dxa"/>
          <w:end w:w="200" w:type="dxa"/>
        </w:tblCellMar>
        <w:tblLook w:val="0000" w:noHBand="0" w:noVBand="0" w:firstColumn="0" w:lastRow="0" w:lastColumn="0" w:firstRow="0"/>
      </w:tblPr>
      <w:tblGrid>
        <w:gridCol w:w="9506"/>
      </w:tblGrid>
      <w:tr>
        <w:trPr/>
        <w:tc>
          <w:tcPr>
            <w:tcW w:w="9506" w:type="dxa"/>
            <w:tcBorders>
              <w:start w:val="single" w:sz="30" w:space="0" w:color="00887F"/>
              <w:end w:val="single" w:sz="30" w:space="0" w:color="00887F"/>
            </w:tcBorders>
            <w:shd w:color="auto" w:fill="E6F4F3" w:val="clear"/>
          </w:tcPr>
          <w:p>
            <w:pPr>
              <w:pStyle w:val="Normal"/>
              <w:spacing w:before="0" w:after="80"/>
              <w:rPr/>
            </w:pPr>
            <w:r>
              <w:rPr>
                <w:b/>
                <w:bCs/>
                <w:color w:val="00887F"/>
              </w:rPr>
              <w:t>CADRE JURIDIQUE APPLICABLE</w:t>
            </w:r>
          </w:p>
          <w:p>
            <w:pPr>
              <w:pStyle w:val="Normal"/>
              <w:jc w:val="both"/>
              <w:rPr/>
            </w:pPr>
            <w:r>
              <w:rPr>
                <w:sz w:val="19"/>
                <w:szCs w:val="19"/>
              </w:rPr>
              <w:t>Le présent contrat est régi par la loi gabonaise n° 15-88 du 30 décembre 1988 fixant le régime locatif des immeubles et locaux à usage d'habitation ou à usage mixte, par le décret n° 4/MEEATS/SG/DGPEE/SMI du 27 janvier 1993 fixant les charges locatives récupérables, et par les dispositions pertinentes du Code civil gabonais. Il est établi en sept (7) exemplaires originaux conformément aux exigences réglementaires au Gabon : deux (2) pour le Bailleur, un (1) pour l'Agence UPSIDE, un (1) pour le Preneur, et trois (3) déposés auprès de la Direction Générale de la Concurrence et de la Consommation (DGCC) pour visa préalable et enregistrement.</w:t>
            </w:r>
          </w:p>
        </w:tc>
      </w:tr>
    </w:tbl>
    <w:p>
      <w:pPr>
        <w:pStyle w:val="Normal"/>
        <w:spacing w:before="0" w:after="120"/>
        <w:rPr/>
      </w:pPr>
      <w:r>
        <w:rPr/>
      </w:r>
    </w:p>
    <w:p>
      <w:pPr>
        <w:pStyle w:val="Normal"/>
        <w:pBdr>
          <w:left w:val="single" w:sz="30" w:space="0" w:color="00887F"/>
        </w:pBdr>
        <w:shd w:val="clear" w:color="auto" w:fill="313A39"/>
        <w:spacing w:before="360" w:after="0"/>
        <w:rPr/>
      </w:pPr>
      <w:r>
        <w:rPr>
          <w:b/>
          <w:bCs/>
          <w:color w:val="B2D9D6"/>
          <w:sz w:val="19"/>
          <w:szCs w:val="19"/>
        </w:rPr>
        <w:t xml:space="preserve">ARTICLE 1   </w:t>
      </w:r>
      <w:r>
        <w:rPr>
          <w:b/>
          <w:bCs/>
          <w:color w:val="FFFFFF"/>
          <w:sz w:val="24"/>
          <w:szCs w:val="24"/>
        </w:rPr>
        <w:t>PARTIES AU CONTRAT</w:t>
      </w:r>
    </w:p>
    <w:p>
      <w:pPr>
        <w:pStyle w:val="Normal"/>
        <w:pBdr>
          <w:bottom w:val="single" w:sz="2" w:space="1" w:color="B2D9D6"/>
        </w:pBdr>
        <w:spacing w:before="180" w:after="80"/>
        <w:rPr/>
      </w:pPr>
      <w:r>
        <w:rPr>
          <w:b/>
          <w:bCs/>
          <w:color w:val="00887F"/>
          <w:sz w:val="21"/>
          <w:szCs w:val="21"/>
        </w:rPr>
        <w:t>1.1  Le Bailleur</w:t>
      </w:r>
    </w:p>
    <w:p>
      <w:pPr>
        <w:pStyle w:val="Normal"/>
        <w:spacing w:before="60" w:after="60"/>
        <w:jc w:val="both"/>
        <w:rPr/>
      </w:pPr>
      <w:r>
        <w:rPr/>
        <w:t>La SCI Les Mangroves, Société Civile Immobilière au capital de 1 000 000 FCFA, sise BP 559, Okala carrière (Mickolongo), Libreville, République du Gabon, représentée par l'Agence Immobilière UPSIDE, mandataire du Bailleur, en la personne de M. Ralph Pinto, Gérant. L'Agence UPSIDE est habilitée à percevoir les loyers, délivrer les quittances et gérer toute correspondance relative au présent bail au nom et pour le compte du Bailleur.</w:t>
      </w:r>
    </w:p>
    <w:p>
      <w:pPr>
        <w:pStyle w:val="Normal"/>
        <w:pBdr>
          <w:bottom w:val="single" w:sz="2" w:space="1" w:color="B2D9D6"/>
        </w:pBdr>
        <w:spacing w:before="180" w:after="80"/>
        <w:rPr/>
      </w:pPr>
      <w:r>
        <w:rPr>
          <w:b/>
          <w:bCs/>
          <w:color w:val="00887F"/>
          <w:sz w:val="21"/>
          <w:szCs w:val="21"/>
        </w:rPr>
        <w:t>1.2  Le Preneur — Personne physique</w:t>
      </w:r>
    </w:p>
    <w:p>
      <w:pPr>
        <w:pStyle w:val="Normal"/>
        <w:spacing w:before="60" w:after="60"/>
        <w:jc w:val="both"/>
        <w:rPr/>
      </w:pPr>
      <w:r>
        <w:rPr/>
        <w:t>Le Preneur est une personne physique dont l'identité complète (nom, prénom, date et lieu de naissance, nationalité, numéro de CNI ou de passeport et NIP) est indiquée en page de garde. Il occupe le logement à titre de résidence principale ou de résidence secondaire, à l'exclusion de tout usage professionnel ou commercial.</w:t>
      </w:r>
    </w:p>
    <w:p>
      <w:pPr>
        <w:pStyle w:val="Normal"/>
        <w:pBdr>
          <w:left w:val="single" w:sz="30" w:space="0" w:color="00887F"/>
        </w:pBdr>
        <w:shd w:val="clear" w:color="auto" w:fill="313A39"/>
        <w:spacing w:before="360" w:after="0"/>
        <w:rPr/>
      </w:pPr>
      <w:r>
        <w:rPr>
          <w:b/>
          <w:bCs/>
          <w:color w:val="B2D9D6"/>
          <w:sz w:val="19"/>
          <w:szCs w:val="19"/>
        </w:rPr>
        <w:t xml:space="preserve">ARTICLE 2   </w:t>
      </w:r>
      <w:r>
        <w:rPr>
          <w:b/>
          <w:bCs/>
          <w:color w:val="FFFFFF"/>
          <w:sz w:val="24"/>
          <w:szCs w:val="24"/>
        </w:rPr>
        <w:t>DÉSIGNATION ET DESCRIPTION DU BIEN LOUÉ</w:t>
      </w:r>
    </w:p>
    <w:p>
      <w:pPr>
        <w:pStyle w:val="Normal"/>
        <w:spacing w:before="60" w:after="60"/>
        <w:jc w:val="both"/>
        <w:rPr/>
      </w:pPr>
      <w:r>
        <w:rPr/>
        <w:t>Le Bailleur donne à bail au Preneur, qui accepte, le logement identifié comme suit :</w:t>
      </w:r>
    </w:p>
    <w:p>
      <w:pPr>
        <w:pStyle w:val="Normal"/>
        <w:spacing w:before="0" w:after="80"/>
        <w:rPr/>
      </w:pPr>
      <w:r>
        <w:rPr/>
      </w:r>
    </w:p>
    <w:tbl>
      <w:tblPr>
        <w:tblW w:w="9506" w:type="dxa"/>
        <w:jc w:val="start"/>
        <w:tblInd w:w="0" w:type="dxa"/>
        <w:tblLayout w:type="fixed"/>
        <w:tblCellMar>
          <w:top w:w="80" w:type="dxa"/>
          <w:start w:w="160" w:type="dxa"/>
          <w:bottom w:w="80" w:type="dxa"/>
          <w:end w:w="160" w:type="dxa"/>
        </w:tblCellMar>
        <w:tblLook w:val="0000" w:noHBand="0" w:noVBand="0" w:firstColumn="0" w:lastRow="0" w:lastColumn="0" w:firstRow="0"/>
      </w:tblPr>
      <w:tblGrid>
        <w:gridCol w:w="3199"/>
        <w:gridCol w:w="6307"/>
      </w:tblGrid>
      <w:tr>
        <w:trPr/>
        <w:tc>
          <w:tcPr>
            <w:tcW w:w="3199" w:type="dxa"/>
            <w:tcBorders>
              <w:top w:val="single" w:sz="2" w:space="0" w:color="B2D9D6"/>
              <w:start w:val="single" w:sz="2" w:space="0" w:color="B2D9D6"/>
              <w:bottom w:val="single" w:sz="2" w:space="0" w:color="B2D9D6"/>
              <w:end w:val="single" w:sz="2" w:space="0" w:color="B2D9D6"/>
            </w:tcBorders>
            <w:shd w:color="auto" w:fill="E6F4F3" w:val="clear"/>
          </w:tcPr>
          <w:p>
            <w:pPr>
              <w:pStyle w:val="Normal"/>
              <w:rPr/>
            </w:pPr>
            <w:r>
              <w:rPr>
                <w:b/>
                <w:bCs/>
                <w:color w:val="00887F"/>
                <w:sz w:val="19"/>
                <w:szCs w:val="19"/>
              </w:rPr>
              <w:t>Référence du lot</w:t>
            </w:r>
          </w:p>
        </w:tc>
        <w:tc>
          <w:tcPr>
            <w:tcW w:w="6307" w:type="dxa"/>
            <w:tcBorders>
              <w:top w:val="single" w:sz="2" w:space="0" w:color="B2D9D6"/>
              <w:start w:val="single" w:sz="2" w:space="0" w:color="B2D9D6"/>
              <w:bottom w:val="single" w:sz="2" w:space="0" w:color="B2D9D6"/>
              <w:end w:val="single" w:sz="2" w:space="0" w:color="B2D9D6"/>
            </w:tcBorders>
            <w:shd w:color="auto" w:fill="FFFFFF" w:val="clear"/>
          </w:tcPr>
          <w:p>
            <w:pPr>
              <w:pStyle w:val="Normal"/>
              <w:rPr/>
            </w:pPr>
            <w:r>
              <w:rPr>
                <w:sz w:val="19"/>
                <w:szCs w:val="19"/>
              </w:rPr>
              <w:t>US</w:t>
              <w:noBreakHyphen/>
              <w:t>LBV</w:t>
              <w:noBreakHyphen/>
              <w:t>XXXX</w:t>
            </w:r>
          </w:p>
        </w:tc>
      </w:tr>
      <w:tr>
        <w:trPr/>
        <w:tc>
          <w:tcPr>
            <w:tcW w:w="3199" w:type="dxa"/>
            <w:tcBorders>
              <w:top w:val="single" w:sz="2" w:space="0" w:color="B2D9D6"/>
              <w:start w:val="single" w:sz="2" w:space="0" w:color="B2D9D6"/>
              <w:bottom w:val="single" w:sz="2" w:space="0" w:color="B2D9D6"/>
              <w:end w:val="single" w:sz="2" w:space="0" w:color="B2D9D6"/>
            </w:tcBorders>
            <w:shd w:color="auto" w:fill="FFFFFF" w:val="clear"/>
          </w:tcPr>
          <w:p>
            <w:pPr>
              <w:pStyle w:val="Normal"/>
              <w:rPr/>
            </w:pPr>
            <w:r>
              <w:rPr>
                <w:b/>
                <w:bCs/>
                <w:color w:val="00887F"/>
                <w:sz w:val="19"/>
                <w:szCs w:val="19"/>
              </w:rPr>
              <w:t>Résidence / Immeuble</w:t>
            </w:r>
          </w:p>
        </w:tc>
        <w:tc>
          <w:tcPr>
            <w:tcW w:w="6307" w:type="dxa"/>
            <w:tcBorders>
              <w:top w:val="single" w:sz="2" w:space="0" w:color="B2D9D6"/>
              <w:start w:val="single" w:sz="2" w:space="0" w:color="B2D9D6"/>
              <w:bottom w:val="single" w:sz="2" w:space="0" w:color="B2D9D6"/>
              <w:end w:val="single" w:sz="2" w:space="0" w:color="B2D9D6"/>
            </w:tcBorders>
            <w:shd w:color="auto" w:fill="F0F5F4" w:val="clear"/>
          </w:tcPr>
          <w:p>
            <w:pPr>
              <w:pStyle w:val="Normal"/>
              <w:rPr/>
            </w:pPr>
            <w:r>
              <w:rPr>
                <w:sz w:val="19"/>
                <w:szCs w:val="19"/>
              </w:rPr>
              <w:t>……………………………………………………………</w:t>
            </w:r>
          </w:p>
        </w:tc>
      </w:tr>
      <w:tr>
        <w:trPr/>
        <w:tc>
          <w:tcPr>
            <w:tcW w:w="3199" w:type="dxa"/>
            <w:tcBorders>
              <w:top w:val="single" w:sz="2" w:space="0" w:color="B2D9D6"/>
              <w:start w:val="single" w:sz="2" w:space="0" w:color="B2D9D6"/>
              <w:bottom w:val="single" w:sz="2" w:space="0" w:color="B2D9D6"/>
              <w:end w:val="single" w:sz="2" w:space="0" w:color="B2D9D6"/>
            </w:tcBorders>
            <w:shd w:color="auto" w:fill="E6F4F3" w:val="clear"/>
          </w:tcPr>
          <w:p>
            <w:pPr>
              <w:pStyle w:val="Normal"/>
              <w:rPr/>
            </w:pPr>
            <w:r>
              <w:rPr>
                <w:b/>
                <w:bCs/>
                <w:color w:val="00887F"/>
                <w:sz w:val="19"/>
                <w:szCs w:val="19"/>
              </w:rPr>
              <w:t>Adresse complète</w:t>
            </w:r>
          </w:p>
        </w:tc>
        <w:tc>
          <w:tcPr>
            <w:tcW w:w="6307" w:type="dxa"/>
            <w:tcBorders>
              <w:top w:val="single" w:sz="2" w:space="0" w:color="B2D9D6"/>
              <w:start w:val="single" w:sz="2" w:space="0" w:color="B2D9D6"/>
              <w:bottom w:val="single" w:sz="2" w:space="0" w:color="B2D9D6"/>
              <w:end w:val="single" w:sz="2" w:space="0" w:color="B2D9D6"/>
            </w:tcBorders>
            <w:shd w:color="auto" w:fill="FFFFFF" w:val="clear"/>
          </w:tcPr>
          <w:p>
            <w:pPr>
              <w:pStyle w:val="Normal"/>
              <w:rPr/>
            </w:pPr>
            <w:r>
              <w:rPr>
                <w:sz w:val="19"/>
                <w:szCs w:val="19"/>
              </w:rPr>
              <w:t>……………………………………………………………</w:t>
            </w:r>
          </w:p>
        </w:tc>
      </w:tr>
      <w:tr>
        <w:trPr/>
        <w:tc>
          <w:tcPr>
            <w:tcW w:w="3199" w:type="dxa"/>
            <w:tcBorders>
              <w:top w:val="single" w:sz="2" w:space="0" w:color="B2D9D6"/>
              <w:start w:val="single" w:sz="2" w:space="0" w:color="B2D9D6"/>
              <w:bottom w:val="single" w:sz="2" w:space="0" w:color="B2D9D6"/>
              <w:end w:val="single" w:sz="2" w:space="0" w:color="B2D9D6"/>
            </w:tcBorders>
            <w:shd w:color="auto" w:fill="FFFFFF" w:val="clear"/>
          </w:tcPr>
          <w:p>
            <w:pPr>
              <w:pStyle w:val="Normal"/>
              <w:rPr/>
            </w:pPr>
            <w:r>
              <w:rPr>
                <w:b/>
                <w:bCs/>
                <w:color w:val="00887F"/>
                <w:sz w:val="19"/>
                <w:szCs w:val="19"/>
              </w:rPr>
              <w:t>Étage / Appartement n°</w:t>
            </w:r>
          </w:p>
        </w:tc>
        <w:tc>
          <w:tcPr>
            <w:tcW w:w="6307" w:type="dxa"/>
            <w:tcBorders>
              <w:top w:val="single" w:sz="2" w:space="0" w:color="B2D9D6"/>
              <w:start w:val="single" w:sz="2" w:space="0" w:color="B2D9D6"/>
              <w:bottom w:val="single" w:sz="2" w:space="0" w:color="B2D9D6"/>
              <w:end w:val="single" w:sz="2" w:space="0" w:color="B2D9D6"/>
            </w:tcBorders>
            <w:shd w:color="auto" w:fill="F0F5F4" w:val="clear"/>
          </w:tcPr>
          <w:p>
            <w:pPr>
              <w:pStyle w:val="Normal"/>
              <w:rPr/>
            </w:pPr>
            <w:r>
              <w:rPr>
                <w:sz w:val="19"/>
                <w:szCs w:val="19"/>
              </w:rPr>
              <w:t>……………………………………………………………</w:t>
            </w:r>
          </w:p>
        </w:tc>
      </w:tr>
      <w:tr>
        <w:trPr/>
        <w:tc>
          <w:tcPr>
            <w:tcW w:w="3199" w:type="dxa"/>
            <w:tcBorders>
              <w:top w:val="single" w:sz="2" w:space="0" w:color="B2D9D6"/>
              <w:start w:val="single" w:sz="2" w:space="0" w:color="B2D9D6"/>
              <w:bottom w:val="single" w:sz="2" w:space="0" w:color="B2D9D6"/>
              <w:end w:val="single" w:sz="2" w:space="0" w:color="B2D9D6"/>
            </w:tcBorders>
            <w:shd w:color="auto" w:fill="E6F4F3" w:val="clear"/>
          </w:tcPr>
          <w:p>
            <w:pPr>
              <w:pStyle w:val="Normal"/>
              <w:rPr/>
            </w:pPr>
            <w:r>
              <w:rPr>
                <w:b/>
                <w:bCs/>
                <w:color w:val="00887F"/>
                <w:sz w:val="19"/>
                <w:szCs w:val="19"/>
              </w:rPr>
              <w:t>Surface habitable</w:t>
            </w:r>
          </w:p>
        </w:tc>
        <w:tc>
          <w:tcPr>
            <w:tcW w:w="6307" w:type="dxa"/>
            <w:tcBorders>
              <w:top w:val="single" w:sz="2" w:space="0" w:color="B2D9D6"/>
              <w:start w:val="single" w:sz="2" w:space="0" w:color="B2D9D6"/>
              <w:bottom w:val="single" w:sz="2" w:space="0" w:color="B2D9D6"/>
              <w:end w:val="single" w:sz="2" w:space="0" w:color="B2D9D6"/>
            </w:tcBorders>
            <w:shd w:color="auto" w:fill="FFFFFF" w:val="clear"/>
          </w:tcPr>
          <w:p>
            <w:pPr>
              <w:pStyle w:val="Normal"/>
              <w:rPr/>
            </w:pPr>
            <w:r>
              <w:rPr>
                <w:sz w:val="19"/>
                <w:szCs w:val="19"/>
              </w:rPr>
              <w:t>XXX m²</w:t>
            </w:r>
          </w:p>
        </w:tc>
      </w:tr>
      <w:tr>
        <w:trPr/>
        <w:tc>
          <w:tcPr>
            <w:tcW w:w="3199" w:type="dxa"/>
            <w:tcBorders>
              <w:top w:val="single" w:sz="2" w:space="0" w:color="B2D9D6"/>
              <w:start w:val="single" w:sz="2" w:space="0" w:color="B2D9D6"/>
              <w:bottom w:val="single" w:sz="2" w:space="0" w:color="B2D9D6"/>
              <w:end w:val="single" w:sz="2" w:space="0" w:color="B2D9D6"/>
            </w:tcBorders>
            <w:shd w:color="auto" w:fill="FFFFFF" w:val="clear"/>
          </w:tcPr>
          <w:p>
            <w:pPr>
              <w:pStyle w:val="Normal"/>
              <w:rPr/>
            </w:pPr>
            <w:r>
              <w:rPr>
                <w:b/>
                <w:bCs/>
                <w:color w:val="00887F"/>
                <w:sz w:val="19"/>
                <w:szCs w:val="19"/>
              </w:rPr>
              <w:t>Composition</w:t>
            </w:r>
          </w:p>
        </w:tc>
        <w:tc>
          <w:tcPr>
            <w:tcW w:w="6307" w:type="dxa"/>
            <w:tcBorders>
              <w:top w:val="single" w:sz="2" w:space="0" w:color="B2D9D6"/>
              <w:start w:val="single" w:sz="2" w:space="0" w:color="B2D9D6"/>
              <w:bottom w:val="single" w:sz="2" w:space="0" w:color="B2D9D6"/>
              <w:end w:val="single" w:sz="2" w:space="0" w:color="B2D9D6"/>
            </w:tcBorders>
            <w:shd w:color="auto" w:fill="F0F5F4" w:val="clear"/>
          </w:tcPr>
          <w:p>
            <w:pPr>
              <w:pStyle w:val="Normal"/>
              <w:rPr/>
            </w:pPr>
            <w:r>
              <w:rPr>
                <w:sz w:val="19"/>
                <w:szCs w:val="19"/>
              </w:rPr>
              <w:t xml:space="preserve">…… </w:t>
            </w:r>
            <w:r>
              <w:rPr>
                <w:sz w:val="19"/>
                <w:szCs w:val="19"/>
              </w:rPr>
              <w:t>pièces principales + …… SDB + cuisine + …</w:t>
            </w:r>
          </w:p>
        </w:tc>
      </w:tr>
      <w:tr>
        <w:trPr/>
        <w:tc>
          <w:tcPr>
            <w:tcW w:w="3199" w:type="dxa"/>
            <w:tcBorders>
              <w:top w:val="single" w:sz="2" w:space="0" w:color="B2D9D6"/>
              <w:start w:val="single" w:sz="2" w:space="0" w:color="B2D9D6"/>
              <w:bottom w:val="single" w:sz="2" w:space="0" w:color="B2D9D6"/>
              <w:end w:val="single" w:sz="2" w:space="0" w:color="B2D9D6"/>
            </w:tcBorders>
            <w:shd w:color="auto" w:fill="E6F4F3" w:val="clear"/>
          </w:tcPr>
          <w:p>
            <w:pPr>
              <w:pStyle w:val="Normal"/>
              <w:rPr/>
            </w:pPr>
            <w:r>
              <w:rPr>
                <w:b/>
                <w:bCs/>
                <w:color w:val="00887F"/>
                <w:sz w:val="19"/>
                <w:szCs w:val="19"/>
              </w:rPr>
              <w:t>Équipements communs</w:t>
            </w:r>
          </w:p>
        </w:tc>
        <w:tc>
          <w:tcPr>
            <w:tcW w:w="6307" w:type="dxa"/>
            <w:tcBorders>
              <w:top w:val="single" w:sz="2" w:space="0" w:color="B2D9D6"/>
              <w:start w:val="single" w:sz="2" w:space="0" w:color="B2D9D6"/>
              <w:bottom w:val="single" w:sz="2" w:space="0" w:color="B2D9D6"/>
              <w:end w:val="single" w:sz="2" w:space="0" w:color="B2D9D6"/>
            </w:tcBorders>
            <w:shd w:color="auto" w:fill="FFFFFF" w:val="clear"/>
          </w:tcPr>
          <w:p>
            <w:pPr>
              <w:pStyle w:val="Normal"/>
              <w:rPr/>
            </w:pPr>
            <w:r>
              <w:rPr>
                <w:sz w:val="19"/>
                <w:szCs w:val="19"/>
              </w:rPr>
              <w:t>……………………………………………………………</w:t>
            </w:r>
          </w:p>
        </w:tc>
      </w:tr>
    </w:tbl>
    <w:p>
      <w:pPr>
        <w:pStyle w:val="Normal"/>
        <w:spacing w:before="0" w:after="120"/>
        <w:rPr/>
      </w:pPr>
      <w:r>
        <w:rPr/>
      </w:r>
    </w:p>
    <w:p>
      <w:pPr>
        <w:pStyle w:val="Normal"/>
        <w:spacing w:before="60" w:after="60"/>
        <w:jc w:val="both"/>
        <w:rPr/>
      </w:pPr>
      <w:r>
        <w:rPr/>
        <w:t>Le bien loué (appartement, villa, maison individuelle ou tout autre type de logement tel que défini à l'article 2) est destiné exclusivement à l'usage d'habitation privée et familiale du Preneur et de sa famille, à l'exclusion de tout usage commercial ou professionnel. Le Preneur s'engage à en faire sa résidence principale (ou secondaire selon stipulation contraire par avenant écrit).</w:t>
      </w:r>
    </w:p>
    <w:p>
      <w:pPr>
        <w:pStyle w:val="Normal"/>
        <w:pBdr>
          <w:left w:val="single" w:sz="30" w:space="0" w:color="00887F"/>
        </w:pBdr>
        <w:shd w:val="clear" w:color="auto" w:fill="313A39"/>
        <w:spacing w:before="360" w:after="0"/>
        <w:rPr/>
      </w:pPr>
      <w:r>
        <w:rPr>
          <w:b/>
          <w:bCs/>
          <w:color w:val="B2D9D6"/>
          <w:sz w:val="19"/>
          <w:szCs w:val="19"/>
        </w:rPr>
        <w:t xml:space="preserve">ARTICLE 3   </w:t>
      </w:r>
      <w:r>
        <w:rPr>
          <w:b/>
          <w:bCs/>
          <w:color w:val="FFFFFF"/>
          <w:sz w:val="24"/>
          <w:szCs w:val="24"/>
        </w:rPr>
        <w:t>DURÉE DU BAIL ET ENTRÉE EN JOUISSANCE</w:t>
      </w:r>
    </w:p>
    <w:p>
      <w:pPr>
        <w:pStyle w:val="Normal"/>
        <w:spacing w:before="60" w:after="60"/>
        <w:jc w:val="both"/>
        <w:rPr/>
      </w:pPr>
      <w:r>
        <w:rPr/>
        <w:t xml:space="preserve">Le bail est consenti pour une durée de </w:t>
      </w:r>
      <w:r>
        <w:rPr>
          <w:b/>
          <w:bCs/>
        </w:rPr>
        <w:t>XX an(s)</w:t>
      </w:r>
      <w:r>
        <w:rPr/>
        <w:t xml:space="preserve">, prenant effet le </w:t>
      </w:r>
      <w:r>
        <w:rPr>
          <w:b/>
          <w:bCs/>
        </w:rPr>
        <w:t>XX/XX/2026</w:t>
      </w:r>
      <w:r>
        <w:rPr/>
        <w:t xml:space="preserve"> et venant à échéance le </w:t>
      </w:r>
      <w:r>
        <w:rPr>
          <w:b/>
          <w:bCs/>
        </w:rPr>
        <w:t>XX/XX/20XX</w:t>
      </w:r>
      <w:r>
        <w:rPr/>
        <w:t>.</w:t>
      </w:r>
    </w:p>
    <w:p>
      <w:pPr>
        <w:pStyle w:val="Normal"/>
        <w:spacing w:before="60" w:after="60"/>
        <w:jc w:val="both"/>
        <w:rPr/>
      </w:pPr>
      <w:r>
        <w:rPr/>
        <w:t>En l'absence de congé délivré dans les formes légales avant l'échéance, le bail se poursuivra par tacite reconduction pour des périodes successives d'un (1) an.</w:t>
      </w:r>
    </w:p>
    <w:p>
      <w:pPr>
        <w:pStyle w:val="Normal"/>
        <w:spacing w:before="60" w:after="60"/>
        <w:jc w:val="both"/>
        <w:rPr/>
      </w:pPr>
      <w:r>
        <w:rPr/>
        <w:t>Congé donné par le Preneur : conformément à l'article 65 de la loi n° 15-88, le Preneur peut mettre fin au bail à tout moment par lettre recommandée avec accusé de réception ou acte extrajudiciaire, avec un préavis de trois (3) mois. Ce délai est réduit à un (1) mois en cas de mutation professionnelle, perte d'emploi, ou situation assimilée dûment justifiée par pièce officielle.</w:t>
      </w:r>
    </w:p>
    <w:p>
      <w:pPr>
        <w:pStyle w:val="Normal"/>
        <w:spacing w:before="60" w:after="60"/>
        <w:jc w:val="both"/>
        <w:rPr/>
      </w:pPr>
      <w:r>
        <w:rPr/>
        <w:t>Congé donné par le Bailleur : le Bailleur ne peut donner congé qu'à l'échéance du bail, avec un préavis de trois (3) mois, pour reprise personnelle du logement, mise en vente, ou motif sérieux et légitime. En cas de congé pour vente, le Preneur bénéficie d'un droit de préemption : le Bailleur lui notifiera le prix et les conditions de la vente proposés par un tiers, et le Preneur disposera d'un délai de trente (30) jours pour exercer ce droit.</w:t>
      </w:r>
    </w:p>
    <w:p>
      <w:pPr>
        <w:pStyle w:val="Normal"/>
        <w:pBdr>
          <w:left w:val="single" w:sz="30" w:space="0" w:color="00887F"/>
        </w:pBdr>
        <w:shd w:val="clear" w:color="auto" w:fill="313A39"/>
        <w:spacing w:before="360" w:after="0"/>
        <w:rPr/>
      </w:pPr>
      <w:r>
        <w:rPr>
          <w:b/>
          <w:bCs/>
          <w:color w:val="B2D9D6"/>
          <w:sz w:val="19"/>
          <w:szCs w:val="19"/>
        </w:rPr>
        <w:t xml:space="preserve">ARTICLE 4   </w:t>
      </w:r>
      <w:r>
        <w:rPr>
          <w:b/>
          <w:bCs/>
          <w:color w:val="FFFFFF"/>
          <w:sz w:val="24"/>
          <w:szCs w:val="24"/>
        </w:rPr>
        <w:t>MOBILIER, ÉQUIPEMENTS ET ENTRETIEN</w:t>
      </w:r>
    </w:p>
    <w:p>
      <w:pPr>
        <w:pStyle w:val="Normal"/>
        <w:pBdr>
          <w:bottom w:val="single" w:sz="2" w:space="1" w:color="B2D9D6"/>
        </w:pBdr>
        <w:spacing w:before="180" w:after="80"/>
        <w:rPr/>
      </w:pPr>
      <w:r>
        <w:rPr>
          <w:b/>
          <w:bCs/>
          <w:color w:val="00887F"/>
          <w:sz w:val="21"/>
          <w:szCs w:val="21"/>
        </w:rPr>
        <w:t>4.1  Nature et inventaire</w:t>
      </w:r>
    </w:p>
    <w:p>
      <w:pPr>
        <w:pStyle w:val="Normal"/>
        <w:spacing w:before="60" w:after="60"/>
        <w:jc w:val="both"/>
        <w:rPr/>
      </w:pPr>
      <w:r>
        <w:rPr/>
        <w:t>La nature du présent bail (meublé ou semi-meublé) a été définie en page de garde par les Parties lors de la signature. L'inventaire exhaustif et contradictoire du mobilier et des équipements fournis est établi et signé par les deux Parties lors de l'état des lieux d'entrée. Cet inventaire constitue la seule référence contractuelle. Tout élément non mentionné est réputé ne pas faire partie de la location.</w:t>
      </w:r>
    </w:p>
    <w:p>
      <w:pPr>
        <w:pStyle w:val="Normal"/>
        <w:pBdr>
          <w:bottom w:val="single" w:sz="2" w:space="1" w:color="B2D9D6"/>
        </w:pBdr>
        <w:spacing w:before="180" w:after="80"/>
        <w:rPr/>
      </w:pPr>
      <w:r>
        <w:rPr>
          <w:b/>
          <w:bCs/>
          <w:color w:val="00887F"/>
          <w:sz w:val="21"/>
          <w:szCs w:val="21"/>
        </w:rPr>
        <w:t>4.2  Entretien courant — à la charge du Preneur</w:t>
      </w:r>
    </w:p>
    <w:p>
      <w:pPr>
        <w:pStyle w:val="Normal"/>
        <w:spacing w:before="60" w:after="60"/>
        <w:jc w:val="both"/>
        <w:rPr/>
      </w:pPr>
      <w:r>
        <w:rPr/>
        <w:t>Le Preneur est tenu d'entretenir le mobilier et les équipements mis à sa disposition avec tout le soin requis. Il prend à sa charge les réparations et remplacements rendus nécessaires par une utilisation anormale, une négligence ou une dégradation imputable à son fait ou à celui de ses occupants ou visiteurs.</w:t>
      </w:r>
    </w:p>
    <w:p>
      <w:pPr>
        <w:pStyle w:val="Normal"/>
        <w:pBdr>
          <w:bottom w:val="single" w:sz="2" w:space="1" w:color="B2D9D6"/>
        </w:pBdr>
        <w:spacing w:before="180" w:after="80"/>
        <w:rPr/>
      </w:pPr>
      <w:r>
        <w:rPr>
          <w:b/>
          <w:bCs/>
          <w:color w:val="00887F"/>
          <w:sz w:val="21"/>
          <w:szCs w:val="21"/>
        </w:rPr>
        <w:t>4.3  Vétusté normale — à la charge du Bailleur</w:t>
      </w:r>
    </w:p>
    <w:p>
      <w:pPr>
        <w:pStyle w:val="Normal"/>
        <w:spacing w:before="60" w:after="60"/>
        <w:jc w:val="both"/>
        <w:rPr/>
      </w:pPr>
      <w:r>
        <w:rPr/>
        <w:t>L'usure normale résultant d'une utilisation conforme à la destination du logement reste à la charge exclusive du Bailleur. En cas de désaccord sur la nature de la dégradation, il sera fait appel à un expert immobilier agréé dont les frais seront partagés entre les Parties, sauf si l'expertise conclut à une dégradation volontaire, auquel cas les frais incombent intégralement au Preneur.</w:t>
      </w:r>
    </w:p>
    <w:p>
      <w:pPr>
        <w:pStyle w:val="Normal"/>
        <w:pBdr>
          <w:bottom w:val="single" w:sz="2" w:space="1" w:color="B2D9D6"/>
        </w:pBdr>
        <w:spacing w:before="180" w:after="80"/>
        <w:rPr/>
      </w:pPr>
      <w:r>
        <w:rPr>
          <w:b/>
          <w:bCs/>
          <w:color w:val="00887F"/>
          <w:sz w:val="21"/>
          <w:szCs w:val="21"/>
        </w:rPr>
        <w:t>4.4  Remplacement et restitution</w:t>
      </w:r>
    </w:p>
    <w:p>
      <w:pPr>
        <w:pStyle w:val="Normal"/>
        <w:spacing w:before="60" w:after="60"/>
        <w:jc w:val="both"/>
        <w:rPr/>
      </w:pPr>
      <w:r>
        <w:rPr/>
        <w:t>En cas de mobilier ou d'équipement devenu hors d'usage du fait de la vétusté normale, le Bailleur s'engage à le remplacer dans un délai raisonnable suivant notification écrite du Preneur. À l'expiration du bail, le Preneur restitue le mobilier dans l'état constaté à l'entrée, compte tenu de la vétusté normale. Tout mobilier manquant ou dégradé au-delà de l'usure normale sera valorisé à la valeur de remplacement et imputé sur le dépôt de garantie ou facturé au Preneur.</w:t>
      </w:r>
    </w:p>
    <w:p>
      <w:pPr>
        <w:pStyle w:val="Normal"/>
        <w:spacing w:before="0" w:after="80"/>
        <w:rPr/>
      </w:pPr>
      <w:r>
        <w:rPr/>
      </w:r>
    </w:p>
    <w:p>
      <w:pPr>
        <w:pStyle w:val="Normal"/>
        <w:pBdr>
          <w:left w:val="single" w:sz="30" w:space="0" w:color="00887F"/>
        </w:pBdr>
        <w:shd w:val="clear" w:color="auto" w:fill="313A39"/>
        <w:spacing w:before="360" w:after="0"/>
        <w:rPr/>
      </w:pPr>
      <w:r>
        <w:rPr>
          <w:b/>
          <w:bCs/>
          <w:color w:val="B2D9D6"/>
          <w:sz w:val="19"/>
          <w:szCs w:val="19"/>
        </w:rPr>
        <w:t xml:space="preserve">ARTICLE 5   </w:t>
      </w:r>
      <w:r>
        <w:rPr>
          <w:b/>
          <w:bCs/>
          <w:color w:val="FFFFFF"/>
          <w:sz w:val="24"/>
          <w:szCs w:val="24"/>
        </w:rPr>
        <w:t>LOYER, TSIL, CHARGES ET MODALITÉS DE PAIEMENT</w:t>
      </w:r>
    </w:p>
    <w:p>
      <w:pPr>
        <w:pStyle w:val="Normal"/>
        <w:pBdr>
          <w:bottom w:val="single" w:sz="2" w:space="1" w:color="B2D9D6"/>
        </w:pBdr>
        <w:spacing w:before="180" w:after="80"/>
        <w:rPr/>
      </w:pPr>
      <w:r>
        <w:rPr>
          <w:b/>
          <w:bCs/>
          <w:color w:val="00887F"/>
          <w:sz w:val="21"/>
          <w:szCs w:val="21"/>
        </w:rPr>
        <w:t xml:space="preserve">5.1  Loyer hors taxes, TSIL et loyer TTC </w:t>
      </w:r>
    </w:p>
    <w:p>
      <w:pPr>
        <w:pStyle w:val="Normal"/>
        <w:spacing w:before="60" w:after="60"/>
        <w:jc w:val="both"/>
        <w:rPr/>
      </w:pPr>
      <w:r>
        <w:rPr/>
        <w:t>Conformément à l'article 41 de la loi n° 15-88, le loyer est payable d'avance. La ventilation du loyer mensuel est la suivante :</w:t>
      </w:r>
    </w:p>
    <w:p>
      <w:pPr>
        <w:pStyle w:val="Normal"/>
        <w:spacing w:before="0" w:after="80"/>
        <w:rPr/>
      </w:pPr>
      <w:r>
        <w:rPr/>
      </w:r>
    </w:p>
    <w:tbl>
      <w:tblPr>
        <w:tblW w:w="9506" w:type="dxa"/>
        <w:jc w:val="start"/>
        <w:tblInd w:w="0" w:type="dxa"/>
        <w:tblLayout w:type="fixed"/>
        <w:tblCellMar>
          <w:top w:w="100" w:type="dxa"/>
          <w:start w:w="160" w:type="dxa"/>
          <w:bottom w:w="100" w:type="dxa"/>
          <w:end w:w="160" w:type="dxa"/>
        </w:tblCellMar>
        <w:tblLook w:val="0000" w:noHBand="0" w:noVBand="0" w:firstColumn="0" w:lastRow="0" w:lastColumn="0" w:firstRow="0"/>
      </w:tblPr>
      <w:tblGrid>
        <w:gridCol w:w="6299"/>
        <w:gridCol w:w="3207"/>
      </w:tblGrid>
      <w:tr>
        <w:trPr/>
        <w:tc>
          <w:tcPr>
            <w:tcW w:w="6299" w:type="dxa"/>
            <w:tcBorders/>
            <w:shd w:color="auto" w:fill="313A39" w:val="clear"/>
          </w:tcPr>
          <w:p>
            <w:pPr>
              <w:pStyle w:val="Normal"/>
              <w:rPr/>
            </w:pPr>
            <w:r>
              <w:rPr>
                <w:b/>
                <w:bCs/>
                <w:color w:val="FFFFFF"/>
                <w:sz w:val="19"/>
                <w:szCs w:val="19"/>
              </w:rPr>
              <w:t>Composante</w:t>
            </w:r>
          </w:p>
        </w:tc>
        <w:tc>
          <w:tcPr>
            <w:tcW w:w="3207" w:type="dxa"/>
            <w:tcBorders/>
            <w:shd w:color="auto" w:fill="313A39" w:val="clear"/>
          </w:tcPr>
          <w:p>
            <w:pPr>
              <w:pStyle w:val="Normal"/>
              <w:jc w:val="end"/>
              <w:rPr/>
            </w:pPr>
            <w:r>
              <w:rPr>
                <w:b/>
                <w:bCs/>
                <w:color w:val="FFFFFF"/>
                <w:sz w:val="19"/>
                <w:szCs w:val="19"/>
              </w:rPr>
              <w:t>Montant mensuel</w:t>
            </w:r>
          </w:p>
        </w:tc>
      </w:tr>
      <w:tr>
        <w:trPr/>
        <w:tc>
          <w:tcPr>
            <w:tcW w:w="6299" w:type="dxa"/>
            <w:tcBorders>
              <w:top w:val="single" w:sz="2" w:space="0" w:color="B2D9D6"/>
              <w:start w:val="single" w:sz="2" w:space="0" w:color="B2D9D6"/>
              <w:bottom w:val="single" w:sz="2" w:space="0" w:color="B2D9D6"/>
              <w:end w:val="single" w:sz="2" w:space="0" w:color="B2D9D6"/>
            </w:tcBorders>
            <w:shd w:color="auto" w:fill="FFFFFF" w:val="clear"/>
            <w:tcMar>
              <w:top w:w="80" w:type="dxa"/>
              <w:bottom w:w="80" w:type="dxa"/>
            </w:tcMar>
          </w:tcPr>
          <w:p>
            <w:pPr>
              <w:pStyle w:val="Normal"/>
              <w:rPr/>
            </w:pPr>
            <w:r>
              <w:rPr>
                <w:sz w:val="19"/>
                <w:szCs w:val="19"/>
              </w:rPr>
              <w:t>Loyer principal hors taxes (HT)</w:t>
            </w:r>
          </w:p>
        </w:tc>
        <w:tc>
          <w:tcPr>
            <w:tcW w:w="3207" w:type="dxa"/>
            <w:tcBorders>
              <w:top w:val="single" w:sz="2" w:space="0" w:color="B2D9D6"/>
              <w:start w:val="single" w:sz="2" w:space="0" w:color="B2D9D6"/>
              <w:bottom w:val="single" w:sz="2" w:space="0" w:color="B2D9D6"/>
              <w:end w:val="single" w:sz="2" w:space="0" w:color="B2D9D6"/>
            </w:tcBorders>
            <w:shd w:color="auto" w:fill="FFFFFF" w:val="clear"/>
            <w:tcMar>
              <w:top w:w="80" w:type="dxa"/>
              <w:bottom w:w="80" w:type="dxa"/>
            </w:tcMar>
          </w:tcPr>
          <w:p>
            <w:pPr>
              <w:pStyle w:val="Normal"/>
              <w:jc w:val="end"/>
              <w:rPr/>
            </w:pPr>
            <w:r>
              <w:rPr>
                <w:sz w:val="19"/>
                <w:szCs w:val="19"/>
              </w:rPr>
              <w:t>XXXXXXX FCFA</w:t>
            </w:r>
          </w:p>
        </w:tc>
      </w:tr>
      <w:tr>
        <w:trPr/>
        <w:tc>
          <w:tcPr>
            <w:tcW w:w="6299" w:type="dxa"/>
            <w:tcBorders>
              <w:top w:val="single" w:sz="2" w:space="0" w:color="B2D9D6"/>
              <w:start w:val="single" w:sz="2" w:space="0" w:color="B2D9D6"/>
              <w:bottom w:val="single" w:sz="2" w:space="0" w:color="B2D9D6"/>
              <w:end w:val="single" w:sz="2" w:space="0" w:color="B2D9D6"/>
            </w:tcBorders>
            <w:shd w:color="auto" w:fill="F0F5F4" w:val="clear"/>
            <w:tcMar>
              <w:top w:w="80" w:type="dxa"/>
              <w:bottom w:w="80" w:type="dxa"/>
            </w:tcMar>
          </w:tcPr>
          <w:p>
            <w:pPr>
              <w:pStyle w:val="Normal"/>
              <w:rPr/>
            </w:pPr>
            <w:r>
              <w:rPr>
                <w:sz w:val="19"/>
                <w:szCs w:val="19"/>
              </w:rPr>
              <w:t>Taxe Spéciale Immobilière sur les Loyers – TSIL (15 % du loyer HT)</w:t>
            </w:r>
          </w:p>
        </w:tc>
        <w:tc>
          <w:tcPr>
            <w:tcW w:w="3207" w:type="dxa"/>
            <w:tcBorders>
              <w:top w:val="single" w:sz="2" w:space="0" w:color="B2D9D6"/>
              <w:start w:val="single" w:sz="2" w:space="0" w:color="B2D9D6"/>
              <w:bottom w:val="single" w:sz="2" w:space="0" w:color="B2D9D6"/>
              <w:end w:val="single" w:sz="2" w:space="0" w:color="B2D9D6"/>
            </w:tcBorders>
            <w:shd w:color="auto" w:fill="F0F5F4" w:val="clear"/>
            <w:tcMar>
              <w:top w:w="80" w:type="dxa"/>
              <w:bottom w:w="80" w:type="dxa"/>
            </w:tcMar>
          </w:tcPr>
          <w:p>
            <w:pPr>
              <w:pStyle w:val="Normal"/>
              <w:jc w:val="end"/>
              <w:rPr/>
            </w:pPr>
            <w:r>
              <w:rPr>
                <w:sz w:val="19"/>
                <w:szCs w:val="19"/>
              </w:rPr>
              <w:t>XXXXXXX FCFA</w:t>
            </w:r>
          </w:p>
        </w:tc>
      </w:tr>
      <w:tr>
        <w:trPr/>
        <w:tc>
          <w:tcPr>
            <w:tcW w:w="6299" w:type="dxa"/>
            <w:tcBorders>
              <w:top w:val="single" w:sz="2" w:space="0" w:color="B2D9D6"/>
              <w:start w:val="single" w:sz="2" w:space="0" w:color="B2D9D6"/>
              <w:bottom w:val="single" w:sz="2" w:space="0" w:color="B2D9D6"/>
              <w:end w:val="single" w:sz="2" w:space="0" w:color="B2D9D6"/>
            </w:tcBorders>
            <w:shd w:color="auto" w:fill="FFFFFF" w:val="clear"/>
            <w:tcMar>
              <w:top w:w="80" w:type="dxa"/>
              <w:bottom w:w="80" w:type="dxa"/>
            </w:tcMar>
          </w:tcPr>
          <w:p>
            <w:pPr>
              <w:pStyle w:val="Normal"/>
              <w:rPr/>
            </w:pPr>
            <w:r>
              <w:rPr>
                <w:sz w:val="19"/>
                <w:szCs w:val="19"/>
              </w:rPr>
              <w:t xml:space="preserve">Loyer TTC </w:t>
            </w:r>
          </w:p>
        </w:tc>
        <w:tc>
          <w:tcPr>
            <w:tcW w:w="3207" w:type="dxa"/>
            <w:tcBorders>
              <w:top w:val="single" w:sz="2" w:space="0" w:color="B2D9D6"/>
              <w:start w:val="single" w:sz="2" w:space="0" w:color="B2D9D6"/>
              <w:bottom w:val="single" w:sz="2" w:space="0" w:color="B2D9D6"/>
              <w:end w:val="single" w:sz="2" w:space="0" w:color="B2D9D6"/>
            </w:tcBorders>
            <w:shd w:color="auto" w:fill="FFFFFF" w:val="clear"/>
            <w:tcMar>
              <w:top w:w="80" w:type="dxa"/>
              <w:bottom w:w="80" w:type="dxa"/>
            </w:tcMar>
          </w:tcPr>
          <w:p>
            <w:pPr>
              <w:pStyle w:val="Normal"/>
              <w:jc w:val="end"/>
              <w:rPr/>
            </w:pPr>
            <w:r>
              <w:rPr>
                <w:sz w:val="19"/>
                <w:szCs w:val="19"/>
              </w:rPr>
              <w:t>XXXXXXX FCFA</w:t>
            </w:r>
          </w:p>
        </w:tc>
      </w:tr>
      <w:tr>
        <w:trPr/>
        <w:tc>
          <w:tcPr>
            <w:tcW w:w="6299" w:type="dxa"/>
            <w:tcBorders>
              <w:top w:val="single" w:sz="2" w:space="0" w:color="B2D9D6"/>
              <w:start w:val="single" w:sz="2" w:space="0" w:color="B2D9D6"/>
              <w:bottom w:val="single" w:sz="2" w:space="0" w:color="B2D9D6"/>
              <w:end w:val="single" w:sz="2" w:space="0" w:color="B2D9D6"/>
            </w:tcBorders>
            <w:shd w:color="auto" w:fill="F0F5F4" w:val="clear"/>
            <w:tcMar>
              <w:top w:w="80" w:type="dxa"/>
              <w:bottom w:w="80" w:type="dxa"/>
            </w:tcMar>
          </w:tcPr>
          <w:p>
            <w:pPr>
              <w:pStyle w:val="Normal"/>
              <w:rPr/>
            </w:pPr>
            <w:r>
              <w:rPr>
                <w:sz w:val="19"/>
                <w:szCs w:val="19"/>
              </w:rPr>
              <w:t>Supplément mobilier / équipements</w:t>
            </w:r>
          </w:p>
        </w:tc>
        <w:tc>
          <w:tcPr>
            <w:tcW w:w="3207" w:type="dxa"/>
            <w:tcBorders>
              <w:top w:val="single" w:sz="2" w:space="0" w:color="B2D9D6"/>
              <w:start w:val="single" w:sz="2" w:space="0" w:color="B2D9D6"/>
              <w:bottom w:val="single" w:sz="2" w:space="0" w:color="B2D9D6"/>
              <w:end w:val="single" w:sz="2" w:space="0" w:color="B2D9D6"/>
            </w:tcBorders>
            <w:shd w:color="auto" w:fill="F0F5F4" w:val="clear"/>
            <w:tcMar>
              <w:top w:w="80" w:type="dxa"/>
              <w:bottom w:w="80" w:type="dxa"/>
            </w:tcMar>
          </w:tcPr>
          <w:p>
            <w:pPr>
              <w:pStyle w:val="Normal"/>
              <w:jc w:val="end"/>
              <w:rPr/>
            </w:pPr>
            <w:r>
              <w:rPr>
                <w:sz w:val="19"/>
                <w:szCs w:val="19"/>
              </w:rPr>
              <w:t>XXXXXXX FCFA</w:t>
            </w:r>
          </w:p>
        </w:tc>
      </w:tr>
      <w:tr>
        <w:trPr/>
        <w:tc>
          <w:tcPr>
            <w:tcW w:w="6299" w:type="dxa"/>
            <w:tcBorders>
              <w:top w:val="double" w:sz="4" w:space="0" w:color="00887F"/>
              <w:start w:val="single" w:sz="2" w:space="0" w:color="B2D9D6"/>
              <w:bottom w:val="single" w:sz="2" w:space="0" w:color="B2D9D6"/>
              <w:end w:val="single" w:sz="2" w:space="0" w:color="B2D9D6"/>
            </w:tcBorders>
            <w:shd w:color="auto" w:fill="E6F4F3" w:val="clear"/>
          </w:tcPr>
          <w:p>
            <w:pPr>
              <w:pStyle w:val="Normal"/>
              <w:rPr/>
            </w:pPr>
            <w:r>
              <w:rPr>
                <w:b/>
                <w:bCs/>
                <w:color w:val="00887F"/>
              </w:rPr>
              <w:t xml:space="preserve">LOYER MENSUEL TTC </w:t>
            </w:r>
          </w:p>
        </w:tc>
        <w:tc>
          <w:tcPr>
            <w:tcW w:w="3207" w:type="dxa"/>
            <w:tcBorders>
              <w:top w:val="double" w:sz="4" w:space="0" w:color="00887F"/>
              <w:start w:val="single" w:sz="2" w:space="0" w:color="B2D9D6"/>
              <w:bottom w:val="single" w:sz="2" w:space="0" w:color="B2D9D6"/>
              <w:end w:val="single" w:sz="2" w:space="0" w:color="B2D9D6"/>
            </w:tcBorders>
            <w:shd w:color="auto" w:fill="E6F4F3" w:val="clear"/>
          </w:tcPr>
          <w:p>
            <w:pPr>
              <w:pStyle w:val="Normal"/>
              <w:jc w:val="end"/>
              <w:rPr/>
            </w:pPr>
            <w:r>
              <w:rPr>
                <w:b/>
                <w:bCs/>
                <w:color w:val="00887F"/>
              </w:rPr>
              <w:t>XXXXXXX FCFA</w:t>
            </w:r>
          </w:p>
        </w:tc>
      </w:tr>
    </w:tbl>
    <w:p>
      <w:pPr>
        <w:pStyle w:val="Normal"/>
        <w:spacing w:before="0" w:after="160"/>
        <w:rPr/>
      </w:pPr>
      <w:r>
        <w:rPr/>
      </w:r>
    </w:p>
    <w:p>
      <w:pPr>
        <w:pStyle w:val="Normal"/>
        <w:pBdr>
          <w:bottom w:val="single" w:sz="2" w:space="1" w:color="B2D9D6"/>
        </w:pBdr>
        <w:spacing w:before="180" w:after="80"/>
        <w:rPr/>
      </w:pPr>
      <w:r>
        <w:rPr>
          <w:b/>
          <w:bCs/>
          <w:color w:val="00887F"/>
          <w:sz w:val="21"/>
          <w:szCs w:val="21"/>
        </w:rPr>
        <w:t>5.2  Charges locatives</w:t>
      </w:r>
    </w:p>
    <w:p>
      <w:pPr>
        <w:pStyle w:val="Normal"/>
        <w:spacing w:before="60" w:after="60"/>
        <w:jc w:val="both"/>
        <w:rPr/>
      </w:pPr>
      <w:r>
        <w:rPr/>
        <w:t>En sus du loyer TTC hors charges défini au point 4.1, le Preneur s'acquitte de charges locatives fixées à dix pour cent (10 %) du loyer hors taxes (HT), dans la limite des plafonds fixés par le décret n° 4/MEEATS/SG/DGPEE/SMI du 27 janvier 1993. Ces charges couvrent les dépenses liées au fonctionnement et à l'entretien du bien loué et de ses parties communes : fourniture et acheminement de l'eau, sécurité et gardiennage, nettoyage et entretien des espaces communs et des abords, fonctionnement du groupe électrogène et du surpresseur, entretien de l'ascenseur (le cas échéant) et des équipements collectifs. Elles sont provisionnées mensuellement et font l'objet d'une régularisation annuelle sur présentation des justificatifs par l'Agence UPSIDE.</w:t>
      </w:r>
    </w:p>
    <w:p>
      <w:pPr>
        <w:pStyle w:val="Normal"/>
        <w:spacing w:before="60" w:after="60"/>
        <w:jc w:val="both"/>
        <w:rPr/>
      </w:pPr>
      <w:r>
        <w:rPr/>
        <w:t>L'abonnement et la consommation électrique SEEG pour l'usage privatif du Preneur, ainsi que toute redevance liée à la télévision, l'internet ou la téléphonie, restent à sa charge exclusive et ne font pas partie des charges locatives ci-dessus.</w:t>
      </w:r>
    </w:p>
    <w:p>
      <w:pPr>
        <w:pStyle w:val="Normal"/>
        <w:pBdr>
          <w:bottom w:val="single" w:sz="2" w:space="1" w:color="B2D9D6"/>
        </w:pBdr>
        <w:spacing w:before="180" w:after="80"/>
        <w:rPr/>
      </w:pPr>
      <w:r>
        <w:rPr>
          <w:b/>
          <w:bCs/>
          <w:color w:val="00887F"/>
          <w:sz w:val="21"/>
          <w:szCs w:val="21"/>
        </w:rPr>
        <w:t>5.3  Modalités de paiement</w:t>
      </w:r>
    </w:p>
    <w:p>
      <w:pPr>
        <w:pStyle w:val="Normal"/>
        <w:spacing w:before="60" w:after="60"/>
        <w:jc w:val="both"/>
        <w:rPr/>
      </w:pPr>
      <w:r>
        <w:rPr/>
        <w:t>Le loyer TTC hors charges et les charges locatives sont payables d'avance au plus tard le 5 de chaque mois, auprès de l'Agence UPSIDE, mandataire du Bailleur. Le paiement s'effectue par virement bancaire, chèque, mobile money ou espèces sur accord préalable écrit de l'Agence. L'Agence UPSIDE délivrera une quittance de loyer au Preneur sur simple demande et lui adressera un relevé annuel des charges.</w:t>
      </w:r>
    </w:p>
    <w:p>
      <w:pPr>
        <w:pStyle w:val="Normal"/>
        <w:spacing w:before="60" w:after="60"/>
        <w:jc w:val="both"/>
        <w:rPr/>
      </w:pPr>
      <w:r>
        <w:rPr/>
        <w:t>En cas de retard de paiement, après un premier rappel amiable, des pénalités de cinq pour cent (5 %) du montant mensuel dû seront appliquées par mois de retard entamé, sans préjudice de la clause résolutoire prévue à l'article 11.</w:t>
      </w:r>
    </w:p>
    <w:p>
      <w:pPr>
        <w:pStyle w:val="Normal"/>
        <w:pBdr>
          <w:bottom w:val="single" w:sz="2" w:space="1" w:color="B2D9D6"/>
        </w:pBdr>
        <w:spacing w:before="180" w:after="80"/>
        <w:rPr/>
      </w:pPr>
      <w:r>
        <w:rPr>
          <w:b/>
          <w:bCs/>
          <w:color w:val="00887F"/>
          <w:sz w:val="21"/>
          <w:szCs w:val="21"/>
        </w:rPr>
        <w:t>5.4  Révision annuelle du loyer</w:t>
      </w:r>
    </w:p>
    <w:p>
      <w:pPr>
        <w:pStyle w:val="Normal"/>
        <w:spacing w:before="60" w:after="60"/>
        <w:jc w:val="both"/>
        <w:rPr/>
      </w:pPr>
      <w:r>
        <w:rPr/>
        <w:t>Conformément à la loi n° 15-88, le loyer pourra être révisé annuellement à la date anniversaire du bail. Les Parties conviennent que cette révision ne pourra excéder cinq pour cent (5 %) du loyer HT en cours. Tout projet de révision sera notifié au Preneur par l'Agence UPSIDE au moins un (1) mois avant la date d'effet.</w:t>
      </w:r>
    </w:p>
    <w:p>
      <w:pPr>
        <w:pStyle w:val="Normal"/>
        <w:pBdr>
          <w:left w:val="single" w:sz="30" w:space="0" w:color="00887F"/>
        </w:pBdr>
        <w:shd w:val="clear" w:color="auto" w:fill="313A39"/>
        <w:spacing w:before="360" w:after="0"/>
        <w:rPr/>
      </w:pPr>
      <w:r>
        <w:rPr>
          <w:b/>
          <w:bCs/>
          <w:color w:val="B2D9D6"/>
          <w:sz w:val="19"/>
          <w:szCs w:val="19"/>
        </w:rPr>
        <w:t xml:space="preserve">ARTICLE 6   </w:t>
      </w:r>
      <w:r>
        <w:rPr>
          <w:b/>
          <w:bCs/>
          <w:color w:val="FFFFFF"/>
          <w:sz w:val="24"/>
          <w:szCs w:val="24"/>
        </w:rPr>
        <w:t>DÉPÔT DE GARANTIE ET GARANT</w:t>
      </w:r>
    </w:p>
    <w:p>
      <w:pPr>
        <w:pStyle w:val="Normal"/>
        <w:pBdr>
          <w:bottom w:val="single" w:sz="2" w:space="1" w:color="B2D9D6"/>
        </w:pBdr>
        <w:spacing w:before="180" w:after="80"/>
        <w:rPr/>
      </w:pPr>
      <w:r>
        <w:rPr>
          <w:b/>
          <w:bCs/>
          <w:color w:val="00887F"/>
          <w:sz w:val="21"/>
          <w:szCs w:val="21"/>
        </w:rPr>
        <w:t>6.1  Dépôt de garantie</w:t>
      </w:r>
    </w:p>
    <w:p>
      <w:pPr>
        <w:pStyle w:val="Normal"/>
        <w:spacing w:before="60" w:after="60"/>
        <w:jc w:val="both"/>
        <w:rPr/>
      </w:pPr>
      <w:r>
        <w:rPr/>
        <w:t>En garantie de l'exécution de ses obligations, le Preneur verse à la signature du présent bail un dépôt de garantie égal à deux (2) mois de loyer TTC hors charges, soit la somme de XXXXXXX FCFA (2 × XXXXXXX FCFA). Ce dépôt ne constitue pas un loyer d'avance et ne porte pas intérêt. Il sera restitué par l'Agence UPSIDE dans le délai d'un (1) mois suivant la restitution des clés et l'établissement de l'état des lieux de sortie contradictoire, déduction faite des sommes éventuellement dues au titre des loyers impayés, charges ou réparations locatives non effectuées.</w:t>
      </w:r>
    </w:p>
    <w:p>
      <w:pPr>
        <w:pStyle w:val="Normal"/>
        <w:spacing w:before="0" w:after="120"/>
        <w:rPr/>
      </w:pPr>
      <w:r>
        <w:rPr/>
      </w:r>
    </w:p>
    <w:p>
      <w:pPr>
        <w:pStyle w:val="Normal"/>
        <w:pBdr>
          <w:left w:val="single" w:sz="30" w:space="0" w:color="00887F"/>
        </w:pBdr>
        <w:shd w:val="clear" w:color="auto" w:fill="313A39"/>
        <w:spacing w:before="360" w:after="0"/>
        <w:rPr/>
      </w:pPr>
      <w:r>
        <w:rPr>
          <w:b/>
          <w:bCs/>
          <w:color w:val="B2D9D6"/>
          <w:sz w:val="19"/>
          <w:szCs w:val="19"/>
        </w:rPr>
        <w:t xml:space="preserve">ARTICLE 7   </w:t>
      </w:r>
      <w:r>
        <w:rPr>
          <w:b/>
          <w:bCs/>
          <w:color w:val="FFFFFF"/>
          <w:sz w:val="24"/>
          <w:szCs w:val="24"/>
        </w:rPr>
        <w:t>ÉTAT DES LIEUX D'ENTRÉE ET DE SORTIE</w:t>
      </w:r>
    </w:p>
    <w:p>
      <w:pPr>
        <w:pStyle w:val="Normal"/>
        <w:spacing w:before="60" w:after="60"/>
        <w:jc w:val="both"/>
        <w:rPr/>
      </w:pPr>
      <w:r>
        <w:rPr/>
        <w:t>Un état des lieux contradictoire est établi en présence des deux Parties (ou de leurs mandataires) lors de la remise des clés et lors de la restitution du logement, conformément à l'article 62 de la loi n° 15-88. Il est dressé en sept (7) exemplaires originaux et signé par chacune des Parties.</w:t>
      </w:r>
    </w:p>
    <w:p>
      <w:pPr>
        <w:pStyle w:val="Normal"/>
        <w:spacing w:before="60" w:after="60"/>
        <w:jc w:val="both"/>
        <w:rPr/>
      </w:pPr>
      <w:r>
        <w:rPr/>
        <w:t>À défaut d'accord amiable, l'état des lieux sera établi par huissier de justice, les frais étant partagés par moitié. À défaut d'état des lieux d'entrée, le Preneur est présumé avoir reçu le logement en bon état de réparations locatives et doit le rendre tel, sauf preuve contraire.</w:t>
      </w:r>
    </w:p>
    <w:p>
      <w:pPr>
        <w:pStyle w:val="Normal"/>
        <w:spacing w:before="60" w:after="60"/>
        <w:jc w:val="both"/>
        <w:rPr/>
      </w:pPr>
      <w:r>
        <w:rPr/>
        <w:t>L'état des lieux d'entrée intègre l'inventaire contradictoire du mobilier et des équipements fournis. Cet inventaire, signé par les deux Parties, constitue la seule référence contractuelle pour la restitution du mobilier en fin de bail.</w:t>
      </w:r>
    </w:p>
    <w:p>
      <w:pPr>
        <w:pStyle w:val="Normal"/>
        <w:pBdr>
          <w:left w:val="single" w:sz="30" w:space="0" w:color="00887F"/>
        </w:pBdr>
        <w:shd w:val="clear" w:color="auto" w:fill="313A39"/>
        <w:spacing w:before="360" w:after="0"/>
        <w:rPr/>
      </w:pPr>
      <w:r>
        <w:rPr>
          <w:b/>
          <w:bCs/>
          <w:color w:val="B2D9D6"/>
          <w:sz w:val="19"/>
          <w:szCs w:val="19"/>
        </w:rPr>
        <w:t xml:space="preserve">ARTICLE 8   </w:t>
      </w:r>
      <w:r>
        <w:rPr>
          <w:b/>
          <w:bCs/>
          <w:color w:val="FFFFFF"/>
          <w:sz w:val="24"/>
          <w:szCs w:val="24"/>
        </w:rPr>
        <w:t>OBLIGATIONS DU PRENEUR</w:t>
      </w:r>
    </w:p>
    <w:p>
      <w:pPr>
        <w:pStyle w:val="Normal"/>
        <w:pBdr>
          <w:bottom w:val="single" w:sz="2" w:space="1" w:color="B2D9D6"/>
        </w:pBdr>
        <w:spacing w:before="180" w:after="80"/>
        <w:rPr/>
      </w:pPr>
      <w:r>
        <w:rPr>
          <w:b/>
          <w:bCs/>
          <w:color w:val="00887F"/>
          <w:sz w:val="21"/>
          <w:szCs w:val="21"/>
        </w:rPr>
        <w:t>8.1  Usage paisible et entretien</w:t>
      </w:r>
    </w:p>
    <w:p>
      <w:pPr>
        <w:pStyle w:val="Normal"/>
        <w:spacing w:before="60" w:after="60"/>
        <w:jc w:val="both"/>
        <w:rPr/>
      </w:pPr>
      <w:r>
        <w:rPr/>
        <w:t>Le Preneur occupera les lieux conformément à leur destination exclusive d'habitation et en usera en bon père de famille, sans causer de troubles à la tranquillité des voisins ni de dégradations. Il veillera à l'entretien courant du logement et des équipements. Les réparations locatives rendues nécessaires par son usage ou celui de ses occupants sont à sa charge. Pour les équipements techniques (climatiseurs, chauffe-eau, stores), l'entretien régulier (nettoyage des filtres, vidange, graissage) est à la charge du Preneur ; le remplacement en cas de vétusté normale incombe au Bailleur.</w:t>
      </w:r>
    </w:p>
    <w:p>
      <w:pPr>
        <w:pStyle w:val="Normal"/>
        <w:pBdr>
          <w:bottom w:val="single" w:sz="2" w:space="1" w:color="B2D9D6"/>
        </w:pBdr>
        <w:spacing w:before="180" w:after="80"/>
        <w:rPr/>
      </w:pPr>
      <w:r>
        <w:rPr>
          <w:b/>
          <w:bCs/>
          <w:color w:val="00887F"/>
          <w:sz w:val="21"/>
          <w:szCs w:val="21"/>
        </w:rPr>
        <w:t>8.2  Paiement du loyer et des charges</w:t>
      </w:r>
    </w:p>
    <w:p>
      <w:pPr>
        <w:pStyle w:val="Normal"/>
        <w:spacing w:before="60" w:after="60"/>
        <w:jc w:val="both"/>
        <w:rPr/>
      </w:pPr>
      <w:r>
        <w:rPr/>
        <w:t>Le Preneur est tenu de payer le loyer et les charges aux termes convenus. Tout retard expose le Preneur aux pénalités de retard et à la clause résolutoire prévues au présent bail.</w:t>
      </w:r>
    </w:p>
    <w:p>
      <w:pPr>
        <w:pStyle w:val="Normal"/>
        <w:pBdr>
          <w:bottom w:val="single" w:sz="2" w:space="1" w:color="B2D9D6"/>
        </w:pBdr>
        <w:spacing w:before="180" w:after="80"/>
        <w:rPr/>
      </w:pPr>
      <w:r>
        <w:rPr>
          <w:b/>
          <w:bCs/>
          <w:color w:val="00887F"/>
          <w:sz w:val="21"/>
          <w:szCs w:val="21"/>
        </w:rPr>
        <w:t>8.3  Assurance habitation obligatoire</w:t>
      </w:r>
    </w:p>
    <w:p>
      <w:pPr>
        <w:pStyle w:val="Normal"/>
        <w:spacing w:before="60" w:after="60"/>
        <w:jc w:val="both"/>
        <w:rPr/>
      </w:pPr>
      <w:r>
        <w:rPr/>
        <w:t>Avant l'entrée dans les lieux, le Preneur souscrit obligatoirement une assurance multirisque habitation couvrant les risques locatifs (incendie, dégâts des eaux, responsabilité civile vis-à-vis des voisins et du Bailleur). Il en remet l'attestation en cours de validité à l'Agence UPSIDE et la renouvelle chaque année à son échéance. À défaut de justification dans les quinze (15) jours suivant la prise de possession, l'Agence UPSIDE pourra souscrire une assurance pour le compte du Preneur et en répercuter la prime sur le loyer suivant.</w:t>
      </w:r>
    </w:p>
    <w:p>
      <w:pPr>
        <w:pStyle w:val="Normal"/>
        <w:pBdr>
          <w:bottom w:val="single" w:sz="2" w:space="1" w:color="B2D9D6"/>
        </w:pBdr>
        <w:spacing w:before="180" w:after="80"/>
        <w:rPr/>
      </w:pPr>
      <w:r>
        <w:rPr>
          <w:b/>
          <w:bCs/>
          <w:color w:val="00887F"/>
          <w:sz w:val="21"/>
          <w:szCs w:val="21"/>
        </w:rPr>
        <w:t>8.4  Interdiction de travaux et transformation</w:t>
      </w:r>
    </w:p>
    <w:p>
      <w:pPr>
        <w:pStyle w:val="Normal"/>
        <w:spacing w:before="60" w:after="60"/>
        <w:jc w:val="both"/>
        <w:rPr/>
      </w:pPr>
      <w:r>
        <w:rPr/>
        <w:t>Le Preneur ne peut effectuer aucun travaux de transformation, percement, modification structurelle ou installation permanente sans l'accord écrit et préalable du Bailleur. Les petits aménagements réversibles (fixation de cadres, rideaux) sont tolérés, sous réserve d'une remise en état parfaite à la sortie. Tout manquement à cette obligation engage la responsabilité du Preneur.</w:t>
      </w:r>
    </w:p>
    <w:p>
      <w:pPr>
        <w:pStyle w:val="Normal"/>
        <w:pBdr>
          <w:bottom w:val="single" w:sz="2" w:space="1" w:color="B2D9D6"/>
        </w:pBdr>
        <w:spacing w:before="180" w:after="80"/>
        <w:rPr/>
      </w:pPr>
      <w:r>
        <w:rPr>
          <w:b/>
          <w:bCs/>
          <w:color w:val="00887F"/>
          <w:sz w:val="21"/>
          <w:szCs w:val="21"/>
        </w:rPr>
        <w:t>8.5  Sous-location et cession — interdites</w:t>
      </w:r>
    </w:p>
    <w:p>
      <w:pPr>
        <w:pStyle w:val="Normal"/>
        <w:spacing w:before="60" w:after="60"/>
        <w:jc w:val="both"/>
        <w:rPr/>
      </w:pPr>
      <w:r>
        <w:rPr/>
        <w:t>La sous-location totale ou partielle et la cession du présent bail sont formellement interdites sans l'accord écrit et préalable du Bailleur. Toute infraction constitue un motif de résiliation de plein droit du bail, sans préjudice des dommages-intérêts dus au Bailleur.</w:t>
      </w:r>
    </w:p>
    <w:p>
      <w:pPr>
        <w:pStyle w:val="Normal"/>
        <w:pBdr>
          <w:bottom w:val="single" w:sz="2" w:space="1" w:color="B2D9D6"/>
        </w:pBdr>
        <w:spacing w:before="180" w:after="80"/>
        <w:rPr/>
      </w:pPr>
      <w:r>
        <w:rPr>
          <w:b/>
          <w:bCs/>
          <w:color w:val="00887F"/>
          <w:sz w:val="21"/>
          <w:szCs w:val="21"/>
        </w:rPr>
        <w:t>8.6  Respect du règlement intérieur</w:t>
      </w:r>
    </w:p>
    <w:p>
      <w:pPr>
        <w:pStyle w:val="Normal"/>
        <w:spacing w:before="60" w:after="60"/>
        <w:jc w:val="both"/>
        <w:rPr/>
      </w:pPr>
      <w:r>
        <w:rPr/>
        <w:t>Le Preneur s'engage à respecter le règlement intérieur de la résidence (usage des parties communes, horaires des équipements collectifs, stationnement, tri des déchets, interdiction de nuisances sonores). Il est personnellement responsable du respect de ce règlement par ses occupants et visiteurs.</w:t>
      </w:r>
    </w:p>
    <w:p>
      <w:pPr>
        <w:pStyle w:val="Normal"/>
        <w:pBdr>
          <w:bottom w:val="single" w:sz="2" w:space="1" w:color="B2D9D6"/>
        </w:pBdr>
        <w:spacing w:before="180" w:after="80"/>
        <w:rPr/>
      </w:pPr>
      <w:r>
        <w:rPr>
          <w:b/>
          <w:bCs/>
          <w:color w:val="00887F"/>
          <w:sz w:val="21"/>
          <w:szCs w:val="21"/>
        </w:rPr>
        <w:t>8.7  Visites et droit de préemption en cas de vente</w:t>
      </w:r>
    </w:p>
    <w:p>
      <w:pPr>
        <w:pStyle w:val="Normal"/>
        <w:spacing w:before="60" w:after="60"/>
        <w:jc w:val="both"/>
        <w:rPr/>
      </w:pPr>
      <w:r>
        <w:rPr/>
        <w:t>Pendant les trois (3) derniers mois du bail et en cas de projet de vente ou de relocation, le Preneur autorisera des visites du logement deux (2) heures par jour ouvrable sur préavis de vingt-quatre (24) heures. En cas de congé pour vente, le Bailleur notifiera le prix et les conditions proposés par un tiers, et le Preneur disposera de trente (30) jours pour exercer son droit de préemption.</w:t>
      </w:r>
    </w:p>
    <w:p>
      <w:pPr>
        <w:pStyle w:val="Normal"/>
        <w:pBdr>
          <w:bottom w:val="single" w:sz="2" w:space="1" w:color="B2D9D6"/>
        </w:pBdr>
        <w:spacing w:before="180" w:after="80"/>
        <w:rPr/>
      </w:pPr>
      <w:r>
        <w:rPr>
          <w:b/>
          <w:bCs/>
          <w:color w:val="00887F"/>
          <w:sz w:val="21"/>
          <w:szCs w:val="21"/>
        </w:rPr>
        <w:t>8.8  Restitution des lieux en fin de bail</w:t>
      </w:r>
    </w:p>
    <w:p>
      <w:pPr>
        <w:pStyle w:val="Normal"/>
        <w:spacing w:before="60" w:after="60"/>
        <w:jc w:val="both"/>
        <w:rPr/>
      </w:pPr>
      <w:r>
        <w:rPr/>
        <w:t>À l'expiration ou à la résiliation du bail, le Preneur restituera le logement avec toutes ses clés, badges et accès, dans l'état constaté à l'état des lieux d'entrée, excepté la vétusté normale résultant d'un usage conforme. Toute dégradation au-delà de l'usure normale ou réparation locative non effectuée sera imputable sur le dépôt de garantie ou facturée au Preneur.</w:t>
      </w:r>
    </w:p>
    <w:p>
      <w:pPr>
        <w:pStyle w:val="Normal"/>
        <w:pBdr>
          <w:left w:val="single" w:sz="30" w:space="0" w:color="00887F"/>
        </w:pBdr>
        <w:shd w:val="clear" w:color="auto" w:fill="313A39"/>
        <w:spacing w:before="360" w:after="0"/>
        <w:rPr/>
      </w:pPr>
      <w:r>
        <w:rPr>
          <w:b/>
          <w:bCs/>
          <w:color w:val="B2D9D6"/>
          <w:sz w:val="19"/>
          <w:szCs w:val="19"/>
        </w:rPr>
        <w:t xml:space="preserve">ARTICLE 9   </w:t>
      </w:r>
      <w:r>
        <w:rPr>
          <w:b/>
          <w:bCs/>
          <w:color w:val="FFFFFF"/>
          <w:sz w:val="24"/>
          <w:szCs w:val="24"/>
        </w:rPr>
        <w:t>OBLIGATIONS DU BAILLEUR</w:t>
      </w:r>
    </w:p>
    <w:p>
      <w:pPr>
        <w:pStyle w:val="Normal"/>
        <w:pBdr>
          <w:bottom w:val="single" w:sz="2" w:space="1" w:color="B2D9D6"/>
        </w:pBdr>
        <w:spacing w:before="180" w:after="80"/>
        <w:rPr/>
      </w:pPr>
      <w:r>
        <w:rPr>
          <w:b/>
          <w:bCs/>
          <w:color w:val="00887F"/>
          <w:sz w:val="21"/>
          <w:szCs w:val="21"/>
        </w:rPr>
        <w:t>9.1  Délivrance et maintien en état</w:t>
      </w:r>
    </w:p>
    <w:p>
      <w:pPr>
        <w:pStyle w:val="Normal"/>
        <w:spacing w:before="60" w:after="60"/>
        <w:jc w:val="both"/>
        <w:rPr/>
      </w:pPr>
      <w:r>
        <w:rPr/>
        <w:t>Le Bailleur s'engage à remettre au Preneur un logement décent, en bon état d'usage et de réparations, conforme à la description du présent bail, conformément aux articles 55 et 56 de la loi n° 15-88. Il assure la jouissance paisible du logement pendant toute la durée du contrat. Il prend en charge les grosses réparations nécessaires au maintien en état du logement (structure, toiture, réseau électrique principal, réseau hydraulique, remplacement des équipements vétustes).</w:t>
      </w:r>
    </w:p>
    <w:p>
      <w:pPr>
        <w:pStyle w:val="Normal"/>
        <w:pBdr>
          <w:bottom w:val="single" w:sz="2" w:space="1" w:color="B2D9D6"/>
        </w:pBdr>
        <w:spacing w:before="180" w:after="80"/>
        <w:rPr/>
      </w:pPr>
      <w:r>
        <w:rPr>
          <w:b/>
          <w:bCs/>
          <w:color w:val="00887F"/>
          <w:sz w:val="21"/>
          <w:szCs w:val="21"/>
        </w:rPr>
        <w:t>9.2  Quittances et transparence financière</w:t>
      </w:r>
    </w:p>
    <w:p>
      <w:pPr>
        <w:pStyle w:val="Normal"/>
        <w:spacing w:before="60" w:after="60"/>
        <w:jc w:val="both"/>
        <w:rPr/>
      </w:pPr>
      <w:r>
        <w:rPr/>
        <w:t>L'Agence UPSIDE, mandataire du Bailleur, délivrera au Preneur une quittance de loyer sur simple demande, sans frais. Elle transmettra au Preneur un relevé annuel des charges provisionnées et des régularisations correspondantes. La TSIL collectée sera reversée aux services fiscaux gabonais dans les délais légaux par l'Agence.</w:t>
      </w:r>
    </w:p>
    <w:p>
      <w:pPr>
        <w:pStyle w:val="Normal"/>
        <w:pBdr>
          <w:bottom w:val="single" w:sz="2" w:space="1" w:color="B2D9D6"/>
        </w:pBdr>
        <w:spacing w:before="180" w:after="80"/>
        <w:rPr/>
      </w:pPr>
      <w:r>
        <w:rPr>
          <w:b/>
          <w:bCs/>
          <w:color w:val="00887F"/>
          <w:sz w:val="21"/>
          <w:szCs w:val="21"/>
        </w:rPr>
        <w:t>9.3  Assurance immeuble et garantie des vices</w:t>
      </w:r>
    </w:p>
    <w:p>
      <w:pPr>
        <w:pStyle w:val="Normal"/>
        <w:spacing w:before="60" w:after="60"/>
        <w:jc w:val="both"/>
        <w:rPr/>
      </w:pPr>
      <w:r>
        <w:rPr/>
        <w:t>Le Bailleur souscrit une assurance multirisque immeuble couvrant les structures, les parties communes et les équipements collectifs. Il garantit le Preneur contre tous vices cachés rendant le logement impropre à l'usage normal, sauf ceux connus du Preneur lors de la signature ou inscrits à l'état des lieux d'entrée.</w:t>
      </w:r>
    </w:p>
    <w:p>
      <w:pPr>
        <w:pStyle w:val="Normal"/>
        <w:pBdr>
          <w:bottom w:val="single" w:sz="2" w:space="1" w:color="B2D9D6"/>
        </w:pBdr>
        <w:spacing w:before="180" w:after="80"/>
        <w:rPr/>
      </w:pPr>
      <w:r>
        <w:rPr>
          <w:b/>
          <w:bCs/>
          <w:color w:val="00887F"/>
          <w:sz w:val="21"/>
          <w:szCs w:val="21"/>
        </w:rPr>
        <w:t>9.4  Information et règlements</w:t>
      </w:r>
    </w:p>
    <w:p>
      <w:pPr>
        <w:pStyle w:val="Normal"/>
        <w:spacing w:before="60" w:after="60"/>
        <w:jc w:val="both"/>
        <w:rPr/>
      </w:pPr>
      <w:r>
        <w:rPr/>
        <w:t>Le Bailleur informera le Preneur de toute servitude, contrainte réglementaire ou modification affectant le logement ou la résidence. Il mettra à disposition le règlement intérieur de la résidence dès la signature.</w:t>
      </w:r>
    </w:p>
    <w:p>
      <w:pPr>
        <w:pStyle w:val="Normal"/>
        <w:pBdr>
          <w:left w:val="single" w:sz="30" w:space="0" w:color="00887F"/>
        </w:pBdr>
        <w:shd w:val="clear" w:color="auto" w:fill="313A39"/>
        <w:spacing w:before="360" w:after="0"/>
        <w:rPr/>
      </w:pPr>
      <w:r>
        <w:rPr>
          <w:b/>
          <w:bCs/>
          <w:color w:val="B2D9D6"/>
          <w:sz w:val="19"/>
          <w:szCs w:val="19"/>
        </w:rPr>
        <w:t xml:space="preserve">ARTICLE 10   </w:t>
      </w:r>
      <w:r>
        <w:rPr>
          <w:b/>
          <w:bCs/>
          <w:color w:val="FFFFFF"/>
          <w:sz w:val="24"/>
          <w:szCs w:val="24"/>
        </w:rPr>
        <w:t>ENTRETIEN ET RÉPARATIONS DES ÉQUIPEMENTS</w:t>
      </w:r>
    </w:p>
    <w:p>
      <w:pPr>
        <w:pStyle w:val="Normal"/>
        <w:spacing w:before="60" w:after="60"/>
        <w:jc w:val="both"/>
        <w:rPr/>
      </w:pPr>
      <w:r>
        <w:rPr/>
        <w:t>Sont notamment à la charge du Preneur (réparations locatives) : le remplacement des fusibles, ampoules et interrupteurs ; la vidange et le détartrage du chauffe-eau ; le nettoyage des filtres des climatiseurs ; le graissage des stores électriques ; le nettoyage du filtre de la piscine privative (si applicable) ; l'entretien de la robinetterie (joints, siphons) ; la recharge des télécommandes, piles et extincteurs. Le Preneur fera appel à des professionnels agréés pour ces interventions.</w:t>
      </w:r>
    </w:p>
    <w:p>
      <w:pPr>
        <w:pStyle w:val="Normal"/>
        <w:spacing w:before="60" w:after="60"/>
        <w:jc w:val="both"/>
        <w:rPr/>
      </w:pPr>
      <w:r>
        <w:rPr/>
        <w:t>Sont à la charge du Bailleur : le remplacement des équipements hors d'usage du fait de la vétusté normale ou d'un vice de construction (groupe de climatisation, chauffe-eau, réseau électrique ou hydraulique principal, ascenseur, etc.). En cas d'inaction du Bailleur après mise en demeure restée infructueuse sous quinze (15) jours, le Preneur peut faire réaliser les travaux d'urgence aux frais du Bailleur, sous réserve d'information préalable écrite.</w:t>
      </w:r>
    </w:p>
    <w:p>
      <w:pPr>
        <w:pStyle w:val="Normal"/>
        <w:pBdr>
          <w:left w:val="single" w:sz="30" w:space="0" w:color="00887F"/>
        </w:pBdr>
        <w:shd w:val="clear" w:color="auto" w:fill="313A39"/>
        <w:spacing w:before="360" w:after="0"/>
        <w:rPr/>
      </w:pPr>
      <w:r>
        <w:rPr>
          <w:b/>
          <w:bCs/>
          <w:color w:val="B2D9D6"/>
          <w:sz w:val="19"/>
          <w:szCs w:val="19"/>
        </w:rPr>
        <w:t xml:space="preserve">ARTICLE 11   </w:t>
      </w:r>
      <w:r>
        <w:rPr>
          <w:b/>
          <w:bCs/>
          <w:color w:val="FFFFFF"/>
          <w:sz w:val="24"/>
          <w:szCs w:val="24"/>
        </w:rPr>
        <w:t>CLAUSE RÉSOLUTOIRE ET RÉSILIATION</w:t>
      </w:r>
    </w:p>
    <w:tbl>
      <w:tblPr>
        <w:tblW w:w="9506" w:type="dxa"/>
        <w:jc w:val="start"/>
        <w:tblInd w:w="0" w:type="dxa"/>
        <w:tblLayout w:type="fixed"/>
        <w:tblCellMar>
          <w:top w:w="140" w:type="dxa"/>
          <w:start w:w="200" w:type="dxa"/>
          <w:bottom w:w="140" w:type="dxa"/>
          <w:end w:w="200" w:type="dxa"/>
        </w:tblCellMar>
        <w:tblLook w:val="0000" w:noHBand="0" w:noVBand="0" w:firstColumn="0" w:lastRow="0" w:lastColumn="0" w:firstRow="0"/>
      </w:tblPr>
      <w:tblGrid>
        <w:gridCol w:w="9506"/>
      </w:tblGrid>
      <w:tr>
        <w:trPr/>
        <w:tc>
          <w:tcPr>
            <w:tcW w:w="9506" w:type="dxa"/>
            <w:tcBorders>
              <w:top w:val="single" w:sz="6" w:space="0" w:color="A93226"/>
              <w:start w:val="single" w:sz="30" w:space="0" w:color="A93226"/>
              <w:bottom w:val="single" w:sz="6" w:space="0" w:color="A93226"/>
              <w:end w:val="single" w:sz="30" w:space="0" w:color="A93226"/>
            </w:tcBorders>
            <w:shd w:color="auto" w:fill="FDF2F2" w:val="clear"/>
          </w:tcPr>
          <w:p>
            <w:pPr>
              <w:pStyle w:val="Normal"/>
              <w:spacing w:before="0" w:after="80"/>
              <w:rPr/>
            </w:pPr>
            <w:r>
              <w:rPr>
                <w:b/>
                <w:bCs/>
                <w:color w:val="A93226"/>
              </w:rPr>
              <w:t>CLAUSE RÉSOLUTOIRE DE PLEIN DROIT — LOI N° 15-88, ART. 65 À 71</w:t>
            </w:r>
          </w:p>
          <w:p>
            <w:pPr>
              <w:pStyle w:val="Normal"/>
              <w:jc w:val="both"/>
              <w:rPr/>
            </w:pPr>
            <w:r>
              <w:rPr>
                <w:sz w:val="19"/>
                <w:szCs w:val="19"/>
              </w:rPr>
              <w:t>Conformément aux articles 65 à 71 de la loi n° 15-88, le bail sera résilié de plein droit, un (1) mois après une mise en demeure par lettre recommandée avec accusé de réception ou acte extrajudiciaire demeurée infructueuse, en cas de : non-paiement d'un terme de loyer ou de charges à son échéance ; non-versement du dépôt de garantie ; défaut de souscription ou de renouvellement de l'assurance habitation obligatoire ; usage non conforme des lieux ; sous-location ou cession non autorisée ; troubles graves de voisinage ou dégradations répétées. La clause résolutoire joue de plein droit sans qu'il soit besoin d'une décision judiciaire préalable.</w:t>
            </w:r>
          </w:p>
        </w:tc>
      </w:tr>
    </w:tbl>
    <w:p>
      <w:pPr>
        <w:pStyle w:val="Normal"/>
        <w:spacing w:before="0" w:after="120"/>
        <w:rPr/>
      </w:pPr>
      <w:r>
        <w:rPr/>
      </w:r>
    </w:p>
    <w:p>
      <w:pPr>
        <w:pStyle w:val="Normal"/>
        <w:spacing w:before="60" w:after="60"/>
        <w:jc w:val="both"/>
        <w:rPr/>
      </w:pPr>
      <w:r>
        <w:rPr/>
        <w:t>En cas de maintien dans les lieux après résiliation, le Bailleur pourra saisir les juridictions compétentes de Libreville aux fins d'expulsion et de dommages-intérêts, conformément à l'article 72 de la loi n° 15-88. Le Preneur supportera les frais de procédure et demeurera redevable d'une indemnité d'occupation équivalente au loyer mensuel jusqu'à la restitution effective des clés.</w:t>
      </w:r>
    </w:p>
    <w:p>
      <w:pPr>
        <w:pStyle w:val="Normal"/>
        <w:pBdr>
          <w:left w:val="single" w:sz="30" w:space="0" w:color="00887F"/>
        </w:pBdr>
        <w:shd w:val="clear" w:color="auto" w:fill="313A39"/>
        <w:spacing w:before="360" w:after="0"/>
        <w:rPr/>
      </w:pPr>
      <w:r>
        <w:rPr>
          <w:b/>
          <w:bCs/>
          <w:color w:val="B2D9D6"/>
          <w:sz w:val="19"/>
          <w:szCs w:val="19"/>
        </w:rPr>
        <w:t xml:space="preserve">ARTICLE 12   </w:t>
      </w:r>
      <w:r>
        <w:rPr>
          <w:b/>
          <w:bCs/>
          <w:color w:val="FFFFFF"/>
          <w:sz w:val="24"/>
          <w:szCs w:val="24"/>
        </w:rPr>
        <w:t>DÉCÈS DU PRENEUR ET TRANSFERT DU BAIL</w:t>
      </w:r>
    </w:p>
    <w:p>
      <w:pPr>
        <w:pStyle w:val="Normal"/>
        <w:spacing w:before="60" w:after="60"/>
        <w:jc w:val="both"/>
        <w:rPr/>
      </w:pPr>
      <w:r>
        <w:rPr/>
        <w:t>En cas de décès du Preneur, le bail est transféré de plein droit, conformément à l'article 57 de la loi n° 15-88, au conjoint survivant cohabitant ou, à défaut, aux héritiers ayant effectivement occupé le logement avec le défunt depuis au moins six (6) mois à la date du décès. Les ayants droit doivent notifier l'acte de décès au Bailleur et communiquer leur décision de poursuivre ou de résilier le bail dans un délai de trente (30) jours suivant le décès. Pendant cette période de trente (30) jours, le loyer continue de courir et est dû à la succession. À défaut de notification, le bail sera réputé résilié à l'expiration du délai.</w:t>
      </w:r>
    </w:p>
    <w:p>
      <w:pPr>
        <w:pStyle w:val="Normal"/>
        <w:pBdr>
          <w:left w:val="single" w:sz="30" w:space="0" w:color="00887F"/>
        </w:pBdr>
        <w:shd w:val="clear" w:color="auto" w:fill="313A39"/>
        <w:spacing w:before="360" w:after="0"/>
        <w:rPr/>
      </w:pPr>
      <w:r>
        <w:rPr>
          <w:b/>
          <w:bCs/>
          <w:color w:val="B2D9D6"/>
          <w:sz w:val="19"/>
          <w:szCs w:val="19"/>
        </w:rPr>
        <w:t xml:space="preserve">ARTICLE 13   </w:t>
      </w:r>
      <w:r>
        <w:rPr>
          <w:b/>
          <w:bCs/>
          <w:color w:val="FFFFFF"/>
          <w:sz w:val="24"/>
          <w:szCs w:val="24"/>
        </w:rPr>
        <w:t>FORCE MAJEURE</w:t>
      </w:r>
    </w:p>
    <w:p>
      <w:pPr>
        <w:pStyle w:val="Normal"/>
        <w:spacing w:before="60" w:after="60"/>
        <w:jc w:val="both"/>
        <w:rPr/>
      </w:pPr>
      <w:r>
        <w:rPr/>
        <w:t>En cas de survenance d'un événement de force majeure (catastrophe naturelle, incendie, inondation, décision administrative d'interdiction d'occuper) rendant temporairement impossible l'occupation du logement, la Partie concernée en informe l'autre dans les cinq (5) jours ouvrables par tout moyen écrit. Les obligations affectées sont suspendues pendant la durée de l'empêchement. Si celui-ci excède trois (3) mois consécutifs, chaque Partie pourra résilier le bail sans indemnité, sous réserve du règlement des sommes dues jusqu'à la date de résiliation effective.</w:t>
      </w:r>
    </w:p>
    <w:p>
      <w:pPr>
        <w:pStyle w:val="Normal"/>
        <w:pBdr>
          <w:left w:val="single" w:sz="30" w:space="0" w:color="00887F"/>
        </w:pBdr>
        <w:shd w:val="clear" w:color="auto" w:fill="313A39"/>
        <w:spacing w:before="360" w:after="0"/>
        <w:rPr/>
      </w:pPr>
      <w:r>
        <w:rPr>
          <w:b/>
          <w:bCs/>
          <w:color w:val="B2D9D6"/>
          <w:sz w:val="19"/>
          <w:szCs w:val="19"/>
        </w:rPr>
        <w:t xml:space="preserve">ARTICLE 14   </w:t>
      </w:r>
      <w:r>
        <w:rPr>
          <w:b/>
          <w:bCs/>
          <w:color w:val="FFFFFF"/>
          <w:sz w:val="24"/>
          <w:szCs w:val="24"/>
        </w:rPr>
        <w:t>CONFIDENTIALITÉ</w:t>
      </w:r>
    </w:p>
    <w:tbl>
      <w:tblPr>
        <w:tblW w:w="9506" w:type="dxa"/>
        <w:jc w:val="start"/>
        <w:tblInd w:w="0" w:type="dxa"/>
        <w:tblLayout w:type="fixed"/>
        <w:tblCellMar>
          <w:top w:w="130" w:type="dxa"/>
          <w:start w:w="200" w:type="dxa"/>
          <w:bottom w:w="130" w:type="dxa"/>
          <w:end w:w="200" w:type="dxa"/>
        </w:tblCellMar>
        <w:tblLook w:val="0000" w:noHBand="0" w:noVBand="0" w:firstColumn="0" w:lastRow="0" w:lastColumn="0" w:firstRow="0"/>
      </w:tblPr>
      <w:tblGrid>
        <w:gridCol w:w="9506"/>
      </w:tblGrid>
      <w:tr>
        <w:trPr/>
        <w:tc>
          <w:tcPr>
            <w:tcW w:w="9506" w:type="dxa"/>
            <w:tcBorders>
              <w:start w:val="single" w:sz="30" w:space="0" w:color="00887F"/>
              <w:end w:val="single" w:sz="30" w:space="0" w:color="00887F"/>
            </w:tcBorders>
            <w:shd w:color="auto" w:fill="E6F4F3" w:val="clear"/>
          </w:tcPr>
          <w:p>
            <w:pPr>
              <w:pStyle w:val="Normal"/>
              <w:spacing w:before="0" w:after="80"/>
              <w:rPr/>
            </w:pPr>
            <w:r>
              <w:rPr>
                <w:b/>
                <w:bCs/>
                <w:color w:val="00887F"/>
              </w:rPr>
              <w:t>CLAUSE DE CONFIDENTIALITÉ</w:t>
            </w:r>
          </w:p>
          <w:p>
            <w:pPr>
              <w:pStyle w:val="Normal"/>
              <w:jc w:val="both"/>
              <w:rPr/>
            </w:pPr>
            <w:r>
              <w:rPr>
                <w:sz w:val="19"/>
                <w:szCs w:val="19"/>
              </w:rPr>
              <w:t>Les conditions financières du présent bail (montant du loyer, dépôt de garantie, modalités de paiement) sont strictement confidentielles. Les Parties s'engagent à ne pas les divulguer à des tiers, à l'exception de leurs conseils juridiques ou fiscaux, des services fiscaux gabonais dans le cadre de l'enregistrement, ou de toute obligation légale. Cette obligation de confidentialité court pendant toute la durée du bail et douze (12) mois après son expiration ou sa résiliation.</w:t>
            </w:r>
          </w:p>
        </w:tc>
      </w:tr>
    </w:tbl>
    <w:p>
      <w:pPr>
        <w:pStyle w:val="Normal"/>
        <w:spacing w:before="0" w:after="120"/>
        <w:rPr/>
      </w:pPr>
      <w:r>
        <w:rPr/>
      </w:r>
    </w:p>
    <w:p>
      <w:pPr>
        <w:pStyle w:val="Normal"/>
        <w:pBdr>
          <w:left w:val="single" w:sz="30" w:space="0" w:color="00887F"/>
        </w:pBdr>
        <w:shd w:val="clear" w:color="auto" w:fill="313A39"/>
        <w:spacing w:before="360" w:after="0"/>
        <w:rPr/>
      </w:pPr>
      <w:r>
        <w:rPr>
          <w:b/>
          <w:bCs/>
          <w:color w:val="B2D9D6"/>
          <w:sz w:val="19"/>
          <w:szCs w:val="19"/>
        </w:rPr>
        <w:t xml:space="preserve">ARTICLE 15   </w:t>
      </w:r>
      <w:r>
        <w:rPr>
          <w:b/>
          <w:bCs/>
          <w:color w:val="FFFFFF"/>
          <w:sz w:val="24"/>
          <w:szCs w:val="24"/>
        </w:rPr>
        <w:t>ÉLECTION DE DOMICILE ET NOTIFICATIONS</w:t>
      </w:r>
    </w:p>
    <w:p>
      <w:pPr>
        <w:pStyle w:val="Normal"/>
        <w:spacing w:before="60" w:after="60"/>
        <w:jc w:val="both"/>
        <w:rPr/>
      </w:pPr>
      <w:r>
        <w:rPr/>
        <w:t>Le Bailleur élit domicile à l'adresse de l'Agence UPSIDE, BP 13488, Libreville, République du Gabon. Le Preneur élit domicile dans les lieux loués. Toute notification juridique (mise en demeure, congé, résiliation) devra être effectuée par lettre recommandée avec accusé de réception ou par acte extrajudiciaire aux domiciles ci-dessus. Les notifications par voie électronique avec accusé de lecture sont admises à titre complémentaire, sans remplacer les notifications formelles exigées par la loi.</w:t>
      </w:r>
    </w:p>
    <w:p>
      <w:pPr>
        <w:pStyle w:val="Normal"/>
        <w:pBdr>
          <w:left w:val="single" w:sz="30" w:space="0" w:color="00887F"/>
        </w:pBdr>
        <w:shd w:val="clear" w:color="auto" w:fill="313A39"/>
        <w:spacing w:before="360" w:after="0"/>
        <w:rPr/>
      </w:pPr>
      <w:r>
        <w:rPr>
          <w:b/>
          <w:bCs/>
          <w:color w:val="B2D9D6"/>
          <w:sz w:val="19"/>
          <w:szCs w:val="19"/>
        </w:rPr>
        <w:t xml:space="preserve">ARTICLE 16   </w:t>
      </w:r>
      <w:r>
        <w:rPr>
          <w:b/>
          <w:bCs/>
          <w:color w:val="FFFFFF"/>
          <w:sz w:val="24"/>
          <w:szCs w:val="24"/>
        </w:rPr>
        <w:t>ENREGISTREMENT ET FRAIS</w:t>
      </w:r>
    </w:p>
    <w:p>
      <w:pPr>
        <w:pStyle w:val="Normal"/>
        <w:spacing w:before="60" w:after="60"/>
        <w:jc w:val="both"/>
        <w:rPr/>
      </w:pPr>
      <w:r>
        <w:rPr/>
        <w:t>Conformément à la réglementation en vigueur en République du Gabon, tout bail dont le loyer mensuel est égal ou supérieur à 200 000 FCFA doit être préalablement visé par la Direction Générale de la Concurrence et de la Consommation (DGCC), puis enregistré auprès de la Direction Générale des Impôts (DGI) dans les quarante-cinq (45) jours suivant sa signature. Sept (7) exemplaires originaux signés sont déposés à la DGCC — délai d'étude : 3 à 5 jours ouvrables. Le tarif d'enregistrement DGI est de 700 FCFA par page du bail.</w:t>
      </w:r>
    </w:p>
    <w:p>
      <w:pPr>
        <w:pStyle w:val="Normal"/>
        <w:spacing w:before="60" w:after="60"/>
        <w:jc w:val="both"/>
        <w:rPr/>
      </w:pPr>
      <w:r>
        <w:rPr/>
        <w:t>Les frais de visa DGCC et d'enregistrement DGI sont intégralement à la charge du Preneur, tant lors de la conclusion initiale du bail que lors de chaque renouvellement. Le Preneur règle ces frais directement à l'Agence UPSIDE, qui se charge d'effectuer l'ensemble des démarches auprès de la DGCC et de la DGI pour le compte des Parties. L'Agence remet au Preneur les récépissés de visa et d'enregistrement dans les meilleurs délais suivant leur obtention.</w:t>
      </w:r>
    </w:p>
    <w:p>
      <w:pPr>
        <w:pStyle w:val="Normal"/>
        <w:pBdr>
          <w:left w:val="single" w:sz="30" w:space="0" w:color="00887F"/>
        </w:pBdr>
        <w:shd w:val="clear" w:color="auto" w:fill="313A39"/>
        <w:spacing w:before="360" w:after="0"/>
        <w:rPr/>
      </w:pPr>
      <w:r>
        <w:rPr>
          <w:b/>
          <w:bCs/>
          <w:color w:val="B2D9D6"/>
          <w:sz w:val="19"/>
          <w:szCs w:val="19"/>
        </w:rPr>
        <w:t xml:space="preserve">ARTICLE 17   </w:t>
      </w:r>
      <w:r>
        <w:rPr>
          <w:b/>
          <w:bCs/>
          <w:color w:val="FFFFFF"/>
          <w:sz w:val="24"/>
          <w:szCs w:val="24"/>
        </w:rPr>
        <w:t>DISPOSITIONS FINALES</w:t>
      </w:r>
    </w:p>
    <w:p>
      <w:pPr>
        <w:pStyle w:val="Normal"/>
        <w:spacing w:before="60" w:after="60"/>
        <w:jc w:val="both"/>
        <w:rPr/>
      </w:pPr>
      <w:r>
        <w:rPr/>
        <w:t>Le présent bail exprime l'intégralité de l'accord entre les Parties sur son objet et remplace toute convention antérieure. Toute modification ultérieure devra faire l'objet d'un avenant écrit signé des deux Parties. La nullité éventuelle d'une clause n'affecte pas la validité des autres dispositions du bail. En cas de litige non résolu à l'amiable dans un délai de trente (30) jours à compter de la notification du différend, compétence est attribuée aux juridictions de Libreville, République du Gabon.</w:t>
      </w:r>
    </w:p>
    <w:p>
      <w:pPr>
        <w:pStyle w:val="Normal"/>
        <w:spacing w:before="0" w:after="320"/>
        <w:rPr/>
      </w:pPr>
      <w:r>
        <w:rPr/>
      </w:r>
    </w:p>
    <w:tbl>
      <w:tblPr>
        <w:tblW w:w="9506" w:type="dxa"/>
        <w:jc w:val="start"/>
        <w:tblInd w:w="0" w:type="dxa"/>
        <w:tblLayout w:type="fixed"/>
        <w:tblCellMar>
          <w:top w:w="200" w:type="dxa"/>
          <w:start w:w="280" w:type="dxa"/>
          <w:bottom w:w="200" w:type="dxa"/>
          <w:end w:w="280" w:type="dxa"/>
        </w:tblCellMar>
        <w:tblLook w:val="0000" w:noHBand="0" w:noVBand="0" w:firstColumn="0" w:lastRow="0" w:lastColumn="0" w:firstRow="0"/>
      </w:tblPr>
      <w:tblGrid>
        <w:gridCol w:w="4599"/>
        <w:gridCol w:w="4907"/>
      </w:tblGrid>
      <w:tr>
        <w:trPr/>
        <w:tc>
          <w:tcPr>
            <w:tcW w:w="4599" w:type="dxa"/>
            <w:tcBorders/>
            <w:shd w:color="auto" w:fill="E6F4F3" w:val="clear"/>
          </w:tcPr>
          <w:p>
            <w:pPr>
              <w:pStyle w:val="Normal"/>
              <w:jc w:val="center"/>
              <w:rPr/>
            </w:pPr>
            <w:r>
              <w:rPr>
                <w:b/>
                <w:bCs/>
                <w:color w:val="00887F"/>
                <w:sz w:val="22"/>
                <w:szCs w:val="22"/>
              </w:rPr>
              <w:t>LE BAILLEUR</w:t>
            </w:r>
          </w:p>
          <w:p>
            <w:pPr>
              <w:pStyle w:val="Normal"/>
              <w:jc w:val="center"/>
              <w:rPr/>
            </w:pPr>
            <w:r>
              <w:rPr>
                <w:b/>
                <w:bCs/>
              </w:rPr>
              <w:t>SCI Les Mangroves</w:t>
            </w:r>
          </w:p>
          <w:p>
            <w:pPr>
              <w:pStyle w:val="Normal"/>
              <w:jc w:val="center"/>
              <w:rPr/>
            </w:pPr>
            <w:r>
              <w:rPr>
                <w:color w:val="5C6B6A"/>
                <w:sz w:val="19"/>
                <w:szCs w:val="19"/>
              </w:rPr>
              <w:t>Agence UPSIDE — M. Ralph Pinto</w:t>
            </w:r>
          </w:p>
          <w:p>
            <w:pPr>
              <w:pStyle w:val="Normal"/>
              <w:spacing w:before="60" w:after="0"/>
              <w:jc w:val="center"/>
              <w:rPr/>
            </w:pPr>
            <w:r>
              <w:rPr>
                <w:i/>
                <w:iCs/>
                <w:color w:val="5C6B6A"/>
                <w:sz w:val="17"/>
                <w:szCs w:val="17"/>
              </w:rPr>
              <w:t>(Lu et approuvé)</w:t>
            </w:r>
          </w:p>
          <w:p>
            <w:pPr>
              <w:pStyle w:val="Normal"/>
              <w:pBdr>
                <w:bottom w:val="single" w:sz="4" w:space="1" w:color="00887F"/>
              </w:pBdr>
              <w:spacing w:before="900" w:after="80"/>
              <w:jc w:val="center"/>
              <w:rPr/>
            </w:pPr>
            <w:r>
              <w:rPr/>
            </w:r>
          </w:p>
          <w:p>
            <w:pPr>
              <w:pStyle w:val="Normal"/>
              <w:jc w:val="center"/>
              <w:rPr/>
            </w:pPr>
            <w:r>
              <w:rPr>
                <w:color w:val="00887F"/>
                <w:sz w:val="17"/>
                <w:szCs w:val="17"/>
              </w:rPr>
              <w:t>Cachet &amp; Signature</w:t>
            </w:r>
          </w:p>
        </w:tc>
        <w:tc>
          <w:tcPr>
            <w:tcW w:w="4907" w:type="dxa"/>
            <w:tcBorders/>
            <w:shd w:color="auto" w:fill="F0F5F4" w:val="clear"/>
          </w:tcPr>
          <w:p>
            <w:pPr>
              <w:pStyle w:val="Normal"/>
              <w:jc w:val="center"/>
              <w:rPr/>
            </w:pPr>
            <w:r>
              <w:rPr>
                <w:b/>
                <w:bCs/>
                <w:color w:val="00887F"/>
                <w:sz w:val="22"/>
                <w:szCs w:val="22"/>
              </w:rPr>
              <w:t>LE PRENEUR</w:t>
            </w:r>
          </w:p>
          <w:p>
            <w:pPr>
              <w:pStyle w:val="Normal"/>
              <w:jc w:val="center"/>
              <w:rPr/>
            </w:pPr>
            <w:r>
              <w:rPr>
                <w:color w:val="5C6B6A"/>
                <w:sz w:val="19"/>
                <w:szCs w:val="19"/>
              </w:rPr>
              <w:t>Nom / Prénom : ………………………………………</w:t>
            </w:r>
          </w:p>
          <w:p>
            <w:pPr>
              <w:pStyle w:val="Normal"/>
              <w:jc w:val="center"/>
              <w:rPr/>
            </w:pPr>
            <w:r>
              <w:rPr>
                <w:color w:val="5C6B6A"/>
                <w:sz w:val="19"/>
                <w:szCs w:val="19"/>
              </w:rPr>
              <w:t>CNI / Passeport n° : …………………………………</w:t>
            </w:r>
          </w:p>
          <w:p>
            <w:pPr>
              <w:pStyle w:val="Normal"/>
              <w:spacing w:before="60" w:after="0"/>
              <w:jc w:val="center"/>
              <w:rPr/>
            </w:pPr>
            <w:r>
              <w:rPr>
                <w:i/>
                <w:iCs/>
                <w:color w:val="5C6B6A"/>
                <w:sz w:val="17"/>
                <w:szCs w:val="17"/>
              </w:rPr>
              <w:t>(Lu et approuvé)</w:t>
            </w:r>
          </w:p>
          <w:p>
            <w:pPr>
              <w:pStyle w:val="Normal"/>
              <w:pBdr>
                <w:bottom w:val="single" w:sz="4" w:space="1" w:color="00887F"/>
              </w:pBdr>
              <w:spacing w:before="900" w:after="80"/>
              <w:jc w:val="center"/>
              <w:rPr/>
            </w:pPr>
            <w:r>
              <w:rPr/>
            </w:r>
          </w:p>
          <w:p>
            <w:pPr>
              <w:pStyle w:val="Normal"/>
              <w:jc w:val="center"/>
              <w:rPr/>
            </w:pPr>
            <w:r>
              <w:rPr>
                <w:color w:val="00887F"/>
                <w:sz w:val="17"/>
                <w:szCs w:val="17"/>
              </w:rPr>
              <w:t>Cachet &amp; Signature</w:t>
            </w:r>
          </w:p>
        </w:tc>
      </w:tr>
    </w:tbl>
    <w:p>
      <w:pPr>
        <w:pStyle w:val="Normal"/>
        <w:spacing w:before="0" w:after="200"/>
        <w:rPr/>
      </w:pPr>
      <w:r>
        <w:rPr/>
      </w:r>
    </w:p>
    <w:tbl>
      <w:tblPr>
        <w:tblW w:w="9506" w:type="dxa"/>
        <w:jc w:val="start"/>
        <w:tblInd w:w="0" w:type="dxa"/>
        <w:tblLayout w:type="fixed"/>
        <w:tblCellMar>
          <w:top w:w="100" w:type="dxa"/>
          <w:start w:w="200" w:type="dxa"/>
          <w:bottom w:w="100" w:type="dxa"/>
          <w:end w:w="200" w:type="dxa"/>
        </w:tblCellMar>
        <w:tblLook w:val="0000" w:noHBand="0" w:noVBand="0" w:firstColumn="0" w:lastRow="0" w:lastColumn="0" w:firstRow="0"/>
      </w:tblPr>
      <w:tblGrid>
        <w:gridCol w:w="9506"/>
      </w:tblGrid>
      <w:tr>
        <w:trPr/>
        <w:tc>
          <w:tcPr>
            <w:tcW w:w="9506" w:type="dxa"/>
            <w:tcBorders>
              <w:top w:val="single" w:sz="4" w:space="0" w:color="B2D9D6"/>
              <w:bottom w:val="single" w:sz="4" w:space="0" w:color="B2D9D6"/>
            </w:tcBorders>
            <w:shd w:color="auto" w:fill="F0F5F4" w:val="clear"/>
          </w:tcPr>
          <w:p>
            <w:pPr>
              <w:pStyle w:val="Normal"/>
              <w:jc w:val="center"/>
              <w:rPr/>
            </w:pPr>
            <w:r>
              <w:rPr>
                <w:i/>
                <w:iCs/>
                <w:color w:val="5C6B6A"/>
                <w:sz w:val="16"/>
                <w:szCs w:val="16"/>
              </w:rPr>
              <w:t>Document soumis à enregistrement — Direction Générale des Impôts — Libreville, République du Gabon</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200" w:right="1200" w:gutter="0" w:header="708" w:top="1100" w:footer="708" w:bottom="11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B2D9D6"/>
      </w:pBdr>
      <w:spacing w:before="60" w:after="60"/>
      <w:rPr/>
    </w:pPr>
    <w:r>
      <w:rPr/>
    </w:r>
  </w:p>
  <w:p>
    <w:pPr>
      <w:pStyle w:val="Normal"/>
      <w:tabs>
        <w:tab w:val="clear" w:pos="708"/>
        <w:tab w:val="center" w:pos="4753" w:leader="none"/>
        <w:tab w:val="right" w:pos="9506" w:leader="none"/>
      </w:tabs>
      <w:rPr/>
    </w:pPr>
    <w:r>
      <w:rPr>
        <w:color w:val="5C6B6A"/>
        <w:sz w:val="15"/>
        <w:szCs w:val="15"/>
      </w:rPr>
      <w:t>Réf. : UPSIDE-HAB-2026-002</w:t>
    </w:r>
    <w:r>
      <w:rPr/>
      <w:tab/>
    </w:r>
    <w:r>
      <w:rPr>
        <w:color w:val="5C6B6A"/>
        <w:sz w:val="15"/>
        <w:szCs w:val="15"/>
      </w:rPr>
      <w:t>SCI Les Mangroves  ·  Agence UPSIDE  ·  Libreville, Gabon</w:t>
    </w:r>
    <w:r>
      <w:rPr/>
      <w:tab/>
    </w:r>
    <w:r>
      <w:rPr>
        <w:color w:val="5C6B6A"/>
        <w:sz w:val="15"/>
        <w:szCs w:val="15"/>
      </w:rPr>
      <w:t xml:space="preserve">Page </w:t>
    </w:r>
    <w:r>
      <w:rPr/>
      <w:fldChar w:fldCharType="begin"/>
    </w:r>
    <w:r>
      <w:rPr/>
      <w:instrText xml:space="preserve"> PAGE </w:instrText>
    </w:r>
    <w:r>
      <w:rPr/>
      <w:fldChar w:fldCharType="separate"/>
    </w:r>
    <w:r>
      <w:rPr/>
      <w:t>7</w:t>
    </w:r>
    <w:r>
      <w:rPr/>
      <w:fldChar w:fldCharType="end"/>
    </w:r>
    <w:r>
      <w:rPr>
        <w:color w:val="5C6B6A"/>
        <w:sz w:val="15"/>
        <w:szCs w:val="15"/>
      </w:rPr>
      <w:t xml:space="preserve"> sur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B2D9D6"/>
      </w:pBdr>
      <w:spacing w:before="60" w:after="60"/>
      <w:rPr/>
    </w:pPr>
    <w:r>
      <w:rPr/>
    </w:r>
  </w:p>
  <w:p>
    <w:pPr>
      <w:pStyle w:val="Normal"/>
      <w:tabs>
        <w:tab w:val="clear" w:pos="708"/>
        <w:tab w:val="center" w:pos="4753" w:leader="none"/>
        <w:tab w:val="right" w:pos="9506" w:leader="none"/>
      </w:tabs>
      <w:rPr/>
    </w:pPr>
    <w:r>
      <w:rPr>
        <w:color w:val="5C6B6A"/>
        <w:sz w:val="15"/>
        <w:szCs w:val="15"/>
      </w:rPr>
      <w:t>Réf. : UPSIDE-HAB-2026-002</w:t>
    </w:r>
    <w:r>
      <w:rPr/>
      <w:tab/>
    </w:r>
    <w:r>
      <w:rPr>
        <w:color w:val="5C6B6A"/>
        <w:sz w:val="15"/>
        <w:szCs w:val="15"/>
      </w:rPr>
      <w:t>SCI Les Mangroves  ·  Agence UPSIDE  ·  Libreville, Gabon</w:t>
    </w:r>
    <w:r>
      <w:rPr/>
      <w:tab/>
    </w:r>
    <w:r>
      <w:rPr>
        <w:color w:val="5C6B6A"/>
        <w:sz w:val="15"/>
        <w:szCs w:val="15"/>
      </w:rPr>
      <w:t xml:space="preserve">Page </w:t>
    </w:r>
    <w:r>
      <w:rPr/>
      <w:fldChar w:fldCharType="begin"/>
    </w:r>
    <w:r>
      <w:rPr/>
      <w:instrText xml:space="preserve"> PAGE </w:instrText>
    </w:r>
    <w:r>
      <w:rPr/>
      <w:fldChar w:fldCharType="separate"/>
    </w:r>
    <w:r>
      <w:rPr/>
      <w:t>7</w:t>
    </w:r>
    <w:r>
      <w:rPr/>
      <w:fldChar w:fldCharType="end"/>
    </w:r>
    <w:r>
      <w:rPr>
        <w:color w:val="5C6B6A"/>
        <w:sz w:val="15"/>
        <w:szCs w:val="15"/>
      </w:rPr>
      <w:t xml:space="preserve"> sur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6" w:type="dxa"/>
      <w:jc w:val="start"/>
      <w:tblInd w:w="0" w:type="dxa"/>
      <w:tblLayout w:type="fixed"/>
      <w:tblCellMar>
        <w:top w:w="0" w:type="dxa"/>
        <w:start w:w="10" w:type="dxa"/>
        <w:bottom w:w="0" w:type="dxa"/>
        <w:end w:w="10" w:type="dxa"/>
      </w:tblCellMar>
      <w:tblLook w:val="0000" w:noHBand="0" w:noVBand="0" w:firstColumn="0" w:lastRow="0" w:lastColumn="0" w:firstRow="0"/>
    </w:tblPr>
    <w:tblGrid>
      <w:gridCol w:w="2800"/>
      <w:gridCol w:w="6706"/>
    </w:tblGrid>
    <w:tr>
      <w:trPr/>
      <w:tc>
        <w:tcPr>
          <w:tcW w:w="2800" w:type="dxa"/>
          <w:tcBorders/>
          <w:vAlign w:val="center"/>
        </w:tcPr>
        <w:p>
          <w:pPr>
            <w:pStyle w:val="Normal"/>
            <w:rPr/>
          </w:pPr>
          <w:r>
            <w:rPr/>
            <w:drawing>
              <wp:inline distT="0" distB="0" distL="0" distR="0">
                <wp:extent cx="1238250" cy="3905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stretch>
                          <a:fillRect/>
                        </a:stretch>
                      </pic:blipFill>
                      <pic:spPr bwMode="auto">
                        <a:xfrm>
                          <a:off x="0" y="0"/>
                          <a:ext cx="1238250" cy="390525"/>
                        </a:xfrm>
                        <a:prstGeom prst="rect">
                          <a:avLst/>
                        </a:prstGeom>
                        <a:noFill/>
                      </pic:spPr>
                    </pic:pic>
                  </a:graphicData>
                </a:graphic>
              </wp:inline>
            </w:drawing>
          </w:r>
        </w:p>
      </w:tc>
      <w:tc>
        <w:tcPr>
          <w:tcW w:w="6706" w:type="dxa"/>
          <w:tcBorders/>
          <w:vAlign w:val="center"/>
        </w:tcPr>
        <w:p>
          <w:pPr>
            <w:pStyle w:val="Normal"/>
            <w:jc w:val="end"/>
            <w:rPr/>
          </w:pPr>
          <w:r>
            <w:rPr>
              <w:b/>
              <w:bCs/>
              <w:sz w:val="18"/>
              <w:szCs w:val="18"/>
            </w:rPr>
            <w:t>BAIL D'HABITATION MEUBLÉ / SEMI-MEUBLÉ — PERSONNE PHYSIQUE</w:t>
          </w:r>
        </w:p>
        <w:p>
          <w:pPr>
            <w:pStyle w:val="Normal"/>
            <w:jc w:val="end"/>
            <w:rPr/>
          </w:pPr>
          <w:r>
            <w:rPr>
              <w:color w:val="5C6B6A"/>
              <w:sz w:val="16"/>
              <w:szCs w:val="16"/>
            </w:rPr>
            <w:t>Réf. : UPSIDE-HAB-2026-002</w:t>
          </w:r>
        </w:p>
      </w:tc>
    </w:tr>
  </w:tbl>
  <w:p>
    <w:pPr>
      <w:pStyle w:val="Normal"/>
      <w:spacing w:before="0" w:after="8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6" w:type="dxa"/>
      <w:jc w:val="start"/>
      <w:tblInd w:w="0" w:type="dxa"/>
      <w:tblLayout w:type="fixed"/>
      <w:tblCellMar>
        <w:top w:w="0" w:type="dxa"/>
        <w:start w:w="10" w:type="dxa"/>
        <w:bottom w:w="0" w:type="dxa"/>
        <w:end w:w="10" w:type="dxa"/>
      </w:tblCellMar>
      <w:tblLook w:val="0000" w:noHBand="0" w:noVBand="0" w:firstColumn="0" w:lastRow="0" w:lastColumn="0" w:firstRow="0"/>
    </w:tblPr>
    <w:tblGrid>
      <w:gridCol w:w="2800"/>
      <w:gridCol w:w="6706"/>
    </w:tblGrid>
    <w:tr>
      <w:trPr/>
      <w:tc>
        <w:tcPr>
          <w:tcW w:w="2800" w:type="dxa"/>
          <w:tcBorders/>
          <w:vAlign w:val="center"/>
        </w:tcPr>
        <w:p>
          <w:pPr>
            <w:pStyle w:val="Normal"/>
            <w:rPr/>
          </w:pPr>
          <w:r>
            <w:rPr/>
            <w:drawing>
              <wp:inline distT="0" distB="0" distL="0" distR="0">
                <wp:extent cx="1238250" cy="390525"/>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1"/>
                        <a:stretch>
                          <a:fillRect/>
                        </a:stretch>
                      </pic:blipFill>
                      <pic:spPr bwMode="auto">
                        <a:xfrm>
                          <a:off x="0" y="0"/>
                          <a:ext cx="1238250" cy="390525"/>
                        </a:xfrm>
                        <a:prstGeom prst="rect">
                          <a:avLst/>
                        </a:prstGeom>
                        <a:noFill/>
                      </pic:spPr>
                    </pic:pic>
                  </a:graphicData>
                </a:graphic>
              </wp:inline>
            </w:drawing>
          </w:r>
        </w:p>
      </w:tc>
      <w:tc>
        <w:tcPr>
          <w:tcW w:w="6706" w:type="dxa"/>
          <w:tcBorders/>
          <w:vAlign w:val="center"/>
        </w:tcPr>
        <w:p>
          <w:pPr>
            <w:pStyle w:val="Normal"/>
            <w:jc w:val="end"/>
            <w:rPr/>
          </w:pPr>
          <w:r>
            <w:rPr>
              <w:b/>
              <w:bCs/>
              <w:sz w:val="18"/>
              <w:szCs w:val="18"/>
            </w:rPr>
            <w:t>BAIL D'HABITATION MEUBLÉ / SEMI-MEUBLÉ — PERSONNE PHYSIQUE</w:t>
          </w:r>
        </w:p>
        <w:p>
          <w:pPr>
            <w:pStyle w:val="Normal"/>
            <w:jc w:val="end"/>
            <w:rPr/>
          </w:pPr>
          <w:r>
            <w:rPr>
              <w:color w:val="5C6B6A"/>
              <w:sz w:val="16"/>
              <w:szCs w:val="16"/>
            </w:rPr>
            <w:t>Réf. : UPSIDE-HAB-2026-002</w:t>
          </w:r>
        </w:p>
      </w:tc>
    </w:tr>
  </w:tbl>
  <w:p>
    <w:pPr>
      <w:pStyle w:val="Normal"/>
      <w:spacing w:before="0" w:after="80"/>
      <w:rPr/>
    </w:pPr>
    <w:r>
      <w:rPr/>
    </w:r>
  </w:p>
</w:hdr>
</file>

<file path=word/settings.xml><?xml version="1.0" encoding="utf-8"?>
<w:settings xmlns:w="http://schemas.openxmlformats.org/wordprocessingml/2006/main">
  <w:zoom w:percent="15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313A39"/>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rial" w:hAnsi="Arial" w:eastAsia="Arial" w:cs="Arial"/>
      <w:color w:val="313A39"/>
      <w:kern w:val="0"/>
      <w:sz w:val="20"/>
      <w:szCs w:val="20"/>
      <w:lang w:val="fr-FR" w:eastAsia="fr-FR" w:bidi="ar-SA"/>
    </w:rPr>
  </w:style>
  <w:style w:type="paragraph" w:styleId="Heading1">
    <w:name w:val="heading 1"/>
    <w:uiPriority w:val="9"/>
    <w:qFormat/>
    <w:pPr>
      <w:widowControl/>
      <w:bidi w:val="0"/>
      <w:spacing w:before="0" w:after="0"/>
      <w:jc w:val="start"/>
      <w:outlineLvl w:val="0"/>
    </w:pPr>
    <w:rPr>
      <w:rFonts w:ascii="Arial" w:hAnsi="Arial" w:eastAsia="Arial" w:cs="Arial"/>
      <w:color w:val="2E74B5"/>
      <w:kern w:val="0"/>
      <w:sz w:val="32"/>
      <w:szCs w:val="32"/>
      <w:lang w:val="fr-FR" w:eastAsia="fr-FR" w:bidi="ar-SA"/>
    </w:rPr>
  </w:style>
  <w:style w:type="paragraph" w:styleId="Heading2">
    <w:name w:val="heading 2"/>
    <w:uiPriority w:val="9"/>
    <w:semiHidden/>
    <w:unhideWhenUsed/>
    <w:qFormat/>
    <w:pPr>
      <w:widowControl/>
      <w:bidi w:val="0"/>
      <w:spacing w:before="0" w:after="0"/>
      <w:jc w:val="start"/>
      <w:outlineLvl w:val="1"/>
    </w:pPr>
    <w:rPr>
      <w:rFonts w:ascii="Arial" w:hAnsi="Arial" w:eastAsia="Arial" w:cs="Arial"/>
      <w:color w:val="2E74B5"/>
      <w:kern w:val="0"/>
      <w:sz w:val="26"/>
      <w:szCs w:val="26"/>
      <w:lang w:val="fr-FR" w:eastAsia="fr-FR" w:bidi="ar-SA"/>
    </w:rPr>
  </w:style>
  <w:style w:type="paragraph" w:styleId="Heading3">
    <w:name w:val="heading 3"/>
    <w:uiPriority w:val="9"/>
    <w:semiHidden/>
    <w:unhideWhenUsed/>
    <w:qFormat/>
    <w:pPr>
      <w:widowControl/>
      <w:bidi w:val="0"/>
      <w:spacing w:before="0" w:after="0"/>
      <w:jc w:val="start"/>
      <w:outlineLvl w:val="2"/>
    </w:pPr>
    <w:rPr>
      <w:rFonts w:ascii="Arial" w:hAnsi="Arial" w:eastAsia="Arial" w:cs="Arial"/>
      <w:color w:val="1F4D78"/>
      <w:kern w:val="0"/>
      <w:sz w:val="24"/>
      <w:szCs w:val="24"/>
      <w:lang w:val="fr-FR" w:eastAsia="fr-FR" w:bidi="ar-SA"/>
    </w:rPr>
  </w:style>
  <w:style w:type="paragraph" w:styleId="Heading4">
    <w:name w:val="heading 4"/>
    <w:uiPriority w:val="9"/>
    <w:semiHidden/>
    <w:unhideWhenUsed/>
    <w:qFormat/>
    <w:pPr>
      <w:widowControl/>
      <w:bidi w:val="0"/>
      <w:spacing w:before="0" w:after="0"/>
      <w:jc w:val="start"/>
      <w:outlineLvl w:val="3"/>
    </w:pPr>
    <w:rPr>
      <w:rFonts w:ascii="Arial" w:hAnsi="Arial" w:eastAsia="Arial" w:cs="Arial"/>
      <w:i/>
      <w:iCs/>
      <w:color w:val="2E74B5"/>
      <w:kern w:val="0"/>
      <w:sz w:val="20"/>
      <w:szCs w:val="20"/>
      <w:lang w:val="fr-FR" w:eastAsia="fr-FR" w:bidi="ar-SA"/>
    </w:rPr>
  </w:style>
  <w:style w:type="paragraph" w:styleId="Heading5">
    <w:name w:val="heading 5"/>
    <w:uiPriority w:val="9"/>
    <w:semiHidden/>
    <w:unhideWhenUsed/>
    <w:qFormat/>
    <w:pPr>
      <w:widowControl/>
      <w:bidi w:val="0"/>
      <w:spacing w:before="0" w:after="0"/>
      <w:jc w:val="start"/>
      <w:outlineLvl w:val="4"/>
    </w:pPr>
    <w:rPr>
      <w:rFonts w:ascii="Arial" w:hAnsi="Arial" w:eastAsia="Arial" w:cs="Arial"/>
      <w:color w:val="2E74B5"/>
      <w:kern w:val="0"/>
      <w:sz w:val="20"/>
      <w:szCs w:val="20"/>
      <w:lang w:val="fr-FR" w:eastAsia="fr-FR" w:bidi="ar-SA"/>
    </w:rPr>
  </w:style>
  <w:style w:type="paragraph" w:styleId="Heading6">
    <w:name w:val="heading 6"/>
    <w:uiPriority w:val="9"/>
    <w:semiHidden/>
    <w:unhideWhenUsed/>
    <w:qFormat/>
    <w:pPr>
      <w:widowControl/>
      <w:bidi w:val="0"/>
      <w:spacing w:before="0" w:after="0"/>
      <w:jc w:val="start"/>
      <w:outlineLvl w:val="5"/>
    </w:pPr>
    <w:rPr>
      <w:rFonts w:ascii="Arial" w:hAnsi="Arial" w:eastAsia="Arial" w:cs="Arial"/>
      <w:color w:val="1F4D78"/>
      <w:kern w:val="0"/>
      <w:sz w:val="20"/>
      <w:szCs w:val="20"/>
      <w:lang w:val="fr-FR" w:eastAsia="fr-FR"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NotedebasdepageCar" w:customStyle="1">
    <w:name w:val="Note de bas de page C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Arial" w:hAnsi="Arial" w:eastAsia="Arial" w:cs="Arial"/>
      <w:color w:val="313A39"/>
      <w:kern w:val="0"/>
      <w:sz w:val="56"/>
      <w:szCs w:val="56"/>
      <w:lang w:val="fr-FR" w:eastAsia="fr-FR" w:bidi="ar-SA"/>
    </w:rPr>
  </w:style>
  <w:style w:type="paragraph" w:styleId="lev1" w:customStyle="1">
    <w:name w:val="Élevé1"/>
    <w:qFormat/>
    <w:pPr>
      <w:widowControl/>
      <w:bidi w:val="0"/>
      <w:spacing w:before="0" w:after="0"/>
      <w:jc w:val="start"/>
    </w:pPr>
    <w:rPr>
      <w:rFonts w:ascii="Arial" w:hAnsi="Arial" w:eastAsia="Arial" w:cs="Arial"/>
      <w:b/>
      <w:bCs/>
      <w:color w:val="313A39"/>
      <w:kern w:val="0"/>
      <w:sz w:val="20"/>
      <w:szCs w:val="20"/>
      <w:lang w:val="fr-FR" w:eastAsia="fr-FR" w:bidi="ar-SA"/>
    </w:rPr>
  </w:style>
  <w:style w:type="paragraph" w:styleId="ListParagraph">
    <w:name w:val="List Paragraph"/>
    <w:qFormat/>
    <w:pPr>
      <w:widowControl/>
      <w:bidi w:val="0"/>
      <w:spacing w:before="0" w:after="0"/>
      <w:jc w:val="start"/>
    </w:pPr>
    <w:rPr>
      <w:rFonts w:ascii="Arial" w:hAnsi="Arial" w:eastAsia="Arial" w:cs="Arial"/>
      <w:color w:val="313A39"/>
      <w:kern w:val="0"/>
      <w:sz w:val="20"/>
      <w:szCs w:val="20"/>
      <w:lang w:val="fr-FR" w:eastAsia="fr-FR" w:bidi="ar-SA"/>
    </w:rPr>
  </w:style>
  <w:style w:type="paragraph" w:styleId="FootnoteText">
    <w:name w:val="footnote text"/>
    <w:link w:val="NotedebasdepageCar"/>
    <w:uiPriority w:val="99"/>
    <w:semiHidden/>
    <w:unhideWhenUsed/>
    <w:pPr>
      <w:widowControl/>
      <w:bidi w:val="0"/>
      <w:spacing w:before="0" w:after="0"/>
      <w:jc w:val="start"/>
    </w:pPr>
    <w:rPr>
      <w:rFonts w:ascii="Arial" w:hAnsi="Arial" w:eastAsia="Arial" w:cs="Arial"/>
      <w:color w:val="313A39"/>
      <w:kern w:val="0"/>
      <w:sz w:val="20"/>
      <w:szCs w:val="20"/>
      <w:lang w:val="fr-FR" w:eastAsia="fr-FR" w:bidi="ar-SA"/>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LibreOffice/25.8.5.2$Linux_X86_64 LibreOffice_project/580$Build-2</Application>
  <AppVersion>15.0000</AppVersion>
  <Pages>7</Pages>
  <Words>3402</Words>
  <Characters>18331</Characters>
  <CharactersWithSpaces>21671</CharactersWithSpaces>
  <Paragraphs>158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2026-02-27T09:58:00Z</dcterms:created>
  <dc:creator>Un-named</dc:creator>
  <dc:description/>
  <dc:language>fr-FR</dc:language>
  <cp:lastModifiedBy/>
  <dcterms:modified xsi:type="dcterms:W3CDTF">2026-04-02T12:14:20Z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