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347E" w14:textId="77777777" w:rsidR="00242B95" w:rsidRDefault="00000000">
      <w:pPr>
        <w:pStyle w:val="Heading1"/>
      </w:pPr>
      <w:r>
        <w:t>Second Semester — System Extension and Implementation</w:t>
      </w:r>
    </w:p>
    <w:p w14:paraId="38DE1E9B" w14:textId="5B185B7A" w:rsidR="00242B95" w:rsidRDefault="00000000" w:rsidP="00F0209E">
      <w:pPr>
        <w:pStyle w:val="Heading2"/>
      </w:pPr>
      <w:r>
        <w:t>1. Introduction and motivation</w:t>
      </w:r>
    </w:p>
    <w:p w14:paraId="3C48EB63" w14:textId="77777777" w:rsidR="00242B95" w:rsidRDefault="00000000">
      <w:pPr>
        <w:pStyle w:val="Heading3"/>
      </w:pPr>
      <w:r>
        <w:t>1.1 Why a second-semester extension?</w:t>
      </w:r>
    </w:p>
    <w:p w14:paraId="547B0EF4" w14:textId="77777777" w:rsidR="00242B95" w:rsidRDefault="00000000">
      <w:r>
        <w:t xml:space="preserve">The first semester proved that a </w:t>
      </w:r>
      <w:r>
        <w:rPr>
          <w:b/>
        </w:rPr>
        <w:t>data-driven</w:t>
      </w:r>
      <w:r>
        <w:t xml:space="preserve"> approach could estimate steel waste from project attributes. Concretely, the group produced:</w:t>
      </w:r>
    </w:p>
    <w:p w14:paraId="0FF98641" w14:textId="77777777" w:rsidR="00242B95" w:rsidRDefault="00000000">
      <w:pPr>
        <w:pStyle w:val="ListBullet"/>
      </w:pPr>
      <w:r>
        <w:t xml:space="preserve">A </w:t>
      </w:r>
      <w:r>
        <w:rPr>
          <w:b/>
        </w:rPr>
        <w:t>literature-grounded synthetic dataset</w:t>
      </w:r>
      <w:r>
        <w:t xml:space="preserve"> and generator code (</w:t>
      </w:r>
      <w:r>
        <w:rPr>
          <w:rFonts w:ascii="Courier New" w:hAnsi="Courier New"/>
          <w:sz w:val="20"/>
        </w:rPr>
        <w:t>synthetic_data_generator.py</w:t>
      </w:r>
      <w:r>
        <w:t>).</w:t>
      </w:r>
    </w:p>
    <w:p w14:paraId="72A01665" w14:textId="77777777" w:rsidR="00242B95" w:rsidRDefault="00000000">
      <w:pPr>
        <w:pStyle w:val="ListBullet"/>
      </w:pPr>
      <w:r>
        <w:t xml:space="preserve">A </w:t>
      </w:r>
      <w:r>
        <w:rPr>
          <w:b/>
        </w:rPr>
        <w:t>multi-model comparison</w:t>
      </w:r>
      <w:r>
        <w:t xml:space="preserve"> with cross-validation and a held-out test split.</w:t>
      </w:r>
    </w:p>
    <w:p w14:paraId="02881608" w14:textId="77777777" w:rsidR="00242B95" w:rsidRDefault="00000000">
      <w:pPr>
        <w:pStyle w:val="ListBullet"/>
      </w:pPr>
      <w:r>
        <w:t xml:space="preserve">A </w:t>
      </w:r>
      <w:r>
        <w:rPr>
          <w:b/>
        </w:rPr>
        <w:t>selected regressor</w:t>
      </w:r>
      <w:r>
        <w:t xml:space="preserve"> (Gradient Boosting under the preliminary evaluation protocol).</w:t>
      </w:r>
    </w:p>
    <w:p w14:paraId="39C1F59E" w14:textId="77777777" w:rsidR="00242B95" w:rsidRDefault="00000000">
      <w:pPr>
        <w:pStyle w:val="ListBullet"/>
      </w:pPr>
      <w:r>
        <w:t xml:space="preserve">An </w:t>
      </w:r>
      <w:r>
        <w:rPr>
          <w:b/>
        </w:rPr>
        <w:t>initial web interface</w:t>
      </w:r>
      <w:r>
        <w:t xml:space="preserve"> that exposed predictions to non-programmers.</w:t>
      </w:r>
    </w:p>
    <w:p w14:paraId="60F87787" w14:textId="77777777" w:rsidR="00242B95" w:rsidRDefault="00000000">
      <w:r>
        <w:t xml:space="preserve">Those outcomes answered whether the </w:t>
      </w:r>
      <w:r>
        <w:rPr>
          <w:b/>
        </w:rPr>
        <w:t>prediction problem</w:t>
      </w:r>
      <w:r>
        <w:t xml:space="preserve"> was tractable on synthetic data. They did not yet answer whether the tool would be </w:t>
      </w:r>
      <w:r>
        <w:rPr>
          <w:b/>
        </w:rPr>
        <w:t>trusted</w:t>
      </w:r>
      <w:r>
        <w:t xml:space="preserve">, </w:t>
      </w:r>
      <w:r>
        <w:rPr>
          <w:b/>
        </w:rPr>
        <w:t>interpretable</w:t>
      </w:r>
      <w:r>
        <w:t xml:space="preserve">, and </w:t>
      </w:r>
      <w:r>
        <w:rPr>
          <w:b/>
        </w:rPr>
        <w:t>actionable</w:t>
      </w:r>
      <w:r>
        <w:t xml:space="preserve"> in estimating and tendering workflows, where a naked percentage is rarely enough.</w:t>
      </w:r>
    </w:p>
    <w:p w14:paraId="370E71AD" w14:textId="44ECA128" w:rsidR="00242B95" w:rsidRDefault="00000000">
      <w:r>
        <w:t xml:space="preserve">Experienced engineers and estimators routinely ask </w:t>
      </w:r>
      <w:r>
        <w:rPr>
          <w:b/>
        </w:rPr>
        <w:t>why</w:t>
      </w:r>
      <w:r>
        <w:t xml:space="preserve"> a forecast took a given value, whether the case lies </w:t>
      </w:r>
      <w:r>
        <w:rPr>
          <w:b/>
        </w:rPr>
        <w:t>inside or outside</w:t>
      </w:r>
      <w:r>
        <w:t xml:space="preserve"> the experience reflected in training, and how the result translates into </w:t>
      </w:r>
      <w:r>
        <w:rPr>
          <w:b/>
        </w:rPr>
        <w:t>cash and embodied carbon</w:t>
      </w:r>
      <w:r>
        <w:t xml:space="preserve"> once steel tonnage is known. They also need software that can be </w:t>
      </w:r>
      <w:r>
        <w:rPr>
          <w:b/>
        </w:rPr>
        <w:t>marked</w:t>
      </w:r>
      <w:r>
        <w:t xml:space="preserve">, </w:t>
      </w:r>
      <w:r>
        <w:rPr>
          <w:b/>
        </w:rPr>
        <w:t>demonstrated</w:t>
      </w:r>
      <w:r>
        <w:t xml:space="preserve">, and eventually </w:t>
      </w:r>
      <w:r>
        <w:rPr>
          <w:b/>
        </w:rPr>
        <w:t>hosted</w:t>
      </w:r>
      <w:r>
        <w:t xml:space="preserve"> without requiring every stakeholder to install Python. The written brief for this phase is </w:t>
      </w:r>
      <w:r>
        <w:rPr>
          <w:b/>
        </w:rPr>
        <w:t>`extension`</w:t>
      </w:r>
      <w:r>
        <w:t xml:space="preserve"> (</w:t>
      </w:r>
      <w:r>
        <w:rPr>
          <w:i/>
        </w:rPr>
        <w:t>Deployment and Enhancement of a Data-Driven Steel Waste Prediction System</w:t>
      </w:r>
      <w:r>
        <w:t>). The implementation work concentrated on four themes—</w:t>
      </w:r>
      <w:r>
        <w:rPr>
          <w:b/>
        </w:rPr>
        <w:t>transparent explanations</w:t>
      </w:r>
      <w:r>
        <w:t xml:space="preserve">, </w:t>
      </w:r>
      <w:r>
        <w:rPr>
          <w:b/>
        </w:rPr>
        <w:t>honest reliability signalling</w:t>
      </w:r>
      <w:r>
        <w:t xml:space="preserve">, </w:t>
      </w:r>
      <w:r>
        <w:rPr>
          <w:b/>
        </w:rPr>
        <w:t>cost and CO₂ translation</w:t>
      </w:r>
      <w:r>
        <w:t xml:space="preserve">, and a </w:t>
      </w:r>
      <w:r>
        <w:rPr>
          <w:b/>
        </w:rPr>
        <w:t>maintainable Flask stack with JSON API</w:t>
      </w:r>
      <w:r>
        <w:t xml:space="preserve">—while keeping the same underlying feature set and synthetic training philosophy as semester one. The sections below map each theme to </w:t>
      </w:r>
      <w:r>
        <w:rPr>
          <w:b/>
        </w:rPr>
        <w:t>`model.py`</w:t>
      </w:r>
      <w:r>
        <w:t xml:space="preserve">, </w:t>
      </w:r>
      <w:r>
        <w:rPr>
          <w:b/>
        </w:rPr>
        <w:t>`app.py`</w:t>
      </w:r>
      <w:r>
        <w:t xml:space="preserve">, and the </w:t>
      </w:r>
      <w:r>
        <w:rPr>
          <w:rFonts w:ascii="Courier New" w:hAnsi="Courier New"/>
          <w:sz w:val="20"/>
        </w:rPr>
        <w:t>templates</w:t>
      </w:r>
      <w:proofErr w:type="gramStart"/>
      <w:r>
        <w:rPr>
          <w:rFonts w:ascii="Courier New" w:hAnsi="Courier New"/>
          <w:sz w:val="20"/>
        </w:rPr>
        <w:t>/</w:t>
      </w:r>
      <w:r>
        <w:t xml:space="preserve">  </w:t>
      </w:r>
      <w:r>
        <w:rPr>
          <w:rFonts w:ascii="Courier New" w:hAnsi="Courier New"/>
          <w:sz w:val="20"/>
        </w:rPr>
        <w:t>static</w:t>
      </w:r>
      <w:proofErr w:type="gramEnd"/>
      <w:r>
        <w:rPr>
          <w:rFonts w:ascii="Courier New" w:hAnsi="Courier New"/>
          <w:sz w:val="20"/>
        </w:rPr>
        <w:t>/</w:t>
      </w:r>
      <w:r>
        <w:t xml:space="preserve"> assets so the report text and the submitted repository stay aligned.</w:t>
      </w:r>
    </w:p>
    <w:p w14:paraId="402BC873" w14:textId="77777777" w:rsidR="00242B95" w:rsidRDefault="00000000">
      <w:pPr>
        <w:pStyle w:val="Heading3"/>
      </w:pPr>
      <w:r>
        <w:t>1.2 What we set out to build (high level)</w:t>
      </w:r>
    </w:p>
    <w:p w14:paraId="6AB5AC02" w14:textId="77777777" w:rsidR="00242B95" w:rsidRDefault="00000000">
      <w:r>
        <w:t xml:space="preserve">Semester two was not meant to discard the regression formulation from semester one; it was meant to </w:t>
      </w:r>
      <w:r>
        <w:rPr>
          <w:b/>
        </w:rPr>
        <w:t>wrap</w:t>
      </w:r>
      <w:r>
        <w:t xml:space="preserve"> it in a clearer </w:t>
      </w:r>
      <w:r>
        <w:rPr>
          <w:b/>
        </w:rPr>
        <w:t>decision-support layer</w:t>
      </w:r>
      <w:r>
        <w:t xml:space="preserve">. The table below states the five headline goals in compact form. In prose, the team aimed to keep </w:t>
      </w:r>
      <w:r>
        <w:rPr>
          <w:b/>
        </w:rPr>
        <w:t>waste percentage</w:t>
      </w:r>
      <w:r>
        <w:t xml:space="preserve"> as the model target, add </w:t>
      </w:r>
      <w:r>
        <w:rPr>
          <w:b/>
        </w:rPr>
        <w:t>per-prediction explanations</w:t>
      </w:r>
      <w:r>
        <w:t xml:space="preserve"> (SHAP when possible, otherwise feature importance), warn users when inputs sit in </w:t>
      </w:r>
      <w:r>
        <w:rPr>
          <w:b/>
        </w:rPr>
        <w:t>unfamiliar regions</w:t>
      </w:r>
      <w:r>
        <w:t xml:space="preserve"> of feature space, attach </w:t>
      </w:r>
      <w:r>
        <w:rPr>
          <w:b/>
        </w:rPr>
        <w:t>USD and kg CO₂</w:t>
      </w:r>
      <w:r>
        <w:t xml:space="preserve"> using user-supplied total steel mass and documented default factors, and expose the same logic through </w:t>
      </w:r>
      <w:r>
        <w:rPr>
          <w:b/>
        </w:rPr>
        <w:t>HTML pages and `/api/predict`</w:t>
      </w:r>
      <w:r>
        <w:t xml:space="preserve"> so demos and integration tests do not depend on manual form entry alone.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2B95" w:rsidRPr="00F0209E" w14:paraId="1209C00A" w14:textId="77777777">
        <w:tc>
          <w:tcPr>
            <w:tcW w:w="4320" w:type="dxa"/>
          </w:tcPr>
          <w:p w14:paraId="5694A676" w14:textId="77777777" w:rsidR="00242B95" w:rsidRPr="00F0209E" w:rsidRDefault="00000000" w:rsidP="00F0209E">
            <w:pPr>
              <w:jc w:val="center"/>
              <w:rPr>
                <w:b/>
                <w:bCs/>
              </w:rPr>
            </w:pPr>
            <w:r w:rsidRPr="00F0209E">
              <w:rPr>
                <w:b/>
                <w:bCs/>
              </w:rPr>
              <w:t>Goal</w:t>
            </w:r>
          </w:p>
        </w:tc>
        <w:tc>
          <w:tcPr>
            <w:tcW w:w="4320" w:type="dxa"/>
          </w:tcPr>
          <w:p w14:paraId="1FC2DFA0" w14:textId="77777777" w:rsidR="00242B95" w:rsidRPr="00F0209E" w:rsidRDefault="00000000" w:rsidP="00F0209E">
            <w:pPr>
              <w:jc w:val="center"/>
              <w:rPr>
                <w:b/>
                <w:bCs/>
              </w:rPr>
            </w:pPr>
            <w:r w:rsidRPr="00F0209E">
              <w:rPr>
                <w:b/>
                <w:bCs/>
              </w:rPr>
              <w:t>Idea</w:t>
            </w:r>
          </w:p>
        </w:tc>
      </w:tr>
      <w:tr w:rsidR="00242B95" w14:paraId="30AC8861" w14:textId="77777777">
        <w:tc>
          <w:tcPr>
            <w:tcW w:w="4320" w:type="dxa"/>
          </w:tcPr>
          <w:p w14:paraId="1B18FAFB" w14:textId="77777777" w:rsidR="00242B95" w:rsidRDefault="00000000">
            <w:r>
              <w:lastRenderedPageBreak/>
              <w:t>Transparency</w:t>
            </w:r>
          </w:p>
        </w:tc>
        <w:tc>
          <w:tcPr>
            <w:tcW w:w="4320" w:type="dxa"/>
          </w:tcPr>
          <w:p w14:paraId="28611D44" w14:textId="77777777" w:rsidR="00242B95" w:rsidRDefault="00000000">
            <w:r>
              <w:t>Show which inputs push the prediction up or down for the case at hand.</w:t>
            </w:r>
          </w:p>
        </w:tc>
      </w:tr>
      <w:tr w:rsidR="00242B95" w14:paraId="50F7071A" w14:textId="77777777">
        <w:tc>
          <w:tcPr>
            <w:tcW w:w="4320" w:type="dxa"/>
          </w:tcPr>
          <w:p w14:paraId="65F8C06F" w14:textId="77777777" w:rsidR="00242B95" w:rsidRDefault="00000000">
            <w:r>
              <w:t>Accountability</w:t>
            </w:r>
          </w:p>
        </w:tc>
        <w:tc>
          <w:tcPr>
            <w:tcW w:w="4320" w:type="dxa"/>
          </w:tcPr>
          <w:p w14:paraId="12FB624E" w14:textId="77777777" w:rsidR="00242B95" w:rsidRDefault="00000000">
            <w:r>
              <w:t>Indicate whether the case resembles the data the model learned from.</w:t>
            </w:r>
          </w:p>
        </w:tc>
      </w:tr>
      <w:tr w:rsidR="00242B95" w14:paraId="6CB189CE" w14:textId="77777777">
        <w:tc>
          <w:tcPr>
            <w:tcW w:w="4320" w:type="dxa"/>
          </w:tcPr>
          <w:p w14:paraId="2FD85633" w14:textId="77777777" w:rsidR="00242B95" w:rsidRDefault="00000000">
            <w:r>
              <w:t>Impact</w:t>
            </w:r>
          </w:p>
        </w:tc>
        <w:tc>
          <w:tcPr>
            <w:tcW w:w="4320" w:type="dxa"/>
          </w:tcPr>
          <w:p w14:paraId="196FAFA2" w14:textId="77777777" w:rsidR="00242B95" w:rsidRDefault="00000000">
            <w:r>
              <w:t>Translate % waste into money and emissions using user-supplied tonnage.</w:t>
            </w:r>
          </w:p>
        </w:tc>
      </w:tr>
      <w:tr w:rsidR="00242B95" w14:paraId="7D4AC4A7" w14:textId="77777777">
        <w:tc>
          <w:tcPr>
            <w:tcW w:w="4320" w:type="dxa"/>
          </w:tcPr>
          <w:p w14:paraId="72008743" w14:textId="77777777" w:rsidR="00242B95" w:rsidRDefault="00000000">
            <w:r>
              <w:t>Access</w:t>
            </w:r>
          </w:p>
        </w:tc>
        <w:tc>
          <w:tcPr>
            <w:tcW w:w="4320" w:type="dxa"/>
          </w:tcPr>
          <w:p w14:paraId="1952170B" w14:textId="77777777" w:rsidR="00242B95" w:rsidRDefault="00000000">
            <w:r>
              <w:t>One web UI plus a JSON API implementing the same pipeline.</w:t>
            </w:r>
          </w:p>
        </w:tc>
      </w:tr>
      <w:tr w:rsidR="00242B95" w14:paraId="59BFF5C2" w14:textId="77777777">
        <w:tc>
          <w:tcPr>
            <w:tcW w:w="4320" w:type="dxa"/>
          </w:tcPr>
          <w:p w14:paraId="38673BB2" w14:textId="77777777" w:rsidR="00242B95" w:rsidRDefault="00000000">
            <w:r>
              <w:t>Deployability</w:t>
            </w:r>
          </w:p>
        </w:tc>
        <w:tc>
          <w:tcPr>
            <w:tcW w:w="4320" w:type="dxa"/>
          </w:tcPr>
          <w:p w14:paraId="6B69ED42" w14:textId="77777777" w:rsidR="00242B95" w:rsidRDefault="00000000">
            <w:r>
              <w:t>Flask application suitable for lab or cloud hosting.</w:t>
            </w:r>
          </w:p>
        </w:tc>
      </w:tr>
    </w:tbl>
    <w:p w14:paraId="34440C30" w14:textId="77777777" w:rsidR="00242B95" w:rsidRDefault="00242B95"/>
    <w:p w14:paraId="319458D1" w14:textId="77777777" w:rsidR="00242B95" w:rsidRDefault="00000000">
      <w:r>
        <w:t>Later sections unpack each column of that table with alternating explanation and lists, then tie the behaviour to specific functions and routes in the codebase.</w:t>
      </w:r>
    </w:p>
    <w:p w14:paraId="2320196D" w14:textId="77777777" w:rsidR="00242B95" w:rsidRDefault="00000000">
      <w:pPr>
        <w:pStyle w:val="Heading2"/>
      </w:pPr>
      <w:r>
        <w:t>2. System architecture — how the pieces connect</w:t>
      </w:r>
    </w:p>
    <w:p w14:paraId="217C39B9" w14:textId="77777777" w:rsidR="00242B95" w:rsidRDefault="00000000">
      <w:pPr>
        <w:pStyle w:val="Heading3"/>
      </w:pPr>
      <w:r>
        <w:t>2.1 End-to-end flow</w:t>
      </w:r>
    </w:p>
    <w:p w14:paraId="35BF40DB" w14:textId="77777777" w:rsidR="00242B95" w:rsidRDefault="00000000">
      <w:r>
        <w:t xml:space="preserve">Industrial machine-learning systems usually </w:t>
      </w:r>
      <w:r>
        <w:rPr>
          <w:b/>
        </w:rPr>
        <w:t>separate training from serving</w:t>
      </w:r>
      <w:r>
        <w:t xml:space="preserve"> so that interactive use stays fast and the trained artefact is </w:t>
      </w:r>
      <w:r>
        <w:rPr>
          <w:b/>
        </w:rPr>
        <w:t>versioned</w:t>
      </w:r>
      <w:r>
        <w:t>. This project follows the same idea: batch jobs create data and a pickle; the web process only loads and runs inference.</w:t>
      </w:r>
    </w:p>
    <w:p w14:paraId="0527D273" w14:textId="77777777" w:rsidR="00242B95" w:rsidRDefault="00000000">
      <w:pPr>
        <w:pStyle w:val="ListBullet"/>
      </w:pPr>
      <w:r>
        <w:rPr>
          <w:b/>
        </w:rPr>
        <w:t>Data generation</w:t>
      </w:r>
      <w:r>
        <w:t xml:space="preserve"> — </w:t>
      </w:r>
      <w:r>
        <w:rPr>
          <w:rFonts w:ascii="Courier New" w:hAnsi="Courier New"/>
          <w:sz w:val="20"/>
        </w:rPr>
        <w:t>generate_train_test_data.py</w:t>
      </w:r>
      <w:r>
        <w:t xml:space="preserve"> drives </w:t>
      </w:r>
      <w:r>
        <w:rPr>
          <w:rFonts w:ascii="Courier New" w:hAnsi="Courier New"/>
          <w:sz w:val="20"/>
        </w:rPr>
        <w:t>SteelWasteDataGenerator</w:t>
      </w:r>
      <w:r>
        <w:t xml:space="preserve">, writes </w:t>
      </w:r>
      <w:r>
        <w:rPr>
          <w:rFonts w:ascii="Courier New" w:hAnsi="Courier New"/>
          <w:sz w:val="20"/>
        </w:rPr>
        <w:t>train_data.csv</w:t>
      </w:r>
      <w:r>
        <w:t xml:space="preserve"> / </w:t>
      </w:r>
      <w:r>
        <w:rPr>
          <w:rFonts w:ascii="Courier New" w:hAnsi="Courier New"/>
          <w:sz w:val="20"/>
        </w:rPr>
        <w:t>test_data.csv</w:t>
      </w:r>
      <w:r>
        <w:t xml:space="preserve"> (default </w:t>
      </w:r>
      <w:r>
        <w:rPr>
          <w:b/>
        </w:rPr>
        <w:t>80/20</w:t>
      </w:r>
      <w:r>
        <w:t xml:space="preserve"> split, fixed seed), plus </w:t>
      </w:r>
      <w:r>
        <w:rPr>
          <w:rFonts w:ascii="Courier New" w:hAnsi="Courier New"/>
          <w:sz w:val="20"/>
        </w:rPr>
        <w:t>full_dataset.csv</w:t>
      </w:r>
      <w:r>
        <w:t xml:space="preserve"> for checks.</w:t>
      </w:r>
    </w:p>
    <w:p w14:paraId="63C144CA" w14:textId="77777777" w:rsidR="00242B95" w:rsidRDefault="00000000">
      <w:pPr>
        <w:pStyle w:val="ListBullet"/>
      </w:pPr>
      <w:r>
        <w:rPr>
          <w:b/>
        </w:rPr>
        <w:t>Model development</w:t>
      </w:r>
      <w:r>
        <w:t xml:space="preserve"> — </w:t>
      </w:r>
      <w:r>
        <w:rPr>
          <w:rFonts w:ascii="Courier New" w:hAnsi="Courier New"/>
          <w:sz w:val="20"/>
        </w:rPr>
        <w:t>ModelComparison</w:t>
      </w:r>
      <w:r>
        <w:t xml:space="preserve"> in </w:t>
      </w:r>
      <w:r>
        <w:rPr>
          <w:rFonts w:ascii="Courier New" w:hAnsi="Courier New"/>
          <w:sz w:val="20"/>
        </w:rPr>
        <w:t>model.py</w:t>
      </w:r>
      <w:r>
        <w:t xml:space="preserve"> fits encoders and scaler, compares </w:t>
      </w:r>
      <w:r>
        <w:rPr>
          <w:b/>
        </w:rPr>
        <w:t>ten</w:t>
      </w:r>
      <w:r>
        <w:t xml:space="preserve"> regressors, serialises the </w:t>
      </w:r>
      <w:r>
        <w:rPr>
          <w:b/>
        </w:rPr>
        <w:t>best</w:t>
      </w:r>
      <w:r>
        <w:t xml:space="preserve"> model with </w:t>
      </w:r>
      <w:r>
        <w:rPr>
          <w:b/>
        </w:rPr>
        <w:t>`X_train_scaled`</w:t>
      </w:r>
      <w:r>
        <w:t xml:space="preserve"> to </w:t>
      </w:r>
      <w:r>
        <w:rPr>
          <w:rFonts w:ascii="Courier New" w:hAnsi="Courier New"/>
          <w:sz w:val="20"/>
        </w:rPr>
        <w:t>models/best_steel_waste_model.pkl</w:t>
      </w:r>
      <w:r>
        <w:t>, and can export metrics for report tables.</w:t>
      </w:r>
    </w:p>
    <w:p w14:paraId="0878F05F" w14:textId="77777777" w:rsidR="00242B95" w:rsidRDefault="00000000">
      <w:pPr>
        <w:pStyle w:val="ListBullet"/>
      </w:pPr>
      <w:r>
        <w:rPr>
          <w:b/>
        </w:rPr>
        <w:t>Runtime</w:t>
      </w:r>
      <w:r>
        <w:t xml:space="preserve"> — </w:t>
      </w:r>
      <w:r>
        <w:rPr>
          <w:rFonts w:ascii="Courier New" w:hAnsi="Courier New"/>
          <w:sz w:val="20"/>
        </w:rPr>
        <w:t>app.py</w:t>
      </w:r>
      <w:r>
        <w:t xml:space="preserve"> loads the pickle </w:t>
      </w:r>
      <w:r>
        <w:rPr>
          <w:b/>
        </w:rPr>
        <w:t>once</w:t>
      </w:r>
      <w:r>
        <w:t xml:space="preserve">, builds one-row DataFrames from the form or JSON, and calls </w:t>
      </w:r>
      <w:r>
        <w:rPr>
          <w:b/>
        </w:rPr>
        <w:t>predict</w:t>
      </w:r>
      <w:r>
        <w:t xml:space="preserve">, </w:t>
      </w:r>
      <w:r>
        <w:rPr>
          <w:b/>
        </w:rPr>
        <w:t>explain_prediction</w:t>
      </w:r>
      <w:r>
        <w:t xml:space="preserve">, </w:t>
      </w:r>
      <w:r>
        <w:rPr>
          <w:b/>
        </w:rPr>
        <w:t>calculate_reliability</w:t>
      </w:r>
      <w:r>
        <w:t xml:space="preserve">, and </w:t>
      </w:r>
      <w:r>
        <w:rPr>
          <w:b/>
        </w:rPr>
        <w:t>calculate_cost_co2_impact</w:t>
      </w:r>
      <w:r>
        <w:t xml:space="preserve"> (using </w:t>
      </w:r>
      <w:r>
        <w:rPr>
          <w:b/>
        </w:rPr>
        <w:t>total steel kg</w:t>
      </w:r>
      <w:r>
        <w:t xml:space="preserve"> from the user).</w:t>
      </w:r>
    </w:p>
    <w:p w14:paraId="22AA3113" w14:textId="77777777" w:rsidR="00242B95" w:rsidRDefault="00000000">
      <w:r>
        <w:t xml:space="preserve">Between those stages, </w:t>
      </w:r>
      <w:r>
        <w:rPr>
          <w:b/>
        </w:rPr>
        <w:t>no web server is required</w:t>
      </w:r>
      <w:r>
        <w:t xml:space="preserve"> to regenerate CSVs or retrain. Serving reuses </w:t>
      </w:r>
      <w:r>
        <w:rPr>
          <w:b/>
        </w:rPr>
        <w:t>one</w:t>
      </w:r>
      <w:r>
        <w:t xml:space="preserve"> preprocessing path for the form and the API, which limits training–serving skew. Embedding </w:t>
      </w:r>
      <w:r>
        <w:rPr>
          <w:b/>
        </w:rPr>
        <w:t>`X_train_scaled`</w:t>
      </w:r>
      <w:r>
        <w:t xml:space="preserve"> in the pickle supports </w:t>
      </w:r>
      <w:r>
        <w:rPr>
          <w:b/>
        </w:rPr>
        <w:t>distance-based reliability</w:t>
      </w:r>
      <w:r>
        <w:t xml:space="preserve"> without always copying the full training file to every laptop; older bundles without that array may fall back to reading </w:t>
      </w:r>
      <w:r>
        <w:rPr>
          <w:rFonts w:ascii="Courier New" w:hAnsi="Courier New"/>
          <w:sz w:val="20"/>
        </w:rPr>
        <w:t>train_data.csv</w:t>
      </w:r>
      <w:r>
        <w:t xml:space="preserve"> when the loader allows it.</w:t>
      </w:r>
    </w:p>
    <w:p w14:paraId="76296118" w14:textId="77777777" w:rsidR="00242B95" w:rsidRDefault="00000000">
      <w:pPr>
        <w:pStyle w:val="Heading3"/>
      </w:pPr>
      <w:r>
        <w:t>2.2 Main files and roles</w:t>
      </w:r>
    </w:p>
    <w:p w14:paraId="2C7EC297" w14:textId="77777777" w:rsidR="00242B95" w:rsidRDefault="00000000">
      <w:r>
        <w:t xml:space="preserve">Clean separation between </w:t>
      </w:r>
      <w:r>
        <w:rPr>
          <w:b/>
        </w:rPr>
        <w:t>learning</w:t>
      </w:r>
      <w:r>
        <w:t xml:space="preserve"> and </w:t>
      </w:r>
      <w:r>
        <w:rPr>
          <w:b/>
        </w:rPr>
        <w:t>presentation</w:t>
      </w:r>
      <w:r>
        <w:t xml:space="preserve"> was a design goal: all numerical and sklearn-dependent logic should live where it can be tested without HTTP, and all request parsing should stay thin.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2B95" w14:paraId="48A95EC9" w14:textId="77777777">
        <w:tc>
          <w:tcPr>
            <w:tcW w:w="4320" w:type="dxa"/>
          </w:tcPr>
          <w:p w14:paraId="15FBF1DA" w14:textId="77777777" w:rsidR="00242B95" w:rsidRDefault="00000000">
            <w:r>
              <w:t>File / folder</w:t>
            </w:r>
          </w:p>
        </w:tc>
        <w:tc>
          <w:tcPr>
            <w:tcW w:w="4320" w:type="dxa"/>
          </w:tcPr>
          <w:p w14:paraId="7D79E73F" w14:textId="77777777" w:rsidR="00242B95" w:rsidRDefault="00000000">
            <w:r>
              <w:t>Role</w:t>
            </w:r>
          </w:p>
        </w:tc>
      </w:tr>
      <w:tr w:rsidR="00242B95" w14:paraId="7164B13D" w14:textId="77777777">
        <w:tc>
          <w:tcPr>
            <w:tcW w:w="4320" w:type="dxa"/>
          </w:tcPr>
          <w:p w14:paraId="24A62B73" w14:textId="77777777" w:rsidR="00242B95" w:rsidRDefault="00000000">
            <w:r>
              <w:t>model.py</w:t>
            </w:r>
          </w:p>
        </w:tc>
        <w:tc>
          <w:tcPr>
            <w:tcW w:w="4320" w:type="dxa"/>
          </w:tcPr>
          <w:p w14:paraId="15DD99DF" w14:textId="77777777" w:rsidR="00242B95" w:rsidRDefault="00000000">
            <w:r>
              <w:t xml:space="preserve">Preprocess, train, compare, save/load, </w:t>
            </w:r>
            <w:r>
              <w:lastRenderedPageBreak/>
              <w:t>predict, explain, reliability, cost/CO₂.</w:t>
            </w:r>
          </w:p>
        </w:tc>
      </w:tr>
      <w:tr w:rsidR="00242B95" w14:paraId="2273FEF6" w14:textId="77777777">
        <w:tc>
          <w:tcPr>
            <w:tcW w:w="4320" w:type="dxa"/>
          </w:tcPr>
          <w:p w14:paraId="3EF057F6" w14:textId="77777777" w:rsidR="00242B95" w:rsidRDefault="00000000">
            <w:r>
              <w:lastRenderedPageBreak/>
              <w:t>app.py</w:t>
            </w:r>
          </w:p>
        </w:tc>
        <w:tc>
          <w:tcPr>
            <w:tcW w:w="4320" w:type="dxa"/>
          </w:tcPr>
          <w:p w14:paraId="256B5A4D" w14:textId="77777777" w:rsidR="00242B95" w:rsidRDefault="00000000">
            <w:r>
              <w:t>Routes, form/JSON → DataFrame mapping, templates, /api/predict, errors.</w:t>
            </w:r>
          </w:p>
        </w:tc>
      </w:tr>
      <w:tr w:rsidR="00242B95" w14:paraId="00009AD3" w14:textId="77777777">
        <w:tc>
          <w:tcPr>
            <w:tcW w:w="4320" w:type="dxa"/>
          </w:tcPr>
          <w:p w14:paraId="5708E5AD" w14:textId="77777777" w:rsidR="00242B95" w:rsidRDefault="00000000">
            <w:r>
              <w:t>templates/*.html</w:t>
            </w:r>
          </w:p>
        </w:tc>
        <w:tc>
          <w:tcPr>
            <w:tcW w:w="4320" w:type="dxa"/>
          </w:tcPr>
          <w:p w14:paraId="0B60148A" w14:textId="77777777" w:rsidR="00242B95" w:rsidRDefault="00000000">
            <w:r>
              <w:t>Jinja2 pages: landing, predict, about, features, base layout.</w:t>
            </w:r>
          </w:p>
        </w:tc>
      </w:tr>
      <w:tr w:rsidR="00242B95" w14:paraId="4C39483C" w14:textId="77777777">
        <w:tc>
          <w:tcPr>
            <w:tcW w:w="4320" w:type="dxa"/>
          </w:tcPr>
          <w:p w14:paraId="324035F8" w14:textId="77777777" w:rsidR="00242B95" w:rsidRDefault="00000000">
            <w:r>
              <w:t>static/css, static/js</w:t>
            </w:r>
          </w:p>
        </w:tc>
        <w:tc>
          <w:tcPr>
            <w:tcW w:w="4320" w:type="dxa"/>
          </w:tcPr>
          <w:p w14:paraId="6463301A" w14:textId="77777777" w:rsidR="00242B95" w:rsidRDefault="00000000">
            <w:r>
              <w:t>Styling and minor client behaviour; no duplicate model maths.</w:t>
            </w:r>
          </w:p>
        </w:tc>
      </w:tr>
      <w:tr w:rsidR="00242B95" w14:paraId="2FAB838C" w14:textId="77777777">
        <w:tc>
          <w:tcPr>
            <w:tcW w:w="4320" w:type="dxa"/>
          </w:tcPr>
          <w:p w14:paraId="4C950A20" w14:textId="77777777" w:rsidR="00242B95" w:rsidRDefault="00000000">
            <w:r>
              <w:t>requirements.txt</w:t>
            </w:r>
          </w:p>
        </w:tc>
        <w:tc>
          <w:tcPr>
            <w:tcW w:w="4320" w:type="dxa"/>
          </w:tcPr>
          <w:p w14:paraId="0CB24FC9" w14:textId="77777777" w:rsidR="00242B95" w:rsidRDefault="00000000">
            <w:r>
              <w:t>Pinned stack: Flask, pandas, numpy, sklearn, xgboost, shap, joblib.</w:t>
            </w:r>
          </w:p>
        </w:tc>
      </w:tr>
    </w:tbl>
    <w:p w14:paraId="61E26E2B" w14:textId="77777777" w:rsidR="00242B95" w:rsidRDefault="00242B95"/>
    <w:p w14:paraId="46A95F6E" w14:textId="77777777" w:rsidR="00242B95" w:rsidRDefault="00000000">
      <w:r>
        <w:t xml:space="preserve">That layout means a future </w:t>
      </w:r>
      <w:r>
        <w:rPr>
          <w:b/>
        </w:rPr>
        <w:t>retrain</w:t>
      </w:r>
      <w:r>
        <w:t xml:space="preserve"> after real project data arrives is mostly a </w:t>
      </w:r>
      <w:r>
        <w:rPr>
          <w:b/>
        </w:rPr>
        <w:t>`model.py`</w:t>
      </w:r>
      <w:r>
        <w:t xml:space="preserve"> run and a new pickle; the Flask templates and routes can stay stable while metrics and comparisons are updated in the written report.</w:t>
      </w:r>
    </w:p>
    <w:p w14:paraId="6ABEE9CE" w14:textId="77777777" w:rsidR="00242B95" w:rsidRDefault="00000000">
      <w:pPr>
        <w:pStyle w:val="Heading2"/>
      </w:pPr>
      <w:r>
        <w:t>3. Preprocessing and prediction — how the model sees inputs</w:t>
      </w:r>
    </w:p>
    <w:p w14:paraId="391C84CA" w14:textId="77777777" w:rsidR="00242B95" w:rsidRDefault="00000000">
      <w:pPr>
        <w:pStyle w:val="Heading3"/>
      </w:pPr>
      <w:r>
        <w:t>3.1 Why encode and scale?</w:t>
      </w:r>
    </w:p>
    <w:p w14:paraId="161F0404" w14:textId="77777777" w:rsidR="00242B95" w:rsidRDefault="00000000">
      <w:r>
        <w:t xml:space="preserve">Categorical fields such as stock-length policy, contract type, and construction phase are </w:t>
      </w:r>
      <w:r>
        <w:rPr>
          <w:b/>
        </w:rPr>
        <w:t>label-encoded</w:t>
      </w:r>
      <w:r>
        <w:t xml:space="preserve"> into integers. Encoders are </w:t>
      </w:r>
      <w:r>
        <w:rPr>
          <w:b/>
        </w:rPr>
        <w:t>fitted on the training split only</w:t>
      </w:r>
      <w:r>
        <w:t xml:space="preserve">, so test rows and live predictions use the </w:t>
      </w:r>
      <w:r>
        <w:rPr>
          <w:b/>
        </w:rPr>
        <w:t>same</w:t>
      </w:r>
      <w:r>
        <w:t xml:space="preserve"> category codes and common </w:t>
      </w:r>
      <w:r>
        <w:rPr>
          <w:b/>
        </w:rPr>
        <w:t>label leakage</w:t>
      </w:r>
      <w:r>
        <w:t xml:space="preserve"> from the full population is avoided. Numeric columns are then passed through </w:t>
      </w:r>
      <w:r>
        <w:rPr>
          <w:b/>
        </w:rPr>
        <w:t>`StandardScaler`</w:t>
      </w:r>
      <w:r>
        <w:t xml:space="preserve"> fit on training: subtract training mean, divide by training standard deviation. That matters both for algorithms whose behaviour depends on relative magnitudes and for </w:t>
      </w:r>
      <w:r>
        <w:rPr>
          <w:b/>
        </w:rPr>
        <w:t>reliability</w:t>
      </w:r>
      <w:r>
        <w:t xml:space="preserve">, which measures distances in the </w:t>
      </w:r>
      <w:r>
        <w:rPr>
          <w:b/>
        </w:rPr>
        <w:t>scaled</w:t>
      </w:r>
      <w:r>
        <w:t xml:space="preserve"> space—without scaling, a large-range variable such as reinforcement ratio would drown out others in the neighbour calculation.</w:t>
      </w:r>
    </w:p>
    <w:p w14:paraId="3EE9BDA2" w14:textId="77777777" w:rsidR="00242B95" w:rsidRDefault="00000000">
      <w:r>
        <w:t xml:space="preserve">All of that is centralised in </w:t>
      </w:r>
      <w:r>
        <w:rPr>
          <w:b/>
        </w:rPr>
        <w:t>`ModelComparison.prepare_features()`</w:t>
      </w:r>
      <w:r>
        <w:t xml:space="preserve">. The </w:t>
      </w:r>
      <w:r>
        <w:rPr>
          <w:b/>
        </w:rPr>
        <w:t>`is_training`</w:t>
      </w:r>
      <w:r>
        <w:t xml:space="preserve"> flag distinguishes </w:t>
      </w:r>
      <w:r>
        <w:rPr>
          <w:b/>
        </w:rPr>
        <w:t>fit</w:t>
      </w:r>
      <w:r>
        <w:t xml:space="preserve"> from </w:t>
      </w:r>
      <w:r>
        <w:rPr>
          <w:b/>
        </w:rPr>
        <w:t>transform</w:t>
      </w:r>
      <w:r>
        <w:t xml:space="preserve">. One implementation path feeds batch evaluation on </w:t>
      </w:r>
      <w:r>
        <w:rPr>
          <w:rFonts w:ascii="Courier New" w:hAnsi="Courier New"/>
          <w:sz w:val="20"/>
        </w:rPr>
        <w:t>test_data.csv</w:t>
      </w:r>
      <w:r>
        <w:t xml:space="preserve">, the browser form, and </w:t>
      </w:r>
      <w:r>
        <w:rPr>
          <w:b/>
        </w:rPr>
        <w:t>`/api/predict`</w:t>
      </w:r>
      <w:r>
        <w:t>, which keeps behaviour consistent across entry points.</w:t>
      </w:r>
    </w:p>
    <w:p w14:paraId="281CC1D3" w14:textId="77777777" w:rsidR="00242B95" w:rsidRDefault="00000000">
      <w:pPr>
        <w:pStyle w:val="Heading3"/>
      </w:pPr>
      <w:r>
        <w:t>3.2 Feature set (what enters the model)</w:t>
      </w:r>
    </w:p>
    <w:p w14:paraId="72448A8D" w14:textId="77777777" w:rsidR="00242B95" w:rsidRDefault="00000000">
      <w:r>
        <w:t xml:space="preserve">The regressor reads </w:t>
      </w:r>
      <w:r>
        <w:rPr>
          <w:b/>
        </w:rPr>
        <w:t>fifteen</w:t>
      </w:r>
      <w:r>
        <w:t xml:space="preserve"> columns aligned with </w:t>
      </w:r>
      <w:r>
        <w:rPr>
          <w:rFonts w:ascii="Courier New" w:hAnsi="Courier New"/>
          <w:sz w:val="20"/>
        </w:rPr>
        <w:t>train_data.csv</w:t>
      </w:r>
      <w:r>
        <w:t xml:space="preserve"> (ratios, counts, management indices, procurement fields, encoded categoricals). Three special cases matter for readers of the report:</w:t>
      </w:r>
    </w:p>
    <w:p w14:paraId="4A842754" w14:textId="77777777" w:rsidR="00242B95" w:rsidRDefault="00000000">
      <w:pPr>
        <w:pStyle w:val="ListBullet"/>
      </w:pPr>
      <w:r>
        <w:rPr>
          <w:b/>
        </w:rPr>
        <w:t>`project_id`</w:t>
      </w:r>
      <w:r>
        <w:t xml:space="preserve"> — carried for traceability, </w:t>
      </w:r>
      <w:r>
        <w:rPr>
          <w:b/>
        </w:rPr>
        <w:t>dropped</w:t>
      </w:r>
      <w:r>
        <w:t xml:space="preserve"> from the feature matrix.</w:t>
      </w:r>
    </w:p>
    <w:p w14:paraId="4AE58EC4" w14:textId="77777777" w:rsidR="00242B95" w:rsidRDefault="00000000">
      <w:pPr>
        <w:pStyle w:val="ListBullet"/>
      </w:pPr>
      <w:r>
        <w:rPr>
          <w:b/>
        </w:rPr>
        <w:t>`steel_waste_percentage`</w:t>
      </w:r>
      <w:r>
        <w:t xml:space="preserve"> — the </w:t>
      </w:r>
      <w:r>
        <w:rPr>
          <w:b/>
        </w:rPr>
        <w:t>target</w:t>
      </w:r>
      <w:r>
        <w:t xml:space="preserve"> during training; </w:t>
      </w:r>
      <w:r>
        <w:rPr>
          <w:b/>
        </w:rPr>
        <w:t>omitted</w:t>
      </w:r>
      <w:r>
        <w:t xml:space="preserve"> when predicting.</w:t>
      </w:r>
    </w:p>
    <w:p w14:paraId="63A2D975" w14:textId="77777777" w:rsidR="00242B95" w:rsidRDefault="00000000">
      <w:pPr>
        <w:pStyle w:val="ListBullet"/>
      </w:pPr>
      <w:r>
        <w:rPr>
          <w:b/>
        </w:rPr>
        <w:t>`total_steel_kg`</w:t>
      </w:r>
      <w:r>
        <w:t xml:space="preserve"> — entered by the user for </w:t>
      </w:r>
      <w:r>
        <w:rPr>
          <w:b/>
        </w:rPr>
        <w:t>cost/CO₂ only</w:t>
      </w:r>
      <w:r>
        <w:t xml:space="preserve">; </w:t>
      </w:r>
      <w:r>
        <w:rPr>
          <w:b/>
        </w:rPr>
        <w:t>not</w:t>
      </w:r>
      <w:r>
        <w:t xml:space="preserve"> an input to the regressor.</w:t>
      </w:r>
    </w:p>
    <w:p w14:paraId="797D38B0" w14:textId="77777777" w:rsidR="00242B95" w:rsidRDefault="00000000">
      <w:r>
        <w:t xml:space="preserve">Conceptually the model predicts a </w:t>
      </w:r>
      <w:r>
        <w:rPr>
          <w:b/>
        </w:rPr>
        <w:t>rate</w:t>
      </w:r>
      <w:r>
        <w:t xml:space="preserve"> (waste as a share of theoretical steel); mass is an </w:t>
      </w:r>
      <w:r>
        <w:rPr>
          <w:b/>
        </w:rPr>
        <w:t>engineering multiplier</w:t>
      </w:r>
      <w:r>
        <w:t xml:space="preserve"> that turns that rate into </w:t>
      </w:r>
      <w:r>
        <w:rPr>
          <w:b/>
        </w:rPr>
        <w:t>tonnes wasted</w:t>
      </w:r>
      <w:r>
        <w:t xml:space="preserve">, </w:t>
      </w:r>
      <w:r>
        <w:rPr>
          <w:b/>
        </w:rPr>
        <w:t>dollars</w:t>
      </w:r>
      <w:r>
        <w:t xml:space="preserve">, and </w:t>
      </w:r>
      <w:r>
        <w:rPr>
          <w:b/>
        </w:rPr>
        <w:t>kilograms of CO₂</w:t>
      </w:r>
      <w:r>
        <w:t>, matching how estimators often combine allowances with bill-of-quantities steel.</w:t>
      </w:r>
    </w:p>
    <w:p w14:paraId="53F4BA50" w14:textId="77777777" w:rsidR="00242B95" w:rsidRDefault="00000000">
      <w:pPr>
        <w:pStyle w:val="Heading3"/>
      </w:pPr>
      <w:r>
        <w:lastRenderedPageBreak/>
        <w:t>3.3 Making a prediction (code path)</w:t>
      </w:r>
    </w:p>
    <w:p w14:paraId="6E9C6AFF" w14:textId="77777777" w:rsidR="00242B95" w:rsidRDefault="00000000">
      <w:r>
        <w:t xml:space="preserve">The HTTP handler collects fields, builds a Python </w:t>
      </w:r>
      <w:r>
        <w:rPr>
          <w:b/>
        </w:rPr>
        <w:t>dict</w:t>
      </w:r>
      <w:r>
        <w:t xml:space="preserve">, wraps </w:t>
      </w:r>
      <w:r>
        <w:rPr>
          <w:b/>
        </w:rPr>
        <w:t>`pd.DataFrame([data])`</w:t>
      </w:r>
      <w:r>
        <w:t xml:space="preserve">, and calls </w:t>
      </w:r>
      <w:r>
        <w:rPr>
          <w:b/>
        </w:rPr>
        <w:t>`predict`</w:t>
      </w:r>
      <w:r>
        <w:t xml:space="preserve">. Internally </w:t>
      </w:r>
      <w:r>
        <w:rPr>
          <w:b/>
        </w:rPr>
        <w:t>`prepare_features`</w:t>
      </w:r>
      <w:r>
        <w:t xml:space="preserve"> encodes and scales; </w:t>
      </w:r>
      <w:r>
        <w:rPr>
          <w:b/>
        </w:rPr>
        <w:t>`best_model.predict`</w:t>
      </w:r>
      <w:r>
        <w:t xml:space="preserve"> returns a scalar </w:t>
      </w:r>
      <w:r>
        <w:rPr>
          <w:b/>
        </w:rPr>
        <w:t>%</w:t>
      </w:r>
      <w:r>
        <w:t xml:space="preserve">. The </w:t>
      </w:r>
      <w:r>
        <w:rPr>
          <w:b/>
        </w:rPr>
        <w:t>same</w:t>
      </w:r>
      <w:r>
        <w:t xml:space="preserve"> DataFrame is immediately passed to </w:t>
      </w:r>
      <w:r>
        <w:rPr>
          <w:b/>
        </w:rPr>
        <w:t>explain</w:t>
      </w:r>
      <w:r>
        <w:t xml:space="preserve"> and </w:t>
      </w:r>
      <w:r>
        <w:rPr>
          <w:b/>
        </w:rPr>
        <w:t>reliability</w:t>
      </w:r>
      <w:r>
        <w:t xml:space="preserve">, so every panel on the results page refers to </w:t>
      </w:r>
      <w:r>
        <w:rPr>
          <w:b/>
        </w:rPr>
        <w:t>one</w:t>
      </w:r>
      <w:r>
        <w:t xml:space="preserve"> encoded instance—there is no risk of explanation and prediction drifting because of inconsistent preprocessing.</w:t>
      </w:r>
    </w:p>
    <w:p w14:paraId="01C1B3F9" w14:textId="77777777" w:rsidR="00242B95" w:rsidRDefault="00000000">
      <w:r>
        <w:rPr>
          <w:rFonts w:ascii="Courier New" w:hAnsi="Courier New"/>
          <w:sz w:val="18"/>
        </w:rPr>
        <w:t>User submits form → app.py builds dict → pd.DataFrame([data])</w:t>
      </w:r>
      <w:r>
        <w:rPr>
          <w:rFonts w:ascii="Courier New" w:hAnsi="Courier New"/>
          <w:sz w:val="18"/>
        </w:rPr>
        <w:br/>
        <w:t xml:space="preserve">  → comparator.predict(df)</w:t>
      </w:r>
      <w:r>
        <w:rPr>
          <w:rFonts w:ascii="Courier New" w:hAnsi="Courier New"/>
          <w:sz w:val="18"/>
        </w:rPr>
        <w:br/>
        <w:t xml:space="preserve">      → prepare_features(df, is_training=False)</w:t>
      </w:r>
      <w:r>
        <w:rPr>
          <w:rFonts w:ascii="Courier New" w:hAnsi="Courier New"/>
          <w:sz w:val="18"/>
        </w:rPr>
        <w:br/>
        <w:t xml:space="preserve">      → best_model.predict(X)</w:t>
      </w:r>
      <w:r>
        <w:rPr>
          <w:rFonts w:ascii="Courier New" w:hAnsi="Courier New"/>
          <w:sz w:val="18"/>
        </w:rPr>
        <w:br/>
        <w:t xml:space="preserve">  → scalar waste percentage</w:t>
      </w:r>
    </w:p>
    <w:p w14:paraId="7F220A2E" w14:textId="77777777" w:rsidR="00242B95" w:rsidRDefault="00000000">
      <w:r>
        <w:t xml:space="preserve">Using </w:t>
      </w:r>
      <w:r>
        <w:rPr>
          <w:b/>
        </w:rPr>
        <w:t>DataFrames</w:t>
      </w:r>
      <w:r>
        <w:t xml:space="preserve"> consistently also simplifies </w:t>
      </w:r>
      <w:r>
        <w:rPr>
          <w:b/>
        </w:rPr>
        <w:t>regression tests</w:t>
      </w:r>
      <w:r>
        <w:t xml:space="preserve"> and defence demos: the same row shape works in notebooks, in </w:t>
      </w:r>
      <w:r>
        <w:rPr>
          <w:rFonts w:ascii="Courier New" w:hAnsi="Courier New"/>
          <w:sz w:val="20"/>
        </w:rPr>
        <w:t>test_data.csv</w:t>
      </w:r>
      <w:r>
        <w:t xml:space="preserve"> batches, and in JSON from Postman or </w:t>
      </w:r>
      <w:r>
        <w:rPr>
          <w:rFonts w:ascii="Courier New" w:hAnsi="Courier New"/>
          <w:sz w:val="20"/>
        </w:rPr>
        <w:t>curl</w:t>
      </w:r>
      <w:r>
        <w:t>.</w:t>
      </w:r>
    </w:p>
    <w:p w14:paraId="57ED85CA" w14:textId="77777777" w:rsidR="00242B95" w:rsidRDefault="00000000">
      <w:pPr>
        <w:pStyle w:val="Heading2"/>
      </w:pPr>
      <w:r>
        <w:t>4. Model explainability — why and how</w:t>
      </w:r>
    </w:p>
    <w:p w14:paraId="4E32898C" w14:textId="77777777" w:rsidR="00242B95" w:rsidRDefault="00000000">
      <w:pPr>
        <w:pStyle w:val="Heading3"/>
      </w:pPr>
      <w:r>
        <w:t>4.1 Why explain predictions?</w:t>
      </w:r>
    </w:p>
    <w:p w14:paraId="03D3A0AC" w14:textId="77777777" w:rsidR="00242B95" w:rsidRDefault="00000000">
      <w:r>
        <w:t>A percentage on screen without context often fails the “</w:t>
      </w:r>
      <w:r>
        <w:rPr>
          <w:b/>
        </w:rPr>
        <w:t>so what</w:t>
      </w:r>
      <w:r>
        <w:t xml:space="preserve">” test in civil engineering. The extension therefore treated </w:t>
      </w:r>
      <w:r>
        <w:rPr>
          <w:b/>
        </w:rPr>
        <w:t>interpretability</w:t>
      </w:r>
      <w:r>
        <w:t xml:space="preserve"> as part of the product, not an optional extra. The purpose is to support </w:t>
      </w:r>
      <w:r>
        <w:rPr>
          <w:b/>
        </w:rPr>
        <w:t>structured conversation</w:t>
      </w:r>
      <w:r>
        <w:t xml:space="preserve">—for example, whether tighter </w:t>
      </w:r>
      <w:r>
        <w:rPr>
          <w:b/>
        </w:rPr>
        <w:t>supervision</w:t>
      </w:r>
      <w:r>
        <w:t xml:space="preserve">, better </w:t>
      </w:r>
      <w:r>
        <w:rPr>
          <w:b/>
        </w:rPr>
        <w:t>cutting optimisation</w:t>
      </w:r>
      <w:r>
        <w:t xml:space="preserve">, or a stronger </w:t>
      </w:r>
      <w:r>
        <w:rPr>
          <w:b/>
        </w:rPr>
        <w:t>offcut policy</w:t>
      </w:r>
      <w:r>
        <w:t xml:space="preserve"> is associated with lower predicted waste </w:t>
      </w:r>
      <w:r>
        <w:rPr>
          <w:b/>
        </w:rPr>
        <w:t>for the scenario just entered</w:t>
      </w:r>
      <w:r>
        <w:t>—in language that matches how teams already debate design and procurement.</w:t>
      </w:r>
    </w:p>
    <w:p w14:paraId="68C78DAB" w14:textId="77777777" w:rsidR="00242B95" w:rsidRDefault="00000000">
      <w:pPr>
        <w:pStyle w:val="ListBullet"/>
      </w:pPr>
      <w:r>
        <w:t xml:space="preserve">Focus on </w:t>
      </w:r>
      <w:r>
        <w:rPr>
          <w:b/>
        </w:rPr>
        <w:t>this project’s</w:t>
      </w:r>
      <w:r>
        <w:t xml:space="preserve"> top drivers, not only global model statistics when SHAP is active.</w:t>
      </w:r>
    </w:p>
    <w:p w14:paraId="4A92D940" w14:textId="77777777" w:rsidR="00242B95" w:rsidRDefault="00000000">
      <w:pPr>
        <w:pStyle w:val="ListBullet"/>
      </w:pPr>
      <w:r>
        <w:t xml:space="preserve">Show </w:t>
      </w:r>
      <w:r>
        <w:rPr>
          <w:b/>
        </w:rPr>
        <w:t>direction</w:t>
      </w:r>
      <w:r>
        <w:t xml:space="preserve"> (tending to raise or lower waste) as well as </w:t>
      </w:r>
      <w:r>
        <w:rPr>
          <w:b/>
        </w:rPr>
        <w:t>rank</w:t>
      </w:r>
      <w:r>
        <w:t>.</w:t>
      </w:r>
    </w:p>
    <w:p w14:paraId="7EA536F3" w14:textId="77777777" w:rsidR="00242B95" w:rsidRDefault="00000000">
      <w:pPr>
        <w:pStyle w:val="ListBullet"/>
      </w:pPr>
      <w:r>
        <w:t xml:space="preserve">Record </w:t>
      </w:r>
      <w:r>
        <w:rPr>
          <w:b/>
        </w:rPr>
        <w:t>which method</w:t>
      </w:r>
      <w:r>
        <w:t xml:space="preserve"> was used (</w:t>
      </w:r>
      <w:r>
        <w:rPr>
          <w:rFonts w:ascii="Courier New" w:hAnsi="Courier New"/>
          <w:sz w:val="20"/>
        </w:rPr>
        <w:t>SHAP</w:t>
      </w:r>
      <w:r>
        <w:t xml:space="preserve">, </w:t>
      </w:r>
      <w:r>
        <w:rPr>
          <w:rFonts w:ascii="Courier New" w:hAnsi="Courier New"/>
          <w:sz w:val="20"/>
        </w:rPr>
        <w:t>Feature Importance</w:t>
      </w:r>
      <w:r>
        <w:t>, or unavailable) so examiners know what they are looking at.</w:t>
      </w:r>
    </w:p>
    <w:p w14:paraId="233A0C27" w14:textId="77777777" w:rsidR="00242B95" w:rsidRDefault="00000000">
      <w:r>
        <w:t xml:space="preserve">Those three points connect the UI to the extension’s </w:t>
      </w:r>
      <w:r>
        <w:rPr>
          <w:b/>
        </w:rPr>
        <w:t>transparency</w:t>
      </w:r>
      <w:r>
        <w:t xml:space="preserve"> goal without requiring users to read the SHAP literature in full.</w:t>
      </w:r>
    </w:p>
    <w:p w14:paraId="04F10206" w14:textId="77777777" w:rsidR="00242B95" w:rsidRDefault="00000000">
      <w:pPr>
        <w:pStyle w:val="Heading3"/>
      </w:pPr>
      <w:r>
        <w:t>4.2 How SHAP is used (primary path)</w:t>
      </w:r>
    </w:p>
    <w:p w14:paraId="2CE74918" w14:textId="77777777" w:rsidR="00242B95" w:rsidRDefault="00000000">
      <w:r>
        <w:t xml:space="preserve">When </w:t>
      </w:r>
      <w:r>
        <w:rPr>
          <w:b/>
        </w:rPr>
        <w:t>SHAP</w:t>
      </w:r>
      <w:r>
        <w:t xml:space="preserve"> is installed and the explainer builds successfully, </w:t>
      </w:r>
      <w:r>
        <w:rPr>
          <w:b/>
        </w:rPr>
        <w:t>`explain_prediction`</w:t>
      </w:r>
      <w:r>
        <w:t xml:space="preserve"> attributes the model output relative to a baseline using </w:t>
      </w:r>
      <w:r>
        <w:rPr>
          <w:b/>
        </w:rPr>
        <w:t>Shapley values</w:t>
      </w:r>
      <w:r>
        <w:t xml:space="preserve">. Tree ensembles use </w:t>
      </w:r>
      <w:r>
        <w:rPr>
          <w:b/>
        </w:rPr>
        <w:t>TreeExplainer</w:t>
      </w:r>
      <w:r>
        <w:t xml:space="preserve"> for efficiency. Operationally, the </w:t>
      </w:r>
      <w:r>
        <w:rPr>
          <w:b/>
        </w:rPr>
        <w:t>scaled</w:t>
      </w:r>
      <w:r>
        <w:t xml:space="preserve"> feature vector for the request is evaluated, contributions are sorted by </w:t>
      </w:r>
      <w:r>
        <w:rPr>
          <w:b/>
        </w:rPr>
        <w:t>absolute</w:t>
      </w:r>
      <w:r>
        <w:t xml:space="preserve"> value, and the </w:t>
      </w:r>
      <w:r>
        <w:rPr>
          <w:b/>
        </w:rPr>
        <w:t>top five</w:t>
      </w:r>
      <w:r>
        <w:t xml:space="preserve"> are rendered. </w:t>
      </w:r>
      <w:r>
        <w:rPr>
          <w:b/>
        </w:rPr>
        <w:t>Positive</w:t>
      </w:r>
      <w:r>
        <w:t xml:space="preserve"> contributions are described as pushing waste </w:t>
      </w:r>
      <w:r>
        <w:rPr>
          <w:b/>
        </w:rPr>
        <w:t>up</w:t>
      </w:r>
      <w:r>
        <w:t xml:space="preserve"> relative to the baseline; </w:t>
      </w:r>
      <w:r>
        <w:rPr>
          <w:b/>
        </w:rPr>
        <w:t>negative</w:t>
      </w:r>
      <w:r>
        <w:t xml:space="preserve"> as pushing </w:t>
      </w:r>
      <w:r>
        <w:rPr>
          <w:b/>
        </w:rPr>
        <w:t>down</w:t>
      </w:r>
      <w:r>
        <w:t xml:space="preserve">—always as </w:t>
      </w:r>
      <w:r>
        <w:rPr>
          <w:b/>
        </w:rPr>
        <w:t>model-internal</w:t>
      </w:r>
      <w:r>
        <w:t xml:space="preserve"> effects, not as literal “percentage points per bar diameter” in the physical world.</w:t>
      </w:r>
    </w:p>
    <w:p w14:paraId="3FEBD7F0" w14:textId="77777777" w:rsidR="00242B95" w:rsidRDefault="00000000">
      <w:r>
        <w:lastRenderedPageBreak/>
        <w:t xml:space="preserve">Explainers are </w:t>
      </w:r>
      <w:r>
        <w:rPr>
          <w:b/>
        </w:rPr>
        <w:t>reconstructed after load</w:t>
      </w:r>
      <w:r>
        <w:t xml:space="preserve"> rather than stored inside the pickle, to limit file size and version fragility; where a kernel explainer needs a background distribution, a </w:t>
      </w:r>
      <w:r>
        <w:rPr>
          <w:b/>
        </w:rPr>
        <w:t>random subset</w:t>
      </w:r>
      <w:r>
        <w:t xml:space="preserve"> of scaled training rows balances accuracy and startup time.</w:t>
      </w:r>
    </w:p>
    <w:p w14:paraId="55C7F132" w14:textId="77777777" w:rsidR="00242B95" w:rsidRDefault="00000000">
      <w:pPr>
        <w:pStyle w:val="Heading3"/>
      </w:pPr>
      <w:r>
        <w:t>4.3 Fallback — why feature importance?</w:t>
      </w:r>
    </w:p>
    <w:p w14:paraId="727CF14A" w14:textId="77777777" w:rsidR="00242B95" w:rsidRDefault="00000000">
      <w:r>
        <w:t xml:space="preserve">If SHAP is missing or errors at runtime, the service falls back to </w:t>
      </w:r>
      <w:r>
        <w:rPr>
          <w:b/>
        </w:rPr>
        <w:t>tree `feature_importances_`</w:t>
      </w:r>
      <w:r>
        <w:t xml:space="preserve"> when available. That answers a </w:t>
      </w:r>
      <w:r>
        <w:rPr>
          <w:b/>
        </w:rPr>
        <w:t>global</w:t>
      </w:r>
      <w:r>
        <w:t xml:space="preserve"> importance question rather than a full instance-level Shapley decomposition, but it preserves a usable ranked list and avoids a blank panel. The JSON and HTML still expose the </w:t>
      </w:r>
      <w:r>
        <w:rPr>
          <w:b/>
        </w:rPr>
        <w:t>`method`</w:t>
      </w:r>
      <w:r>
        <w:t xml:space="preserve"> field so advanced readers can interpret the difference.</w:t>
      </w:r>
    </w:p>
    <w:p w14:paraId="3E4193D3" w14:textId="77777777" w:rsidR="00242B95" w:rsidRDefault="00000000">
      <w:r>
        <w:rPr>
          <w:rFonts w:ascii="Courier New" w:hAnsi="Courier New"/>
          <w:sz w:val="18"/>
        </w:rPr>
        <w:t># Conceptual structure returned by explain_prediction (not a verbatim copy)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"method": "SHAP" | "Feature Importance" | "Not Available",</w:t>
      </w:r>
      <w:r>
        <w:rPr>
          <w:rFonts w:ascii="Courier New" w:hAnsi="Courier New"/>
          <w:sz w:val="18"/>
        </w:rPr>
        <w:br/>
        <w:t xml:space="preserve">  "top_features": [{"feature": str, "contribution" or "importance": float, "impact": str}, ...],</w:t>
      </w:r>
      <w:r>
        <w:rPr>
          <w:rFonts w:ascii="Courier New" w:hAnsi="Courier New"/>
          <w:sz w:val="18"/>
        </w:rPr>
        <w:br/>
        <w:t xml:space="preserve">  "all_features": { ... }</w:t>
      </w:r>
      <w:r>
        <w:rPr>
          <w:rFonts w:ascii="Courier New" w:hAnsi="Courier New"/>
          <w:sz w:val="18"/>
        </w:rPr>
        <w:br/>
        <w:t>}</w:t>
      </w:r>
    </w:p>
    <w:p w14:paraId="74D0EDBA" w14:textId="77777777" w:rsidR="00242B95" w:rsidRDefault="00000000">
      <w:r>
        <w:rPr>
          <w:b/>
        </w:rPr>
        <w:t>`format_explainability_features()`</w:t>
      </w:r>
      <w:r>
        <w:t xml:space="preserve"> in </w:t>
      </w:r>
      <w:r>
        <w:rPr>
          <w:rFonts w:ascii="Courier New" w:hAnsi="Courier New"/>
          <w:sz w:val="20"/>
        </w:rPr>
        <w:t>app.py</w:t>
      </w:r>
      <w:r>
        <w:t xml:space="preserve"> turns internal column names into short human labels for the list shown after each prediction.</w:t>
      </w:r>
    </w:p>
    <w:p w14:paraId="0E3CDDE0" w14:textId="77777777" w:rsidR="00242B95" w:rsidRDefault="00000000">
      <w:pPr>
        <w:pStyle w:val="Heading2"/>
      </w:pPr>
      <w:r>
        <w:t>5. Prediction reliability — why and how</w:t>
      </w:r>
    </w:p>
    <w:p w14:paraId="5018A407" w14:textId="77777777" w:rsidR="00242B95" w:rsidRDefault="00000000">
      <w:pPr>
        <w:pStyle w:val="Heading3"/>
      </w:pPr>
      <w:r>
        <w:t>5.1 Why a reliability indicator?</w:t>
      </w:r>
    </w:p>
    <w:p w14:paraId="5C598F96" w14:textId="77777777" w:rsidR="00242B95" w:rsidRDefault="00000000">
      <w:r>
        <w:t xml:space="preserve">Any empirical model is only well supported </w:t>
      </w:r>
      <w:r>
        <w:rPr>
          <w:b/>
        </w:rPr>
        <w:t>inside</w:t>
      </w:r>
      <w:r>
        <w:t xml:space="preserve"> the kinds of projects it saw during training. </w:t>
      </w:r>
      <w:r>
        <w:rPr>
          <w:b/>
        </w:rPr>
        <w:t>Interpolation</w:t>
      </w:r>
      <w:r>
        <w:t xml:space="preserve"> near training examples is generally more defensible than </w:t>
      </w:r>
      <w:r>
        <w:rPr>
          <w:b/>
        </w:rPr>
        <w:t>extrapolation</w:t>
      </w:r>
      <w:r>
        <w:t xml:space="preserve"> in corners of attribute space where few or no rows existed, even if the algorithm still returns a number. A reliability indicator cannot replace a full </w:t>
      </w:r>
      <w:r>
        <w:rPr>
          <w:b/>
        </w:rPr>
        <w:t>validation study on real sites</w:t>
      </w:r>
      <w:r>
        <w:t xml:space="preserve">, but it can state honestly that some predictions are </w:t>
      </w:r>
      <w:r>
        <w:rPr>
          <w:b/>
        </w:rPr>
        <w:t>more anchored</w:t>
      </w:r>
      <w:r>
        <w:t xml:space="preserve"> in the training experience than others and can temper overconfidence when users enter extreme combinations.</w:t>
      </w:r>
    </w:p>
    <w:p w14:paraId="72E64EAC" w14:textId="77777777" w:rsidR="00242B95" w:rsidRDefault="00000000">
      <w:pPr>
        <w:pStyle w:val="ListBullet"/>
      </w:pPr>
      <w:r>
        <w:t xml:space="preserve">It </w:t>
      </w:r>
      <w:r>
        <w:rPr>
          <w:b/>
        </w:rPr>
        <w:t>does not</w:t>
      </w:r>
      <w:r>
        <w:t xml:space="preserve"> claim calibrated </w:t>
      </w:r>
      <w:r>
        <w:rPr>
          <w:b/>
        </w:rPr>
        <w:t>probabilities</w:t>
      </w:r>
      <w:r>
        <w:t xml:space="preserve"> of error.</w:t>
      </w:r>
    </w:p>
    <w:p w14:paraId="08650CE1" w14:textId="77777777" w:rsidR="00242B95" w:rsidRDefault="00000000">
      <w:pPr>
        <w:pStyle w:val="ListBullet"/>
      </w:pPr>
      <w:r>
        <w:t xml:space="preserve">It </w:t>
      </w:r>
      <w:r>
        <w:rPr>
          <w:b/>
        </w:rPr>
        <w:t>does</w:t>
      </w:r>
      <w:r>
        <w:t xml:space="preserve"> nudge users toward caution when the feature vector is </w:t>
      </w:r>
      <w:r>
        <w:rPr>
          <w:b/>
        </w:rPr>
        <w:t>far</w:t>
      </w:r>
      <w:r>
        <w:t xml:space="preserve"> from the training cloud.</w:t>
      </w:r>
    </w:p>
    <w:p w14:paraId="27ABD8E6" w14:textId="77777777" w:rsidR="00242B95" w:rsidRDefault="00000000">
      <w:pPr>
        <w:pStyle w:val="ListBullet"/>
      </w:pPr>
      <w:r>
        <w:t xml:space="preserve">It supports the </w:t>
      </w:r>
      <w:r>
        <w:rPr>
          <w:b/>
        </w:rPr>
        <w:t>academic</w:t>
      </w:r>
      <w:r>
        <w:t xml:space="preserve"> expectation that limitations are acknowledged, not hidden.</w:t>
      </w:r>
    </w:p>
    <w:p w14:paraId="06ACBC23" w14:textId="77777777" w:rsidR="00242B95" w:rsidRDefault="00000000">
      <w:r>
        <w:t>Together, those roles align with responsible use of ML in engineering decision support.</w:t>
      </w:r>
    </w:p>
    <w:p w14:paraId="2BBA3041" w14:textId="77777777" w:rsidR="00242B95" w:rsidRDefault="00000000">
      <w:pPr>
        <w:pStyle w:val="Heading3"/>
      </w:pPr>
      <w:r>
        <w:t>5.2 How it is computed</w:t>
      </w:r>
    </w:p>
    <w:p w14:paraId="20DA0788" w14:textId="77777777" w:rsidR="00242B95" w:rsidRDefault="00000000">
      <w:r>
        <w:rPr>
          <w:b/>
        </w:rPr>
        <w:t>`calculate_reliability`</w:t>
      </w:r>
      <w:r>
        <w:t xml:space="preserve"> operates in the </w:t>
      </w:r>
      <w:r>
        <w:rPr>
          <w:b/>
        </w:rPr>
        <w:t>same scaled space</w:t>
      </w:r>
      <w:r>
        <w:t xml:space="preserve"> as </w:t>
      </w:r>
      <w:r>
        <w:rPr>
          <w:b/>
        </w:rPr>
        <w:t>`prepare_features`</w:t>
      </w:r>
      <w:r>
        <w:t>. The logic blends two geometric ideas: proximity to real training points, and typicality of each feature relative to training means and spreads.</w:t>
      </w:r>
    </w:p>
    <w:p w14:paraId="675F9EAE" w14:textId="77777777" w:rsidR="00242B95" w:rsidRDefault="00000000">
      <w:pPr>
        <w:pStyle w:val="ListBullet"/>
      </w:pPr>
      <w:r>
        <w:t xml:space="preserve">Fit </w:t>
      </w:r>
      <w:r>
        <w:rPr>
          <w:b/>
        </w:rPr>
        <w:t>k-nearest neighbours</w:t>
      </w:r>
      <w:r>
        <w:t xml:space="preserve"> (Euclidean) on </w:t>
      </w:r>
      <w:r>
        <w:rPr>
          <w:b/>
        </w:rPr>
        <w:t>`X_train_scaled`</w:t>
      </w:r>
      <w:r>
        <w:t xml:space="preserve"> with </w:t>
      </w:r>
      <w:r>
        <w:rPr>
          <w:b/>
        </w:rPr>
        <w:t>k = min(10, n_train)</w:t>
      </w:r>
      <w:r>
        <w:t xml:space="preserve"> and record mean distance to neighbours.</w:t>
      </w:r>
    </w:p>
    <w:p w14:paraId="5A5774D7" w14:textId="77777777" w:rsidR="00242B95" w:rsidRDefault="00000000">
      <w:pPr>
        <w:pStyle w:val="ListBullet"/>
      </w:pPr>
      <w:r>
        <w:lastRenderedPageBreak/>
        <w:t xml:space="preserve">Compute mean </w:t>
      </w:r>
      <w:r>
        <w:rPr>
          <w:b/>
        </w:rPr>
        <w:t>normalised deviation</w:t>
      </w:r>
      <w:r>
        <w:t xml:space="preserve"> of the input from </w:t>
      </w:r>
      <w:r>
        <w:rPr>
          <w:b/>
        </w:rPr>
        <w:t>training column means</w:t>
      </w:r>
      <w:r>
        <w:t xml:space="preserve"> using training standard deviations.</w:t>
      </w:r>
    </w:p>
    <w:p w14:paraId="682A5111" w14:textId="77777777" w:rsidR="00242B95" w:rsidRDefault="00000000">
      <w:pPr>
        <w:pStyle w:val="ListBullet"/>
      </w:pPr>
      <w:r>
        <w:t xml:space="preserve">Map each component to </w:t>
      </w:r>
      <w:r>
        <w:rPr>
          <w:b/>
        </w:rPr>
        <w:t>[0, 1]</w:t>
      </w:r>
      <w:r>
        <w:t xml:space="preserve"> and combine </w:t>
      </w:r>
      <w:r>
        <w:rPr>
          <w:b/>
        </w:rPr>
        <w:t>60%</w:t>
      </w:r>
      <w:r>
        <w:t xml:space="preserve"> neighbour score </w:t>
      </w:r>
      <w:r>
        <w:rPr>
          <w:b/>
        </w:rPr>
        <w:t>+ 40%</w:t>
      </w:r>
      <w:r>
        <w:t xml:space="preserve"> typicality score into </w:t>
      </w:r>
      <w:r>
        <w:rPr>
          <w:b/>
        </w:rPr>
        <w:t>`reliability_score`</w:t>
      </w:r>
      <w:r>
        <w:t>.</w:t>
      </w:r>
    </w:p>
    <w:p w14:paraId="3A74E7C5" w14:textId="77777777" w:rsidR="00242B95" w:rsidRDefault="00000000">
      <w:pPr>
        <w:pStyle w:val="ListBullet"/>
      </w:pPr>
      <w:r>
        <w:t xml:space="preserve">Assign </w:t>
      </w:r>
      <w:r>
        <w:rPr>
          <w:b/>
        </w:rPr>
        <w:t>high</w:t>
      </w:r>
      <w:r>
        <w:t xml:space="preserve"> (≥ 0.7), </w:t>
      </w:r>
      <w:r>
        <w:rPr>
          <w:b/>
        </w:rPr>
        <w:t>medium</w:t>
      </w:r>
      <w:r>
        <w:t xml:space="preserve"> (≥ 0.4), or </w:t>
      </w:r>
      <w:r>
        <w:rPr>
          <w:b/>
        </w:rPr>
        <w:t>low</w:t>
      </w:r>
      <w:r>
        <w:t xml:space="preserve"> (&lt; 0.4) with short text and colour badges in the UI.</w:t>
      </w:r>
    </w:p>
    <w:p w14:paraId="31EC4E4E" w14:textId="77777777" w:rsidR="00242B95" w:rsidRDefault="00000000">
      <w:r>
        <w:t xml:space="preserve">If </w:t>
      </w:r>
      <w:r>
        <w:rPr>
          <w:b/>
        </w:rPr>
        <w:t>`X_train_scaled`</w:t>
      </w:r>
      <w:r>
        <w:t xml:space="preserve"> is unavailable, the function returns </w:t>
      </w:r>
      <w:r>
        <w:rPr>
          <w:b/>
        </w:rPr>
        <w:t>medium</w:t>
      </w:r>
      <w:r>
        <w:t xml:space="preserve"> reliability with an explicit message so the app keeps running and prompts regeneration of the model bundle. Implementation references: </w:t>
      </w:r>
      <w:r>
        <w:rPr>
          <w:b/>
        </w:rPr>
        <w:t>`calculate_reliability()`</w:t>
      </w:r>
      <w:r>
        <w:t xml:space="preserve"> in </w:t>
      </w:r>
      <w:r>
        <w:rPr>
          <w:rFonts w:ascii="Courier New" w:hAnsi="Courier New"/>
          <w:sz w:val="20"/>
        </w:rPr>
        <w:t>model.py</w:t>
      </w:r>
      <w:r>
        <w:t xml:space="preserve">; colour mapping in </w:t>
      </w:r>
      <w:r>
        <w:rPr>
          <w:rFonts w:ascii="Courier New" w:hAnsi="Courier New"/>
          <w:sz w:val="20"/>
        </w:rPr>
        <w:t>app.py</w:t>
      </w:r>
      <w:r>
        <w:t>.</w:t>
      </w:r>
    </w:p>
    <w:p w14:paraId="5184C2BA" w14:textId="77777777" w:rsidR="00242B95" w:rsidRDefault="00000000">
      <w:pPr>
        <w:pStyle w:val="Heading2"/>
      </w:pPr>
      <w:r>
        <w:t>6. Cost and CO₂ impact — why and how</w:t>
      </w:r>
    </w:p>
    <w:p w14:paraId="6D2F42D8" w14:textId="77777777" w:rsidR="00242B95" w:rsidRDefault="00000000">
      <w:pPr>
        <w:pStyle w:val="Heading3"/>
      </w:pPr>
      <w:r>
        <w:t>6.1 Why add economics and carbon?</w:t>
      </w:r>
    </w:p>
    <w:p w14:paraId="49243A2D" w14:textId="77777777" w:rsidR="00242B95" w:rsidRDefault="00000000">
      <w:r>
        <w:t xml:space="preserve">Waste </w:t>
      </w:r>
      <w:r>
        <w:rPr>
          <w:b/>
        </w:rPr>
        <w:t>percentage</w:t>
      </w:r>
      <w:r>
        <w:t xml:space="preserve"> is useful internally, but boards and clients often ask for </w:t>
      </w:r>
      <w:r>
        <w:rPr>
          <w:b/>
        </w:rPr>
        <w:t>money</w:t>
      </w:r>
      <w:r>
        <w:t xml:space="preserve"> and </w:t>
      </w:r>
      <w:r>
        <w:rPr>
          <w:b/>
        </w:rPr>
        <w:t>carbon</w:t>
      </w:r>
      <w:r>
        <w:t xml:space="preserve">. Folding cost and CO₂ into the same workflow as the prediction reduces </w:t>
      </w:r>
      <w:r>
        <w:rPr>
          <w:b/>
        </w:rPr>
        <w:t>manual transcription</w:t>
      </w:r>
      <w:r>
        <w:t xml:space="preserve"> between tools and keeps the </w:t>
      </w:r>
      <w:r>
        <w:rPr>
          <w:b/>
        </w:rPr>
        <w:t>assumptions</w:t>
      </w:r>
      <w:r>
        <w:t xml:space="preserve"> (price per kg, kg CO₂ per kg steel) in </w:t>
      </w:r>
      <w:r>
        <w:rPr>
          <w:b/>
        </w:rPr>
        <w:t>one versioned place</w:t>
      </w:r>
      <w:r>
        <w:t>—the codebase—rather than in scattered spreadsheets that diverge from the model version.</w:t>
      </w:r>
    </w:p>
    <w:p w14:paraId="0DD8A4CC" w14:textId="77777777" w:rsidR="00242B95" w:rsidRDefault="00000000">
      <w:pPr>
        <w:pStyle w:val="Heading3"/>
      </w:pPr>
      <w:r>
        <w:t>6.2 Formulas (implemented logic)</w:t>
      </w:r>
    </w:p>
    <w:p w14:paraId="4B36CE6C" w14:textId="77777777" w:rsidR="00242B95" w:rsidRDefault="00000000">
      <w:r>
        <w:t xml:space="preserve">The implementation in </w:t>
      </w:r>
      <w:r>
        <w:rPr>
          <w:b/>
        </w:rPr>
        <w:t>`calculate_cost_co2_impact`</w:t>
      </w:r>
      <w:r>
        <w:t xml:space="preserve"> starts from predicted waste </w:t>
      </w:r>
      <w:r>
        <w:rPr>
          <w:b/>
        </w:rPr>
        <w:t>w</w:t>
      </w:r>
      <w:r>
        <w:t xml:space="preserve"> (%) and user </w:t>
      </w:r>
      <w:r>
        <w:rPr>
          <w:b/>
        </w:rPr>
        <w:t>M</w:t>
      </w:r>
      <w:r>
        <w:t xml:space="preserve"> (kg total steel). It computes waste mass, monetises it with a default </w:t>
      </w:r>
      <w:r>
        <w:rPr>
          <w:b/>
        </w:rPr>
        <w:t>USD/kg</w:t>
      </w:r>
      <w:r>
        <w:t xml:space="preserve">, multiplies by a default </w:t>
      </w:r>
      <w:r>
        <w:rPr>
          <w:b/>
        </w:rPr>
        <w:t>CO₂ intensity</w:t>
      </w:r>
      <w:r>
        <w:t xml:space="preserve"> (kg CO₂ per kg steel), and derives an </w:t>
      </w:r>
      <w:r>
        <w:rPr>
          <w:b/>
        </w:rPr>
        <w:t>illustrative savings</w:t>
      </w:r>
      <w:r>
        <w:t xml:space="preserve"> case by assuming waste could be cut to </w:t>
      </w:r>
      <w:r>
        <w:rPr>
          <w:b/>
        </w:rPr>
        <w:t>half</w:t>
      </w:r>
      <w:r>
        <w:t xml:space="preserve"> of </w:t>
      </w:r>
      <w:r>
        <w:rPr>
          <w:b/>
        </w:rPr>
        <w:t>w</w:t>
      </w:r>
      <w:r>
        <w:t xml:space="preserve">—a </w:t>
      </w:r>
      <w:r>
        <w:rPr>
          <w:b/>
        </w:rPr>
        <w:t>communicative</w:t>
      </w:r>
      <w:r>
        <w:t xml:space="preserve"> scenario, not a promise of achievability.</w:t>
      </w:r>
    </w:p>
    <w:p w14:paraId="1099D470" w14:textId="77777777" w:rsidR="00242B95" w:rsidRDefault="00000000">
      <w:pPr>
        <w:pStyle w:val="ListBullet"/>
      </w:pPr>
      <w:r>
        <w:rPr>
          <w:b/>
        </w:rPr>
        <w:t>Waste mass</w:t>
      </w:r>
      <w:r>
        <w:t xml:space="preserve"> \((w/100) \times M\).</w:t>
      </w:r>
    </w:p>
    <w:p w14:paraId="78777FEF" w14:textId="77777777" w:rsidR="00242B95" w:rsidRDefault="00000000">
      <w:pPr>
        <w:pStyle w:val="ListBullet"/>
      </w:pPr>
      <w:r>
        <w:rPr>
          <w:b/>
        </w:rPr>
        <w:t>Waste cost</w:t>
      </w:r>
      <w:r>
        <w:t xml:space="preserve"> = mass × configurable </w:t>
      </w:r>
      <w:r>
        <w:rPr>
          <w:b/>
        </w:rPr>
        <w:t>steel_cost_per_kg</w:t>
      </w:r>
      <w:r>
        <w:t xml:space="preserve"> (default in </w:t>
      </w:r>
      <w:r>
        <w:rPr>
          <w:rFonts w:ascii="Courier New" w:hAnsi="Courier New"/>
          <w:sz w:val="20"/>
        </w:rPr>
        <w:t>model.py</w:t>
      </w:r>
      <w:r>
        <w:t>).</w:t>
      </w:r>
    </w:p>
    <w:p w14:paraId="1B73FD52" w14:textId="77777777" w:rsidR="00242B95" w:rsidRDefault="00000000">
      <w:pPr>
        <w:pStyle w:val="ListBullet"/>
      </w:pPr>
      <w:r>
        <w:rPr>
          <w:b/>
        </w:rPr>
        <w:t>Waste CO₂</w:t>
      </w:r>
      <w:r>
        <w:t xml:space="preserve"> = mass × configurable </w:t>
      </w:r>
      <w:r>
        <w:rPr>
          <w:b/>
        </w:rPr>
        <w:t>co2_per_kg_steel</w:t>
      </w:r>
      <w:r>
        <w:t xml:space="preserve"> (default in </w:t>
      </w:r>
      <w:r>
        <w:rPr>
          <w:rFonts w:ascii="Courier New" w:hAnsi="Courier New"/>
          <w:sz w:val="20"/>
        </w:rPr>
        <w:t>model.py</w:t>
      </w:r>
      <w:r>
        <w:t>).</w:t>
      </w:r>
    </w:p>
    <w:p w14:paraId="4BC9F241" w14:textId="77777777" w:rsidR="00242B95" w:rsidRDefault="00000000">
      <w:pPr>
        <w:pStyle w:val="ListBullet"/>
      </w:pPr>
      <w:r>
        <w:rPr>
          <w:b/>
        </w:rPr>
        <w:t>Savings block</w:t>
      </w:r>
      <w:r>
        <w:t xml:space="preserve"> = delta mass / cost / CO₂ between </w:t>
      </w:r>
      <w:r>
        <w:rPr>
          <w:b/>
        </w:rPr>
        <w:t>w</w:t>
      </w:r>
      <w:r>
        <w:t xml:space="preserve"> and </w:t>
      </w:r>
      <w:r>
        <w:rPr>
          <w:b/>
        </w:rPr>
        <w:t>w/2</w:t>
      </w:r>
      <w:r>
        <w:t>.</w:t>
      </w:r>
    </w:p>
    <w:p w14:paraId="1D5F7BAF" w14:textId="77777777" w:rsidR="00242B95" w:rsidRDefault="00000000">
      <w:r>
        <w:t xml:space="preserve">Defaults are documented in the </w:t>
      </w:r>
      <w:r>
        <w:rPr>
          <w:b/>
        </w:rPr>
        <w:t>docstring</w:t>
      </w:r>
      <w:r>
        <w:t xml:space="preserve"> and should be updated when the team adopts </w:t>
      </w:r>
      <w:r>
        <w:rPr>
          <w:b/>
        </w:rPr>
        <w:t>project-specific</w:t>
      </w:r>
      <w:r>
        <w:t xml:space="preserve"> prices or </w:t>
      </w:r>
      <w:r>
        <w:rPr>
          <w:b/>
        </w:rPr>
        <w:t>verified</w:t>
      </w:r>
      <w:r>
        <w:t xml:space="preserve"> environmental data for rebar. </w:t>
      </w:r>
      <w:r>
        <w:rPr>
          <w:b/>
        </w:rPr>
        <w:t>`total_steel_kg`</w:t>
      </w:r>
      <w:r>
        <w:t xml:space="preserve"> is read from the form or JSON in </w:t>
      </w:r>
      <w:r>
        <w:rPr>
          <w:b/>
        </w:rPr>
        <w:t>`app.py`</w:t>
      </w:r>
      <w:r>
        <w:t>.</w:t>
      </w:r>
    </w:p>
    <w:p w14:paraId="7318BAC5" w14:textId="77777777" w:rsidR="00242B95" w:rsidRDefault="00000000">
      <w:pPr>
        <w:pStyle w:val="Heading2"/>
      </w:pPr>
      <w:r>
        <w:t>7. Web application — routes and user flow</w:t>
      </w:r>
    </w:p>
    <w:p w14:paraId="16C1FB60" w14:textId="77777777" w:rsidR="00242B95" w:rsidRDefault="00000000">
      <w:pPr>
        <w:pStyle w:val="Heading3"/>
      </w:pPr>
      <w:r>
        <w:t>7.1 Pages (GET)</w:t>
      </w:r>
    </w:p>
    <w:p w14:paraId="2AD54341" w14:textId="77777777" w:rsidR="00242B95" w:rsidRDefault="00000000">
      <w:r>
        <w:t xml:space="preserve">The interface uses </w:t>
      </w:r>
      <w:r>
        <w:rPr>
          <w:b/>
        </w:rPr>
        <w:t>server-side rendering</w:t>
      </w:r>
      <w:r>
        <w:t xml:space="preserve"> (Flask + Jinja2): one Python process, templates on disk, and no separate front-end build chain. That choice keeps </w:t>
      </w:r>
      <w:r>
        <w:rPr>
          <w:b/>
        </w:rPr>
        <w:t>all</w:t>
      </w:r>
      <w:r>
        <w:t xml:space="preserve"> prediction and post-processing in one language and makes the project easier to mark in a lab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2B95" w14:paraId="4F5B20AE" w14:textId="77777777">
        <w:tc>
          <w:tcPr>
            <w:tcW w:w="4320" w:type="dxa"/>
          </w:tcPr>
          <w:p w14:paraId="5281E2FD" w14:textId="77777777" w:rsidR="00242B95" w:rsidRDefault="00000000">
            <w:r>
              <w:lastRenderedPageBreak/>
              <w:t>Route</w:t>
            </w:r>
          </w:p>
        </w:tc>
        <w:tc>
          <w:tcPr>
            <w:tcW w:w="4320" w:type="dxa"/>
          </w:tcPr>
          <w:p w14:paraId="5BEDDD99" w14:textId="77777777" w:rsidR="00242B95" w:rsidRDefault="00000000">
            <w:r>
              <w:t>Purpose</w:t>
            </w:r>
          </w:p>
        </w:tc>
      </w:tr>
      <w:tr w:rsidR="00242B95" w14:paraId="6C7CE9B5" w14:textId="77777777">
        <w:tc>
          <w:tcPr>
            <w:tcW w:w="4320" w:type="dxa"/>
          </w:tcPr>
          <w:p w14:paraId="760194D7" w14:textId="77777777" w:rsidR="00242B95" w:rsidRDefault="00000000">
            <w:r>
              <w:t>/</w:t>
            </w:r>
          </w:p>
        </w:tc>
        <w:tc>
          <w:tcPr>
            <w:tcW w:w="4320" w:type="dxa"/>
          </w:tcPr>
          <w:p w14:paraId="35B7EFF2" w14:textId="77777777" w:rsidR="00242B95" w:rsidRDefault="00000000">
            <w:r>
              <w:t>Landing; navigation to prediction.</w:t>
            </w:r>
          </w:p>
        </w:tc>
      </w:tr>
      <w:tr w:rsidR="00242B95" w14:paraId="55C2444F" w14:textId="77777777">
        <w:tc>
          <w:tcPr>
            <w:tcW w:w="4320" w:type="dxa"/>
          </w:tcPr>
          <w:p w14:paraId="0F1EB9F2" w14:textId="77777777" w:rsidR="00242B95" w:rsidRDefault="00000000">
            <w:r>
              <w:t>/predict</w:t>
            </w:r>
          </w:p>
        </w:tc>
        <w:tc>
          <w:tcPr>
            <w:tcW w:w="4320" w:type="dxa"/>
          </w:tcPr>
          <w:p w14:paraId="28D02FB0" w14:textId="77777777" w:rsidR="00242B95" w:rsidRDefault="00000000">
            <w:r>
              <w:t>Input form and results panel (results after POST).</w:t>
            </w:r>
          </w:p>
        </w:tc>
      </w:tr>
      <w:tr w:rsidR="00242B95" w14:paraId="7649CC92" w14:textId="77777777">
        <w:tc>
          <w:tcPr>
            <w:tcW w:w="4320" w:type="dxa"/>
          </w:tcPr>
          <w:p w14:paraId="18C36E95" w14:textId="77777777" w:rsidR="00242B95" w:rsidRDefault="00000000">
            <w:r>
              <w:t>/about</w:t>
            </w:r>
          </w:p>
        </w:tc>
        <w:tc>
          <w:tcPr>
            <w:tcW w:w="4320" w:type="dxa"/>
          </w:tcPr>
          <w:p w14:paraId="1C76027A" w14:textId="77777777" w:rsidR="00242B95" w:rsidRDefault="00000000">
            <w:r>
              <w:t>Short project context for examiners and visitors.</w:t>
            </w:r>
          </w:p>
        </w:tc>
      </w:tr>
      <w:tr w:rsidR="00242B95" w14:paraId="0D68663B" w14:textId="77777777">
        <w:tc>
          <w:tcPr>
            <w:tcW w:w="4320" w:type="dxa"/>
          </w:tcPr>
          <w:p w14:paraId="0839FD78" w14:textId="77777777" w:rsidR="00242B95" w:rsidRDefault="00000000">
            <w:r>
              <w:t>/features</w:t>
            </w:r>
          </w:p>
        </w:tc>
        <w:tc>
          <w:tcPr>
            <w:tcW w:w="4320" w:type="dxa"/>
          </w:tcPr>
          <w:p w14:paraId="33BDA4CF" w14:textId="77777777" w:rsidR="00242B95" w:rsidRDefault="00000000">
            <w:r>
              <w:t>Capability overview without running a prediction.</w:t>
            </w:r>
          </w:p>
        </w:tc>
      </w:tr>
    </w:tbl>
    <w:p w14:paraId="79268E6B" w14:textId="77777777" w:rsidR="00242B95" w:rsidRDefault="00242B95"/>
    <w:p w14:paraId="5732866C" w14:textId="77777777" w:rsidR="00242B95" w:rsidRDefault="00000000">
      <w:pPr>
        <w:pStyle w:val="Heading3"/>
      </w:pPr>
      <w:r>
        <w:t>7.2 Form POST → server render</w:t>
      </w:r>
    </w:p>
    <w:p w14:paraId="485BB81F" w14:textId="77777777" w:rsidR="00242B95" w:rsidRDefault="00000000">
      <w:r>
        <w:t xml:space="preserve">When the user posts </w:t>
      </w:r>
      <w:r>
        <w:rPr>
          <w:b/>
        </w:rPr>
        <w:t>`/predict`</w:t>
      </w:r>
      <w:r>
        <w:t xml:space="preserve">, Flask reads each field, maps short HTML names to the </w:t>
      </w:r>
      <w:r>
        <w:rPr>
          <w:b/>
        </w:rPr>
        <w:t>canonical</w:t>
      </w:r>
      <w:r>
        <w:t xml:space="preserve"> column names expected by </w:t>
      </w:r>
      <w:r>
        <w:rPr>
          <w:b/>
        </w:rPr>
        <w:t>`prepare_features`</w:t>
      </w:r>
      <w:r>
        <w:t xml:space="preserve">, and executes the same </w:t>
      </w:r>
      <w:r>
        <w:rPr>
          <w:b/>
        </w:rPr>
        <w:t>predict → explain → reliability → cost/CO₂</w:t>
      </w:r>
      <w:r>
        <w:t xml:space="preserve"> chain used by the API. </w:t>
      </w:r>
      <w:r>
        <w:rPr>
          <w:b/>
        </w:rPr>
        <w:t>`get_waste_category`</w:t>
      </w:r>
      <w:r>
        <w:t xml:space="preserve"> applies </w:t>
      </w:r>
      <w:r>
        <w:rPr>
          <w:b/>
        </w:rPr>
        <w:t>Excellent / Good / …</w:t>
      </w:r>
      <w:r>
        <w:t xml:space="preserve"> bands from the numeric </w:t>
      </w:r>
      <w:r>
        <w:rPr>
          <w:b/>
        </w:rPr>
        <w:t>%</w:t>
      </w:r>
      <w:r>
        <w:t xml:space="preserve">; those labels are </w:t>
      </w:r>
      <w:r>
        <w:rPr>
          <w:b/>
        </w:rPr>
        <w:t>presentation only</w:t>
      </w:r>
      <w:r>
        <w:t xml:space="preserve"> and do not feed back into the regressor. The response HTML includes the explainability block built by </w:t>
      </w:r>
      <w:r>
        <w:rPr>
          <w:b/>
        </w:rPr>
        <w:t>`format_explainability_features`</w:t>
      </w:r>
      <w:r>
        <w:t>. Because templates are rendered on the server, there is no risk that a stale browser script applies different formulas than the trained model on disk.</w:t>
      </w:r>
    </w:p>
    <w:p w14:paraId="01B363C5" w14:textId="77777777" w:rsidR="00242B95" w:rsidRDefault="00000000">
      <w:pPr>
        <w:pStyle w:val="Heading3"/>
      </w:pPr>
      <w:r>
        <w:t>7.3 JSON API</w:t>
      </w:r>
    </w:p>
    <w:p w14:paraId="5A071C43" w14:textId="77777777" w:rsidR="00242B95" w:rsidRDefault="00000000">
      <w:r>
        <w:rPr>
          <w:b/>
        </w:rPr>
        <w:t>POST `/api/predict`</w:t>
      </w:r>
      <w:r>
        <w:t xml:space="preserve"> mirrors the form: JSON keys match training columns plus optional </w:t>
      </w:r>
      <w:r>
        <w:rPr>
          <w:b/>
        </w:rPr>
        <w:t>`total_steel_kg`</w:t>
      </w:r>
      <w:r>
        <w:t>. Successful responses bundle:</w:t>
      </w:r>
    </w:p>
    <w:p w14:paraId="5DD409D0" w14:textId="77777777" w:rsidR="00242B95" w:rsidRDefault="00000000">
      <w:pPr>
        <w:pStyle w:val="ListBullet"/>
      </w:pPr>
      <w:r>
        <w:rPr>
          <w:b/>
        </w:rPr>
        <w:t>`predicted_waste_percentage`</w:t>
      </w:r>
      <w:r>
        <w:t xml:space="preserve"> and </w:t>
      </w:r>
      <w:r>
        <w:rPr>
          <w:b/>
        </w:rPr>
        <w:t>`waste_category`</w:t>
      </w:r>
    </w:p>
    <w:p w14:paraId="2A894861" w14:textId="77777777" w:rsidR="00242B95" w:rsidRDefault="00000000">
      <w:pPr>
        <w:pStyle w:val="ListBullet"/>
      </w:pPr>
      <w:r>
        <w:rPr>
          <w:b/>
        </w:rPr>
        <w:t>`reliability`</w:t>
      </w:r>
      <w:r>
        <w:t xml:space="preserve">, </w:t>
      </w:r>
      <w:r>
        <w:rPr>
          <w:b/>
        </w:rPr>
        <w:t>`explainability`</w:t>
      </w:r>
      <w:r>
        <w:t xml:space="preserve">, </w:t>
      </w:r>
      <w:r>
        <w:rPr>
          <w:b/>
        </w:rPr>
        <w:t>`cost_co2_impact`</w:t>
      </w:r>
    </w:p>
    <w:p w14:paraId="6FAA8694" w14:textId="77777777" w:rsidR="00242B95" w:rsidRDefault="00000000">
      <w:pPr>
        <w:pStyle w:val="ListBullet"/>
      </w:pPr>
      <w:r>
        <w:t xml:space="preserve">HTTP </w:t>
      </w:r>
      <w:r>
        <w:rPr>
          <w:b/>
        </w:rPr>
        <w:t>400</w:t>
      </w:r>
      <w:r>
        <w:t xml:space="preserve"> with an error string when parsing or inference fails</w:t>
      </w:r>
    </w:p>
    <w:p w14:paraId="7BF9D7B2" w14:textId="77777777" w:rsidR="00242B95" w:rsidRDefault="00000000">
      <w:r>
        <w:t>That symmetry is intentional: integration tests and demos can bypass the browser entirely.</w:t>
      </w:r>
    </w:p>
    <w:p w14:paraId="3AD4B223" w14:textId="77777777" w:rsidR="00242B95" w:rsidRDefault="00000000">
      <w:r>
        <w:rPr>
          <w:rFonts w:ascii="Courier New" w:hAnsi="Courier New"/>
          <w:sz w:val="18"/>
        </w:rPr>
        <w:t>curl -s -X POST http://localhost:5005/api/predict \</w:t>
      </w:r>
      <w:r>
        <w:rPr>
          <w:rFonts w:ascii="Courier New" w:hAnsi="Courier New"/>
          <w:sz w:val="18"/>
        </w:rPr>
        <w:br/>
        <w:t xml:space="preserve">  -H "Content-Type: application/json" \</w:t>
      </w:r>
      <w:r>
        <w:rPr>
          <w:rFonts w:ascii="Courier New" w:hAnsi="Courier New"/>
          <w:sz w:val="18"/>
        </w:rPr>
        <w:br/>
        <w:t xml:space="preserve">  -d '{"reinforcement_ratio_kg_per_m3":120,"num_unique_required_lengths":20,"stock_length_policy":"standard_12m","cutting_optimization_usage":0,"bim_integration_level":0,"design_revisions_per_month":2,"supervision_index_1to5":3,"material_control_level_1to3":2,"storage_handling_index_1to5":3,"offcut_reuse_policy_0to2":0,"change_orders_per_month":1,"contract_type":"lump_sum","lead_time_days":15,"order_frequency_per_month":4,"project_phase":"frame","total_steel_kg":100000}'</w:t>
      </w:r>
    </w:p>
    <w:p w14:paraId="0CC2C6E7" w14:textId="77777777" w:rsidR="00242B95" w:rsidRDefault="00000000">
      <w:pPr>
        <w:pStyle w:val="Heading3"/>
      </w:pPr>
      <w:r>
        <w:t>7.4 Training on first run and debug route</w:t>
      </w:r>
    </w:p>
    <w:p w14:paraId="27554BC2" w14:textId="77777777" w:rsidR="00242B95" w:rsidRDefault="00000000">
      <w:r>
        <w:t xml:space="preserve">If </w:t>
      </w:r>
      <w:r>
        <w:rPr>
          <w:b/>
        </w:rPr>
        <w:t>`best_steel_waste_model.pkl`</w:t>
      </w:r>
      <w:r>
        <w:t xml:space="preserve"> is absent at startup, </w:t>
      </w:r>
      <w:r>
        <w:rPr>
          <w:b/>
        </w:rPr>
        <w:t>`train_model_if_needed`</w:t>
      </w:r>
      <w:r>
        <w:t xml:space="preserve"> can train automatically </w:t>
      </w:r>
      <w:r>
        <w:rPr>
          <w:b/>
        </w:rPr>
        <w:t>when</w:t>
      </w:r>
      <w:r>
        <w:t xml:space="preserve"> train and test CSVs exist—a convenience for coursework machines. For anything like </w:t>
      </w:r>
      <w:r>
        <w:rPr>
          <w:b/>
        </w:rPr>
        <w:t>production</w:t>
      </w:r>
      <w:r>
        <w:t xml:space="preserve">, the team should run </w:t>
      </w:r>
      <w:r>
        <w:rPr>
          <w:b/>
        </w:rPr>
        <w:t>`python model.py`</w:t>
      </w:r>
      <w:r>
        <w:t xml:space="preserve"> explicitly, log metrics, and archive the pickle used for deployment. The </w:t>
      </w:r>
      <w:r>
        <w:rPr>
          <w:b/>
        </w:rPr>
        <w:t>`/debug/explain`</w:t>
      </w:r>
      <w:r>
        <w:t xml:space="preserve"> route is </w:t>
      </w:r>
      <w:r>
        <w:rPr>
          <w:b/>
        </w:rPr>
        <w:t>development-only</w:t>
      </w:r>
      <w:r>
        <w:t xml:space="preserve"> and should be </w:t>
      </w:r>
      <w:r>
        <w:rPr>
          <w:b/>
        </w:rPr>
        <w:t>removed or locked down</w:t>
      </w:r>
      <w:r>
        <w:t xml:space="preserve"> before wide exposure.</w:t>
      </w:r>
    </w:p>
    <w:p w14:paraId="0E482207" w14:textId="77777777" w:rsidR="00242B95" w:rsidRDefault="00000000">
      <w:pPr>
        <w:pStyle w:val="Heading2"/>
      </w:pPr>
      <w:r>
        <w:lastRenderedPageBreak/>
        <w:t>8. Extension proposal vs. what was built</w:t>
      </w:r>
    </w:p>
    <w:p w14:paraId="004E2423" w14:textId="77777777" w:rsidR="00242B95" w:rsidRDefault="00000000">
      <w:r>
        <w:t xml:space="preserve">The </w:t>
      </w:r>
      <w:r>
        <w:rPr>
          <w:b/>
        </w:rPr>
        <w:t>`extension`</w:t>
      </w:r>
      <w:r>
        <w:t xml:space="preserve"> document listed hosting, explainability, scenario comparison, cost/CO₂, reliability, and documentation. The table below records how far the </w:t>
      </w:r>
      <w:r>
        <w:rPr>
          <w:b/>
        </w:rPr>
        <w:t>repository</w:t>
      </w:r>
      <w:r>
        <w:t xml:space="preserve"> matches that list. </w:t>
      </w:r>
      <w:r>
        <w:rPr>
          <w:b/>
        </w:rPr>
        <w:t>Partial</w:t>
      </w:r>
      <w:r>
        <w:t xml:space="preserve"> is not a failing grade; it marks a </w:t>
      </w:r>
      <w:r>
        <w:rPr>
          <w:b/>
        </w:rPr>
        <w:t>deliberate</w:t>
      </w:r>
      <w:r>
        <w:t xml:space="preserve"> cut line for scope (here, </w:t>
      </w:r>
      <w:r>
        <w:rPr>
          <w:b/>
        </w:rPr>
        <w:t>side-by-side</w:t>
      </w:r>
      <w:r>
        <w:t xml:space="preserve"> scenario UI deferred).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2B95" w14:paraId="08A909C4" w14:textId="77777777">
        <w:tc>
          <w:tcPr>
            <w:tcW w:w="2880" w:type="dxa"/>
          </w:tcPr>
          <w:p w14:paraId="50CD1207" w14:textId="77777777" w:rsidR="00242B95" w:rsidRDefault="00000000">
            <w:r>
              <w:t>Proposal item</w:t>
            </w:r>
          </w:p>
        </w:tc>
        <w:tc>
          <w:tcPr>
            <w:tcW w:w="2880" w:type="dxa"/>
          </w:tcPr>
          <w:p w14:paraId="6639830A" w14:textId="77777777" w:rsidR="00242B95" w:rsidRDefault="00000000">
            <w:r>
              <w:t>Status</w:t>
            </w:r>
          </w:p>
        </w:tc>
        <w:tc>
          <w:tcPr>
            <w:tcW w:w="2880" w:type="dxa"/>
          </w:tcPr>
          <w:p w14:paraId="4764FF75" w14:textId="77777777" w:rsidR="00242B95" w:rsidRDefault="00000000">
            <w:r>
              <w:t>Explanation</w:t>
            </w:r>
          </w:p>
        </w:tc>
      </w:tr>
      <w:tr w:rsidR="00242B95" w14:paraId="5189B650" w14:textId="77777777">
        <w:tc>
          <w:tcPr>
            <w:tcW w:w="2880" w:type="dxa"/>
          </w:tcPr>
          <w:p w14:paraId="57E86B02" w14:textId="77777777" w:rsidR="00242B95" w:rsidRDefault="00000000">
            <w:r>
              <w:t>Online hosting</w:t>
            </w:r>
          </w:p>
        </w:tc>
        <w:tc>
          <w:tcPr>
            <w:tcW w:w="2880" w:type="dxa"/>
          </w:tcPr>
          <w:p w14:paraId="0A5E1E85" w14:textId="77777777" w:rsidR="00242B95" w:rsidRDefault="00000000">
            <w:r>
              <w:t>Ready</w:t>
            </w:r>
          </w:p>
        </w:tc>
        <w:tc>
          <w:tcPr>
            <w:tcW w:w="2880" w:type="dxa"/>
          </w:tcPr>
          <w:p w14:paraId="57C59248" w14:textId="77777777" w:rsidR="00242B95" w:rsidRDefault="00000000">
            <w:r>
              <w:t>Flask app; public URL is deployment, not missing code.</w:t>
            </w:r>
          </w:p>
        </w:tc>
      </w:tr>
      <w:tr w:rsidR="00242B95" w14:paraId="1DDA56D8" w14:textId="77777777">
        <w:tc>
          <w:tcPr>
            <w:tcW w:w="2880" w:type="dxa"/>
          </w:tcPr>
          <w:p w14:paraId="2B23F2F4" w14:textId="77777777" w:rsidR="00242B95" w:rsidRDefault="00000000">
            <w:r>
              <w:t>Explainability</w:t>
            </w:r>
          </w:p>
        </w:tc>
        <w:tc>
          <w:tcPr>
            <w:tcW w:w="2880" w:type="dxa"/>
          </w:tcPr>
          <w:p w14:paraId="1D2C56F4" w14:textId="77777777" w:rsidR="00242B95" w:rsidRDefault="00000000">
            <w:r>
              <w:t>Done</w:t>
            </w:r>
          </w:p>
        </w:tc>
        <w:tc>
          <w:tcPr>
            <w:tcW w:w="2880" w:type="dxa"/>
          </w:tcPr>
          <w:p w14:paraId="4910A016" w14:textId="77777777" w:rsidR="00242B95" w:rsidRDefault="00000000">
            <w:r>
              <w:t>SHAP or feature importance; method shown in UI.</w:t>
            </w:r>
          </w:p>
        </w:tc>
      </w:tr>
      <w:tr w:rsidR="00242B95" w14:paraId="4F5EFD6E" w14:textId="77777777">
        <w:tc>
          <w:tcPr>
            <w:tcW w:w="2880" w:type="dxa"/>
          </w:tcPr>
          <w:p w14:paraId="5C4250B1" w14:textId="77777777" w:rsidR="00242B95" w:rsidRDefault="00000000">
            <w:r>
              <w:t>Scenario comparison</w:t>
            </w:r>
          </w:p>
        </w:tc>
        <w:tc>
          <w:tcPr>
            <w:tcW w:w="2880" w:type="dxa"/>
          </w:tcPr>
          <w:p w14:paraId="771E874A" w14:textId="77777777" w:rsidR="00242B95" w:rsidRDefault="00000000">
            <w:r>
              <w:t>Partial</w:t>
            </w:r>
          </w:p>
        </w:tc>
        <w:tc>
          <w:tcPr>
            <w:tcW w:w="2880" w:type="dxa"/>
          </w:tcPr>
          <w:p w14:paraId="69391EC9" w14:textId="77777777" w:rsidR="00242B95" w:rsidRDefault="00000000">
            <w:r>
              <w:t>What-if by changing inputs and resubmitting; no dual-panel A/B store.</w:t>
            </w:r>
          </w:p>
        </w:tc>
      </w:tr>
      <w:tr w:rsidR="00242B95" w14:paraId="124A02DC" w14:textId="77777777">
        <w:tc>
          <w:tcPr>
            <w:tcW w:w="2880" w:type="dxa"/>
          </w:tcPr>
          <w:p w14:paraId="0A2D3AD5" w14:textId="77777777" w:rsidR="00242B95" w:rsidRDefault="00000000">
            <w:r>
              <w:t>Cost &amp; CO₂</w:t>
            </w:r>
          </w:p>
        </w:tc>
        <w:tc>
          <w:tcPr>
            <w:tcW w:w="2880" w:type="dxa"/>
          </w:tcPr>
          <w:p w14:paraId="0436B701" w14:textId="77777777" w:rsidR="00242B95" w:rsidRDefault="00000000">
            <w:r>
              <w:t>Done</w:t>
            </w:r>
          </w:p>
        </w:tc>
        <w:tc>
          <w:tcPr>
            <w:tcW w:w="2880" w:type="dxa"/>
          </w:tcPr>
          <w:p w14:paraId="421748A0" w14:textId="77777777" w:rsidR="00242B95" w:rsidRDefault="00000000">
            <w:r>
              <w:t>User mass + calculate_cost_co2_impact defaults.</w:t>
            </w:r>
          </w:p>
        </w:tc>
      </w:tr>
      <w:tr w:rsidR="00242B95" w14:paraId="5748CA4C" w14:textId="77777777">
        <w:tc>
          <w:tcPr>
            <w:tcW w:w="2880" w:type="dxa"/>
          </w:tcPr>
          <w:p w14:paraId="3C5C7881" w14:textId="77777777" w:rsidR="00242B95" w:rsidRDefault="00000000">
            <w:r>
              <w:t>Reliability</w:t>
            </w:r>
          </w:p>
        </w:tc>
        <w:tc>
          <w:tcPr>
            <w:tcW w:w="2880" w:type="dxa"/>
          </w:tcPr>
          <w:p w14:paraId="4287CAC0" w14:textId="77777777" w:rsidR="00242B95" w:rsidRDefault="00000000">
            <w:r>
              <w:t>Done</w:t>
            </w:r>
          </w:p>
        </w:tc>
        <w:tc>
          <w:tcPr>
            <w:tcW w:w="2880" w:type="dxa"/>
          </w:tcPr>
          <w:p w14:paraId="6E79F214" w14:textId="77777777" w:rsidR="00242B95" w:rsidRDefault="00000000">
            <w:r>
              <w:t>k-NN + normalised deviation → score + label.</w:t>
            </w:r>
          </w:p>
        </w:tc>
      </w:tr>
      <w:tr w:rsidR="00242B95" w14:paraId="21B8885F" w14:textId="77777777">
        <w:tc>
          <w:tcPr>
            <w:tcW w:w="2880" w:type="dxa"/>
          </w:tcPr>
          <w:p w14:paraId="1E85A824" w14:textId="77777777" w:rsidR="00242B95" w:rsidRDefault="00000000">
            <w:r>
              <w:t>Docs / usability</w:t>
            </w:r>
          </w:p>
        </w:tc>
        <w:tc>
          <w:tcPr>
            <w:tcW w:w="2880" w:type="dxa"/>
          </w:tcPr>
          <w:p w14:paraId="08904173" w14:textId="77777777" w:rsidR="00242B95" w:rsidRDefault="00000000">
            <w:r>
              <w:t>Done</w:t>
            </w:r>
          </w:p>
        </w:tc>
        <w:tc>
          <w:tcPr>
            <w:tcW w:w="2880" w:type="dxa"/>
          </w:tcPr>
          <w:p w14:paraId="212BA07C" w14:textId="77777777" w:rsidR="00242B95" w:rsidRDefault="00000000">
            <w:r>
              <w:t>About, Features, README, this chapter, technical appendix file.</w:t>
            </w:r>
          </w:p>
        </w:tc>
      </w:tr>
    </w:tbl>
    <w:p w14:paraId="3F545763" w14:textId="77777777" w:rsidR="00242B95" w:rsidRDefault="00242B95"/>
    <w:p w14:paraId="21A9579E" w14:textId="77777777" w:rsidR="00242B95" w:rsidRDefault="00000000">
      <w:r>
        <w:t xml:space="preserve">In narrative terms, semester two </w:t>
      </w:r>
      <w:r>
        <w:rPr>
          <w:b/>
        </w:rPr>
        <w:t>closes</w:t>
      </w:r>
      <w:r>
        <w:t xml:space="preserve"> the loop from “model that scores well on synthetic tests” to “tool that explains itself, flags unfamiliar inputs, and speaks money and carbon.” The largest </w:t>
      </w:r>
      <w:r>
        <w:rPr>
          <w:b/>
        </w:rPr>
        <w:t>product gap</w:t>
      </w:r>
      <w:r>
        <w:t xml:space="preserve"> relative to the proposal wording is a </w:t>
      </w:r>
      <w:r>
        <w:rPr>
          <w:b/>
        </w:rPr>
        <w:t>dedicated</w:t>
      </w:r>
      <w:r>
        <w:t xml:space="preserve"> two-scenario comparison view; everything else in the table is either </w:t>
      </w:r>
      <w:r>
        <w:rPr>
          <w:b/>
        </w:rPr>
        <w:t>complete</w:t>
      </w:r>
      <w:r>
        <w:t xml:space="preserve"> or </w:t>
      </w:r>
      <w:r>
        <w:rPr>
          <w:b/>
        </w:rPr>
        <w:t>deployment-only</w:t>
      </w:r>
      <w:r>
        <w:t>.</w:t>
      </w:r>
    </w:p>
    <w:p w14:paraId="78931C64" w14:textId="77777777" w:rsidR="00242B95" w:rsidRDefault="00000000">
      <w:pPr>
        <w:pStyle w:val="Heading2"/>
      </w:pPr>
      <w:r>
        <w:t>9. How to run (reproducibility)</w:t>
      </w:r>
    </w:p>
    <w:p w14:paraId="3EB519EB" w14:textId="77777777" w:rsidR="00242B95" w:rsidRDefault="00000000">
      <w:r>
        <w:t xml:space="preserve">A marker should be able to go from clone to browser in a small number of steps. The bullet list is the </w:t>
      </w:r>
      <w:r>
        <w:rPr>
          <w:b/>
        </w:rPr>
        <w:t>minimal</w:t>
      </w:r>
      <w:r>
        <w:t xml:space="preserve"> path; the paragraph after it states what can be skipped for a quick demo and what must be cited in the report.</w:t>
      </w:r>
    </w:p>
    <w:p w14:paraId="44B0344C" w14:textId="77777777" w:rsidR="00242B95" w:rsidRDefault="00000000">
      <w:pPr>
        <w:pStyle w:val="ListBullet"/>
      </w:pPr>
      <w:r>
        <w:t xml:space="preserve">Create a </w:t>
      </w:r>
      <w:r>
        <w:rPr>
          <w:b/>
        </w:rPr>
        <w:t>virtual environment</w:t>
      </w:r>
      <w:r>
        <w:t xml:space="preserve"> and run </w:t>
      </w:r>
      <w:r>
        <w:rPr>
          <w:b/>
        </w:rPr>
        <w:t>`pip install -r requirements.txt`</w:t>
      </w:r>
      <w:r>
        <w:t>.</w:t>
      </w:r>
    </w:p>
    <w:p w14:paraId="36D31EFA" w14:textId="77777777" w:rsidR="00242B95" w:rsidRDefault="00000000">
      <w:pPr>
        <w:pStyle w:val="ListBullet"/>
      </w:pPr>
      <w:r>
        <w:t xml:space="preserve">Ensure </w:t>
      </w:r>
      <w:r>
        <w:rPr>
          <w:b/>
        </w:rPr>
        <w:t>`data/train_data.csv`</w:t>
      </w:r>
      <w:r>
        <w:t xml:space="preserve"> and </w:t>
      </w:r>
      <w:r>
        <w:rPr>
          <w:b/>
        </w:rPr>
        <w:t>`data/test_data.csv`</w:t>
      </w:r>
      <w:r>
        <w:t xml:space="preserve"> exist; if not, run </w:t>
      </w:r>
      <w:r>
        <w:rPr>
          <w:b/>
        </w:rPr>
        <w:t>`python data_generation/generate_train_test_data.py`</w:t>
      </w:r>
      <w:r>
        <w:t>.</w:t>
      </w:r>
    </w:p>
    <w:p w14:paraId="5C582EB7" w14:textId="77777777" w:rsidR="00242B95" w:rsidRDefault="00000000">
      <w:pPr>
        <w:pStyle w:val="ListBullet"/>
      </w:pPr>
      <w:r>
        <w:t xml:space="preserve">Train and export the artefact with </w:t>
      </w:r>
      <w:r>
        <w:rPr>
          <w:b/>
        </w:rPr>
        <w:t>`python model.py`</w:t>
      </w:r>
      <w:r>
        <w:t xml:space="preserve"> (updates </w:t>
      </w:r>
      <w:r>
        <w:rPr>
          <w:b/>
        </w:rPr>
        <w:t>`models/best_steel_waste_model.pkl`</w:t>
      </w:r>
      <w:r>
        <w:t xml:space="preserve"> and comparison CSVs).</w:t>
      </w:r>
    </w:p>
    <w:p w14:paraId="3E0510C6" w14:textId="77777777" w:rsidR="00242B95" w:rsidRDefault="00000000">
      <w:pPr>
        <w:pStyle w:val="ListBullet"/>
      </w:pPr>
      <w:r>
        <w:t xml:space="preserve">Start the app with </w:t>
      </w:r>
      <w:r>
        <w:rPr>
          <w:b/>
        </w:rPr>
        <w:t>`python app.py`</w:t>
      </w:r>
      <w:r>
        <w:t xml:space="preserve"> and open </w:t>
      </w:r>
      <w:r>
        <w:rPr>
          <w:b/>
        </w:rPr>
        <w:t>http://localhost:5005</w:t>
      </w:r>
      <w:r>
        <w:t xml:space="preserve"> (default port in source).</w:t>
      </w:r>
    </w:p>
    <w:p w14:paraId="63616427" w14:textId="77777777" w:rsidR="00242B95" w:rsidRDefault="00000000">
      <w:r>
        <w:lastRenderedPageBreak/>
        <w:t xml:space="preserve">If a compatible pickle is already committed for demonstration, step three may be skipped for speed, but any </w:t>
      </w:r>
      <w:r>
        <w:rPr>
          <w:b/>
        </w:rPr>
        <w:t>quoted test metrics</w:t>
      </w:r>
      <w:r>
        <w:t xml:space="preserve"> or </w:t>
      </w:r>
      <w:r>
        <w:rPr>
          <w:b/>
        </w:rPr>
        <w:t>screenshots</w:t>
      </w:r>
      <w:r>
        <w:t xml:space="preserve"> in the thesis should name </w:t>
      </w:r>
      <w:r>
        <w:rPr>
          <w:b/>
        </w:rPr>
        <w:t>which</w:t>
      </w:r>
      <w:r>
        <w:t xml:space="preserve"> pickle and </w:t>
      </w:r>
      <w:r>
        <w:rPr>
          <w:b/>
        </w:rPr>
        <w:t>which</w:t>
      </w:r>
      <w:r>
        <w:t xml:space="preserve"> data split they came from.</w:t>
      </w:r>
    </w:p>
    <w:p w14:paraId="2A4C1F69" w14:textId="77777777" w:rsidR="00242B95" w:rsidRDefault="00000000">
      <w:r>
        <w:rPr>
          <w:rFonts w:ascii="Courier New" w:hAnsi="Courier New"/>
          <w:sz w:val="18"/>
        </w:rPr>
        <w:t># From project root</w:t>
      </w:r>
      <w:r>
        <w:rPr>
          <w:rFonts w:ascii="Courier New" w:hAnsi="Courier New"/>
          <w:sz w:val="18"/>
        </w:rPr>
        <w:br/>
        <w:t>pip install -r requirements.txt</w:t>
      </w:r>
      <w:r>
        <w:rPr>
          <w:rFonts w:ascii="Courier New" w:hAnsi="Courier New"/>
          <w:sz w:val="18"/>
        </w:rPr>
        <w:br/>
        <w:t>python data_generation/generate_train_test_data.py   # if CSVs missing</w:t>
      </w:r>
      <w:r>
        <w:rPr>
          <w:rFonts w:ascii="Courier New" w:hAnsi="Courier New"/>
          <w:sz w:val="18"/>
        </w:rPr>
        <w:br/>
        <w:t>python model.py</w:t>
      </w:r>
      <w:r>
        <w:rPr>
          <w:rFonts w:ascii="Courier New" w:hAnsi="Courier New"/>
          <w:sz w:val="18"/>
        </w:rPr>
        <w:br/>
        <w:t>python app.py</w:t>
      </w:r>
    </w:p>
    <w:p w14:paraId="455DC08F" w14:textId="77777777" w:rsidR="00242B95" w:rsidRDefault="00000000">
      <w:pPr>
        <w:pStyle w:val="Heading2"/>
      </w:pPr>
      <w:r>
        <w:t>10. Relation to project objectives</w:t>
      </w:r>
    </w:p>
    <w:p w14:paraId="38B0F761" w14:textId="77777777" w:rsidR="00242B95" w:rsidRDefault="00000000">
      <w:r>
        <w:t xml:space="preserve">The formal objectives asked for </w:t>
      </w:r>
      <w:r>
        <w:rPr>
          <w:b/>
        </w:rPr>
        <w:t>accurate prediction</w:t>
      </w:r>
      <w:r>
        <w:t xml:space="preserve">, </w:t>
      </w:r>
      <w:r>
        <w:rPr>
          <w:b/>
        </w:rPr>
        <w:t>understanding of drivers</w:t>
      </w:r>
      <w:r>
        <w:t xml:space="preserve">, </w:t>
      </w:r>
      <w:r>
        <w:rPr>
          <w:b/>
        </w:rPr>
        <w:t>a usable interface</w:t>
      </w:r>
      <w:r>
        <w:t xml:space="preserve">, and </w:t>
      </w:r>
      <w:r>
        <w:rPr>
          <w:b/>
        </w:rPr>
        <w:t>economic / environmental context</w:t>
      </w:r>
      <w:r>
        <w:t xml:space="preserve">. Second-semester development </w:t>
      </w:r>
      <w:r>
        <w:rPr>
          <w:b/>
        </w:rPr>
        <w:t>extends</w:t>
      </w:r>
      <w:r>
        <w:t xml:space="preserve"> the first-semester proof without discarding it: the </w:t>
      </w:r>
      <w:r>
        <w:rPr>
          <w:b/>
        </w:rPr>
        <w:t>same</w:t>
      </w:r>
      <w:r>
        <w:t xml:space="preserve"> regression target and feature philosophy remain, while the </w:t>
      </w:r>
      <w:r>
        <w:rPr>
          <w:b/>
        </w:rPr>
        <w:t>delivery layer</w:t>
      </w:r>
      <w:r>
        <w:t xml:space="preserve"> adds explanations, reliability, cost/CO₂, and an API. </w:t>
      </w:r>
      <w:r>
        <w:rPr>
          <w:b/>
        </w:rPr>
        <w:t>Interpretability</w:t>
      </w:r>
      <w:r>
        <w:t xml:space="preserve"> outputs support discussions of </w:t>
      </w:r>
      <w:r>
        <w:rPr>
          <w:b/>
        </w:rPr>
        <w:t>which levers</w:t>
      </w:r>
      <w:r>
        <w:t xml:space="preserve"> matter; </w:t>
      </w:r>
      <w:r>
        <w:rPr>
          <w:b/>
        </w:rPr>
        <w:t>reliability</w:t>
      </w:r>
      <w:r>
        <w:t xml:space="preserve"> supports </w:t>
      </w:r>
      <w:r>
        <w:rPr>
          <w:b/>
        </w:rPr>
        <w:t>cautious</w:t>
      </w:r>
      <w:r>
        <w:t xml:space="preserve"> use when data are still synthetic; </w:t>
      </w:r>
      <w:r>
        <w:rPr>
          <w:b/>
        </w:rPr>
        <w:t>cost and CO₂</w:t>
      </w:r>
      <w:r>
        <w:t xml:space="preserve"> connect the percentage to </w:t>
      </w:r>
      <w:r>
        <w:rPr>
          <w:b/>
        </w:rPr>
        <w:t>budget and sustainability</w:t>
      </w:r>
      <w:r>
        <w:t xml:space="preserve"> narratives in the original proposal.</w:t>
      </w:r>
    </w:p>
    <w:p w14:paraId="780F1E60" w14:textId="77777777" w:rsidR="00242B95" w:rsidRDefault="00000000">
      <w:r>
        <w:rPr>
          <w:b/>
        </w:rPr>
        <w:t>External validity</w:t>
      </w:r>
      <w:r>
        <w:t xml:space="preserve"> still hinges on </w:t>
      </w:r>
      <w:r>
        <w:rPr>
          <w:b/>
        </w:rPr>
        <w:t>training data quality and domain</w:t>
      </w:r>
      <w:r>
        <w:t xml:space="preserve">. Until large </w:t>
      </w:r>
      <w:r>
        <w:rPr>
          <w:b/>
        </w:rPr>
        <w:t>real</w:t>
      </w:r>
      <w:r>
        <w:t xml:space="preserve"> project files augment or replace the generator, report language should treat accuracy and neighbour-based confidence as </w:t>
      </w:r>
      <w:r>
        <w:rPr>
          <w:b/>
        </w:rPr>
        <w:t>conditional</w:t>
      </w:r>
      <w:r>
        <w:t xml:space="preserve"> on the synthetic regime. </w:t>
      </w:r>
      <w:r>
        <w:rPr>
          <w:b/>
        </w:rPr>
        <w:t>Retraining</w:t>
      </w:r>
      <w:r>
        <w:t xml:space="preserve"> is intentionally cheap at the software level: a new </w:t>
      </w:r>
      <w:r>
        <w:rPr>
          <w:b/>
        </w:rPr>
        <w:t>`model.py`</w:t>
      </w:r>
      <w:r>
        <w:t xml:space="preserve"> run and pickle swap refresh every consumer—the form, the API, and any host—without a Flask rewrite.</w:t>
      </w:r>
    </w:p>
    <w:p w14:paraId="770D366B" w14:textId="77777777" w:rsidR="00242B95" w:rsidRDefault="00000000">
      <w:pPr>
        <w:pStyle w:val="Heading2"/>
      </w:pPr>
      <w:r>
        <w:t>11. Limitations and future work</w:t>
      </w:r>
    </w:p>
    <w:p w14:paraId="50ED9624" w14:textId="77777777" w:rsidR="00242B95" w:rsidRDefault="00000000">
      <w:r>
        <w:t xml:space="preserve">Honest limits strengthen a final-year report. The main </w:t>
      </w:r>
      <w:r>
        <w:rPr>
          <w:b/>
        </w:rPr>
        <w:t>constraints</w:t>
      </w:r>
      <w:r>
        <w:t xml:space="preserve"> observed in the current system are:</w:t>
      </w:r>
    </w:p>
    <w:p w14:paraId="45A5B2E0" w14:textId="77777777" w:rsidR="00242B95" w:rsidRDefault="00000000">
      <w:pPr>
        <w:pStyle w:val="ListBullet"/>
      </w:pPr>
      <w:r>
        <w:rPr>
          <w:b/>
        </w:rPr>
        <w:t>Synthetic dominance</w:t>
      </w:r>
      <w:r>
        <w:t xml:space="preserve"> — rules in </w:t>
      </w:r>
      <w:r>
        <w:rPr>
          <w:rFonts w:ascii="Courier New" w:hAnsi="Courier New"/>
          <w:sz w:val="20"/>
        </w:rPr>
        <w:t>synthetic_data_generator.py</w:t>
      </w:r>
      <w:r>
        <w:t xml:space="preserve"> drive correlations; </w:t>
      </w:r>
      <w:r>
        <w:rPr>
          <w:b/>
        </w:rPr>
        <w:t>real</w:t>
      </w:r>
      <w:r>
        <w:t xml:space="preserve"> contractor data may shift error until reported.</w:t>
      </w:r>
    </w:p>
    <w:p w14:paraId="00CC2660" w14:textId="77777777" w:rsidR="00242B95" w:rsidRDefault="00000000">
      <w:pPr>
        <w:pStyle w:val="ListBullet"/>
      </w:pPr>
      <w:r>
        <w:rPr>
          <w:b/>
        </w:rPr>
        <w:t>Reliability heuristic</w:t>
      </w:r>
      <w:r>
        <w:t xml:space="preserve"> — distance-based score, </w:t>
      </w:r>
      <w:r>
        <w:rPr>
          <w:b/>
        </w:rPr>
        <w:t>not</w:t>
      </w:r>
      <w:r>
        <w:t xml:space="preserve"> a formal prediction interval or calibrated error probability.</w:t>
      </w:r>
    </w:p>
    <w:p w14:paraId="32E8F30A" w14:textId="77777777" w:rsidR="00242B95" w:rsidRDefault="00000000">
      <w:pPr>
        <w:pStyle w:val="ListBullet"/>
      </w:pPr>
      <w:r>
        <w:rPr>
          <w:b/>
        </w:rPr>
        <w:t>Economic and carbon defaults</w:t>
      </w:r>
      <w:r>
        <w:t xml:space="preserve"> — placeholders until tied to </w:t>
      </w:r>
      <w:r>
        <w:rPr>
          <w:b/>
        </w:rPr>
        <w:t>quotes</w:t>
      </w:r>
      <w:r>
        <w:t xml:space="preserve"> and </w:t>
      </w:r>
      <w:r>
        <w:rPr>
          <w:b/>
        </w:rPr>
        <w:t>verified</w:t>
      </w:r>
      <w:r>
        <w:t xml:space="preserve"> factors for specific steel products and regions.</w:t>
      </w:r>
    </w:p>
    <w:p w14:paraId="2DC08906" w14:textId="77777777" w:rsidR="00242B95" w:rsidRDefault="00000000">
      <w:pPr>
        <w:pStyle w:val="ListBullet"/>
      </w:pPr>
      <w:r>
        <w:rPr>
          <w:b/>
        </w:rPr>
        <w:t>Scenario workflow</w:t>
      </w:r>
      <w:r>
        <w:t xml:space="preserve"> — users compare cases by </w:t>
      </w:r>
      <w:r>
        <w:rPr>
          <w:b/>
        </w:rPr>
        <w:t>editing and resubmitting</w:t>
      </w:r>
      <w:r>
        <w:t xml:space="preserve">, not by a stored </w:t>
      </w:r>
      <w:r>
        <w:rPr>
          <w:b/>
        </w:rPr>
        <w:t>A vs. B</w:t>
      </w:r>
      <w:r>
        <w:t xml:space="preserve"> session in the UI.</w:t>
      </w:r>
    </w:p>
    <w:p w14:paraId="4E55679C" w14:textId="77777777" w:rsidR="00242B95" w:rsidRDefault="00000000">
      <w:r>
        <w:t xml:space="preserve">Looking forward, natural next steps include </w:t>
      </w:r>
      <w:r>
        <w:rPr>
          <w:b/>
        </w:rPr>
        <w:t>ingesting real site and procurement fields</w:t>
      </w:r>
      <w:r>
        <w:t xml:space="preserve">, </w:t>
      </w:r>
      <w:r>
        <w:rPr>
          <w:b/>
        </w:rPr>
        <w:t>re-evaluating</w:t>
      </w:r>
      <w:r>
        <w:t xml:space="preserve"> models on a </w:t>
      </w:r>
      <w:r>
        <w:rPr>
          <w:b/>
        </w:rPr>
        <w:t>real hold-out</w:t>
      </w:r>
      <w:r>
        <w:t xml:space="preserve"> set (and updating </w:t>
      </w:r>
      <w:r>
        <w:rPr>
          <w:b/>
        </w:rPr>
        <w:t>Table 3</w:t>
      </w:r>
      <w:r>
        <w:t xml:space="preserve">-style results), adding an optional </w:t>
      </w:r>
      <w:r>
        <w:rPr>
          <w:b/>
        </w:rPr>
        <w:t>dual-scenario</w:t>
      </w:r>
      <w:r>
        <w:t xml:space="preserve"> or </w:t>
      </w:r>
      <w:r>
        <w:rPr>
          <w:b/>
        </w:rPr>
        <w:t>export</w:t>
      </w:r>
      <w:r>
        <w:t xml:space="preserve"> feature for tenders, </w:t>
      </w:r>
      <w:r>
        <w:rPr>
          <w:b/>
        </w:rPr>
        <w:t>hardening</w:t>
      </w:r>
      <w:r>
        <w:t xml:space="preserve"> deployment (HTTPS, WSGI, removal of debug routes), and </w:t>
      </w:r>
      <w:r>
        <w:rPr>
          <w:b/>
        </w:rPr>
        <w:t>localising</w:t>
      </w:r>
      <w:r>
        <w:t xml:space="preserve"> currency and language if the tool leaves the academic context.</w:t>
      </w:r>
    </w:p>
    <w:p w14:paraId="3D74A540" w14:textId="77777777" w:rsidR="00242B95" w:rsidRDefault="00000000">
      <w:pPr>
        <w:pStyle w:val="Heading2"/>
      </w:pPr>
      <w:r>
        <w:lastRenderedPageBreak/>
        <w:t>12. Suggested figures for the report</w:t>
      </w:r>
    </w:p>
    <w:p w14:paraId="3EF454C1" w14:textId="77777777" w:rsidR="00242B95" w:rsidRDefault="00000000">
      <w:r>
        <w:t xml:space="preserve">Figures matter in defence. Plan visuals so both </w:t>
      </w:r>
      <w:r>
        <w:rPr>
          <w:b/>
        </w:rPr>
        <w:t>inputs</w:t>
      </w:r>
      <w:r>
        <w:t xml:space="preserve"> and </w:t>
      </w:r>
      <w:r>
        <w:rPr>
          <w:b/>
        </w:rPr>
        <w:t>full outputs</w:t>
      </w:r>
      <w:r>
        <w:t xml:space="preserve"> appear, not only the headline percentage.</w:t>
      </w:r>
    </w:p>
    <w:p w14:paraId="3E64350C" w14:textId="77777777" w:rsidR="00242B95" w:rsidRDefault="00000000">
      <w:pPr>
        <w:pStyle w:val="ListBullet"/>
      </w:pPr>
      <w:r>
        <w:rPr>
          <w:b/>
        </w:rPr>
        <w:t>Predict</w:t>
      </w:r>
      <w:r>
        <w:t xml:space="preserve"> screen: form plus </w:t>
      </w:r>
      <w:r>
        <w:rPr>
          <w:b/>
        </w:rPr>
        <w:t>complete</w:t>
      </w:r>
      <w:r>
        <w:t xml:space="preserve"> results card—</w:t>
      </w:r>
      <w:r>
        <w:rPr>
          <w:b/>
        </w:rPr>
        <w:t>%</w:t>
      </w:r>
      <w:r>
        <w:t xml:space="preserve">, </w:t>
      </w:r>
      <w:r>
        <w:rPr>
          <w:b/>
        </w:rPr>
        <w:t>category</w:t>
      </w:r>
      <w:r>
        <w:t xml:space="preserve">, </w:t>
      </w:r>
      <w:r>
        <w:rPr>
          <w:b/>
        </w:rPr>
        <w:t>reliability</w:t>
      </w:r>
      <w:r>
        <w:t xml:space="preserve"> text and badge, </w:t>
      </w:r>
      <w:r>
        <w:rPr>
          <w:b/>
        </w:rPr>
        <w:t>cost/CO₂</w:t>
      </w:r>
      <w:r>
        <w:t xml:space="preserve"> tiles, </w:t>
      </w:r>
      <w:r>
        <w:rPr>
          <w:b/>
        </w:rPr>
        <w:t>explainability</w:t>
      </w:r>
      <w:r>
        <w:t xml:space="preserve"> list including </w:t>
      </w:r>
      <w:r>
        <w:rPr>
          <w:b/>
        </w:rPr>
        <w:t>SHAP</w:t>
      </w:r>
      <w:r>
        <w:t xml:space="preserve"> vs </w:t>
      </w:r>
      <w:r>
        <w:rPr>
          <w:b/>
        </w:rPr>
        <w:t>Feature Importance</w:t>
      </w:r>
      <w:r>
        <w:t xml:space="preserve"> label.</w:t>
      </w:r>
    </w:p>
    <w:p w14:paraId="2553EB65" w14:textId="77777777" w:rsidR="00242B95" w:rsidRDefault="00000000">
      <w:pPr>
        <w:pStyle w:val="ListBullet"/>
      </w:pPr>
      <w:r>
        <w:rPr>
          <w:b/>
        </w:rPr>
        <w:t>Landing</w:t>
      </w:r>
      <w:r>
        <w:t xml:space="preserve">, </w:t>
      </w:r>
      <w:r>
        <w:rPr>
          <w:b/>
        </w:rPr>
        <w:t>About</w:t>
      </w:r>
      <w:r>
        <w:t xml:space="preserve">, and </w:t>
      </w:r>
      <w:r>
        <w:rPr>
          <w:b/>
        </w:rPr>
        <w:t>Features</w:t>
      </w:r>
      <w:r>
        <w:t xml:space="preserve"> pages: show polish and navigation.</w:t>
      </w:r>
    </w:p>
    <w:p w14:paraId="1F7A59F6" w14:textId="77777777" w:rsidR="00242B95" w:rsidRDefault="00000000">
      <w:pPr>
        <w:pStyle w:val="ListBullet"/>
      </w:pPr>
      <w:r>
        <w:rPr>
          <w:b/>
        </w:rPr>
        <w:t>Optional:</w:t>
      </w:r>
      <w:r>
        <w:t xml:space="preserve"> one </w:t>
      </w:r>
      <w:r>
        <w:rPr>
          <w:b/>
        </w:rPr>
        <w:t>cropped JSON</w:t>
      </w:r>
      <w:r>
        <w:t xml:space="preserve"> response from </w:t>
      </w:r>
      <w:r>
        <w:rPr>
          <w:b/>
        </w:rPr>
        <w:t>`/api/predict`</w:t>
      </w:r>
      <w:r>
        <w:t xml:space="preserve"> beside a note that it matches the form pipeline.</w:t>
      </w:r>
    </w:p>
    <w:p w14:paraId="33D9E4CC" w14:textId="77777777" w:rsidR="00242B95" w:rsidRDefault="00000000">
      <w:r>
        <w:t>High resolution avoids blurry printouts; consistent browser zoom keeps captions honest when you describe what the reader is seeing.</w:t>
      </w:r>
    </w:p>
    <w:p w14:paraId="492B22F3" w14:textId="77777777" w:rsidR="00242B95" w:rsidRDefault="00000000">
      <w:pPr>
        <w:pStyle w:val="Heading2"/>
      </w:pPr>
      <w:r>
        <w:t>13. Key code references (for appendix or footnotes)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525"/>
      </w:tblGrid>
      <w:tr w:rsidR="00242B95" w14:paraId="2AE714E1" w14:textId="77777777">
        <w:tc>
          <w:tcPr>
            <w:tcW w:w="4320" w:type="dxa"/>
          </w:tcPr>
          <w:p w14:paraId="16E8B100" w14:textId="77777777" w:rsidR="00242B95" w:rsidRDefault="00000000">
            <w:r>
              <w:t>Topic</w:t>
            </w:r>
          </w:p>
        </w:tc>
        <w:tc>
          <w:tcPr>
            <w:tcW w:w="4320" w:type="dxa"/>
          </w:tcPr>
          <w:p w14:paraId="77DB15FA" w14:textId="77777777" w:rsidR="00242B95" w:rsidRDefault="00000000">
            <w:r>
              <w:t>Location</w:t>
            </w:r>
          </w:p>
        </w:tc>
      </w:tr>
      <w:tr w:rsidR="00242B95" w14:paraId="3028A518" w14:textId="77777777">
        <w:tc>
          <w:tcPr>
            <w:tcW w:w="4320" w:type="dxa"/>
          </w:tcPr>
          <w:p w14:paraId="7E18B55B" w14:textId="77777777" w:rsidR="00242B95" w:rsidRDefault="00000000">
            <w:r>
              <w:t>Preprocess, train, save, load</w:t>
            </w:r>
          </w:p>
        </w:tc>
        <w:tc>
          <w:tcPr>
            <w:tcW w:w="4320" w:type="dxa"/>
          </w:tcPr>
          <w:p w14:paraId="14F2580D" w14:textId="77777777" w:rsidR="00242B95" w:rsidRDefault="00000000">
            <w:r>
              <w:t>model.py — prepare_features, compare_models, save_best_model, load_model</w:t>
            </w:r>
          </w:p>
        </w:tc>
      </w:tr>
      <w:tr w:rsidR="00242B95" w14:paraId="7A05FD3F" w14:textId="77777777">
        <w:tc>
          <w:tcPr>
            <w:tcW w:w="4320" w:type="dxa"/>
          </w:tcPr>
          <w:p w14:paraId="2252504E" w14:textId="77777777" w:rsidR="00242B95" w:rsidRDefault="00000000">
            <w:r>
              <w:t>Predict + analytics</w:t>
            </w:r>
          </w:p>
        </w:tc>
        <w:tc>
          <w:tcPr>
            <w:tcW w:w="4320" w:type="dxa"/>
          </w:tcPr>
          <w:p w14:paraId="4ADF77DC" w14:textId="77777777" w:rsidR="00242B95" w:rsidRDefault="00000000">
            <w:r>
              <w:t>model.py — predict, explain_prediction, calculate_reliability, calculate_cost_co2_impact</w:t>
            </w:r>
          </w:p>
        </w:tc>
      </w:tr>
      <w:tr w:rsidR="00242B95" w14:paraId="704AD94E" w14:textId="77777777">
        <w:tc>
          <w:tcPr>
            <w:tcW w:w="4320" w:type="dxa"/>
          </w:tcPr>
          <w:p w14:paraId="52D16148" w14:textId="77777777" w:rsidR="00242B95" w:rsidRDefault="00000000">
            <w:r>
              <w:t>Web + API</w:t>
            </w:r>
          </w:p>
        </w:tc>
        <w:tc>
          <w:tcPr>
            <w:tcW w:w="4320" w:type="dxa"/>
          </w:tcPr>
          <w:p w14:paraId="458DE9B0" w14:textId="77777777" w:rsidR="00242B95" w:rsidRDefault="00000000">
            <w:r>
              <w:t>app.py — load_model, predict() route, api_predict, get_waste_category, format_explainability_features</w:t>
            </w:r>
          </w:p>
        </w:tc>
      </w:tr>
      <w:tr w:rsidR="00242B95" w14:paraId="06F40E90" w14:textId="77777777">
        <w:tc>
          <w:tcPr>
            <w:tcW w:w="4320" w:type="dxa"/>
          </w:tcPr>
          <w:p w14:paraId="027F7369" w14:textId="77777777" w:rsidR="00242B95" w:rsidRDefault="00000000">
            <w:r>
              <w:t>UI</w:t>
            </w:r>
          </w:p>
        </w:tc>
        <w:tc>
          <w:tcPr>
            <w:tcW w:w="4320" w:type="dxa"/>
          </w:tcPr>
          <w:p w14:paraId="6E7B302D" w14:textId="77777777" w:rsidR="00242B95" w:rsidRDefault="00000000">
            <w:r>
              <w:t>templates/predict.html, base.html</w:t>
            </w:r>
          </w:p>
        </w:tc>
      </w:tr>
      <w:tr w:rsidR="00242B95" w14:paraId="07681852" w14:textId="77777777">
        <w:tc>
          <w:tcPr>
            <w:tcW w:w="4320" w:type="dxa"/>
          </w:tcPr>
          <w:p w14:paraId="5BDF570B" w14:textId="77777777" w:rsidR="00242B95" w:rsidRDefault="00000000">
            <w:r>
              <w:t>Synthetic data</w:t>
            </w:r>
          </w:p>
        </w:tc>
        <w:tc>
          <w:tcPr>
            <w:tcW w:w="4320" w:type="dxa"/>
          </w:tcPr>
          <w:p w14:paraId="221B2BB2" w14:textId="77777777" w:rsidR="00242B95" w:rsidRDefault="00000000">
            <w:r>
              <w:t>data_generation/synthetic_data_generator.py, generate_train_test_data.py</w:t>
            </w:r>
          </w:p>
        </w:tc>
      </w:tr>
      <w:tr w:rsidR="00242B95" w14:paraId="095E9B70" w14:textId="77777777">
        <w:tc>
          <w:tcPr>
            <w:tcW w:w="4320" w:type="dxa"/>
          </w:tcPr>
          <w:p w14:paraId="3F79AE4C" w14:textId="77777777" w:rsidR="00242B95" w:rsidRDefault="00000000">
            <w:r>
              <w:t>Dependencies</w:t>
            </w:r>
          </w:p>
        </w:tc>
        <w:tc>
          <w:tcPr>
            <w:tcW w:w="4320" w:type="dxa"/>
          </w:tcPr>
          <w:p w14:paraId="3A206F67" w14:textId="77777777" w:rsidR="00242B95" w:rsidRDefault="00000000">
            <w:r>
              <w:t>requirements.txt</w:t>
            </w:r>
          </w:p>
        </w:tc>
      </w:tr>
    </w:tbl>
    <w:p w14:paraId="0D7DC313" w14:textId="77777777" w:rsidR="00242B95" w:rsidRDefault="00242B95"/>
    <w:p w14:paraId="2D3866A9" w14:textId="7C245F79" w:rsidR="00242B95" w:rsidRDefault="00000000" w:rsidP="00C44393">
      <w:r>
        <w:t xml:space="preserve">The table above is the compact index; the prose sections of this chapter explain </w:t>
      </w:r>
      <w:r>
        <w:rPr>
          <w:b/>
        </w:rPr>
        <w:t>why</w:t>
      </w:r>
      <w:r>
        <w:t xml:space="preserve"> each area exists and </w:t>
      </w:r>
      <w:r>
        <w:rPr>
          <w:b/>
        </w:rPr>
        <w:t>how</w:t>
      </w:r>
      <w:r>
        <w:t xml:space="preserve"> it behaves for users and examiners.</w:t>
      </w:r>
    </w:p>
    <w:sectPr w:rsidR="00242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894202">
    <w:abstractNumId w:val="8"/>
  </w:num>
  <w:num w:numId="2" w16cid:durableId="1993632935">
    <w:abstractNumId w:val="6"/>
  </w:num>
  <w:num w:numId="3" w16cid:durableId="77292901">
    <w:abstractNumId w:val="5"/>
  </w:num>
  <w:num w:numId="4" w16cid:durableId="342900474">
    <w:abstractNumId w:val="4"/>
  </w:num>
  <w:num w:numId="5" w16cid:durableId="168761874">
    <w:abstractNumId w:val="7"/>
  </w:num>
  <w:num w:numId="6" w16cid:durableId="498663988">
    <w:abstractNumId w:val="3"/>
  </w:num>
  <w:num w:numId="7" w16cid:durableId="1735658575">
    <w:abstractNumId w:val="2"/>
  </w:num>
  <w:num w:numId="8" w16cid:durableId="32582522">
    <w:abstractNumId w:val="1"/>
  </w:num>
  <w:num w:numId="9" w16cid:durableId="82224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B95"/>
    <w:rsid w:val="0029639D"/>
    <w:rsid w:val="00326F90"/>
    <w:rsid w:val="006F774F"/>
    <w:rsid w:val="00AA1D8D"/>
    <w:rsid w:val="00B47730"/>
    <w:rsid w:val="00C44393"/>
    <w:rsid w:val="00CB0664"/>
    <w:rsid w:val="00F02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EEEAA"/>
  <w14:defaultImageDpi w14:val="300"/>
  <w15:docId w15:val="{BD42C69C-189D-AA4F-9F89-91EC1859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0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09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B0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0209E"/>
    <w:rPr>
      <w:rFonts w:asciiTheme="majorHAnsi" w:eastAsiaTheme="majorEastAsia" w:hAnsiTheme="majorHAnsi" w:cstheme="majorBidi"/>
      <w:b/>
      <w:bCs/>
      <w:color w:val="FF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209E"/>
    <w:rPr>
      <w:rFonts w:asciiTheme="majorHAnsi" w:eastAsiaTheme="majorEastAsia" w:hAnsiTheme="majorHAnsi" w:cstheme="majorBidi"/>
      <w:b/>
      <w:bCs/>
      <w:color w:val="00B050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3284</Words>
  <Characters>18720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WAKED,Ahlam</cp:lastModifiedBy>
  <cp:revision>3</cp:revision>
  <dcterms:created xsi:type="dcterms:W3CDTF">2013-12-23T23:15:00Z</dcterms:created>
  <dcterms:modified xsi:type="dcterms:W3CDTF">2026-03-20T01:57:00Z</dcterms:modified>
  <cp:category/>
</cp:coreProperties>
</file>