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" w:hanging="10"/>
        <w:rPr/>
      </w:pPr>
      <w:r w:rsidDel="00000000" w:rsidR="00000000" w:rsidRPr="00000000">
        <w:rPr>
          <w:rtl w:val="0"/>
        </w:rPr>
        <w:t xml:space="preserve">Christofer Paes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GCC / CSC 230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11/19/2021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Exercise 5.2</w:t>
      </w:r>
    </w:p>
    <w:p w:rsidR="00000000" w:rsidDel="00000000" w:rsidP="00000000" w:rsidRDefault="00000000" w:rsidRPr="00000000" w14:paraId="00000005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" w:hanging="1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5.2 Caches are important to providing a high-performance memory hierarchy to processors.  Below is a list of 32-bit memory address references, given as word addresses.</w:t>
      </w:r>
    </w:p>
    <w:p w:rsidR="00000000" w:rsidDel="00000000" w:rsidP="00000000" w:rsidRDefault="00000000" w:rsidRPr="00000000" w14:paraId="00000007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5" w:hanging="1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5.2.1 [10] &lt;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§</w:t>
      </w:r>
      <w:r w:rsidDel="00000000" w:rsidR="00000000" w:rsidRPr="00000000">
        <w:rPr>
          <w:smallCaps w:val="0"/>
          <w:rtl w:val="0"/>
        </w:rPr>
        <w:t xml:space="preserve">5.3&gt; For each of these references, identify the binary address, the tag, and the index given a direct-mapped cache with 16 one-word blocks.  Also list if each reference is a hit or a miss, assuming the cache is initially empty.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55.0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"/>
        <w:gridCol w:w="1261"/>
        <w:gridCol w:w="1080"/>
        <w:gridCol w:w="900"/>
        <w:gridCol w:w="990"/>
        <w:tblGridChange w:id="0">
          <w:tblGrid>
            <w:gridCol w:w="924"/>
            <w:gridCol w:w="1261"/>
            <w:gridCol w:w="1080"/>
            <w:gridCol w:w="90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Word Address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Binary Address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right="1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Tag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right="1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left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Hit/Miss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0000 0011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1011 0100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0010 1001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0000 0010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0101 1000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0000 1110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0010 1100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1111 0011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5" w:hanging="10"/>
        <w:rPr>
          <w:rFonts w:ascii="Franklin Gothic" w:cs="Franklin Gothic" w:eastAsia="Franklin Gothic" w:hAnsi="Franklin Gothic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5" w:hanging="1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5.2.2 [10] &lt;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§5.3&gt; For each of these references, </w:t>
      </w:r>
      <w:r w:rsidDel="00000000" w:rsidR="00000000" w:rsidRPr="00000000">
        <w:rPr>
          <w:smallCaps w:val="0"/>
          <w:rtl w:val="0"/>
        </w:rPr>
        <w:t xml:space="preserve">identify the binary address, the tag, and the index given a direct-mapped cache with two-word blocks and a total size of 8 blocks.  Also list if each reference is a hit or a miss, assuming the cache is initially empty.</w:t>
      </w:r>
    </w:p>
    <w:tbl>
      <w:tblPr>
        <w:tblStyle w:val="Table2"/>
        <w:tblW w:w="5155.0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"/>
        <w:gridCol w:w="1261"/>
        <w:gridCol w:w="1080"/>
        <w:gridCol w:w="900"/>
        <w:gridCol w:w="990"/>
        <w:tblGridChange w:id="0">
          <w:tblGrid>
            <w:gridCol w:w="924"/>
            <w:gridCol w:w="1261"/>
            <w:gridCol w:w="1080"/>
            <w:gridCol w:w="900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Word Address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Binary Address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right="1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Tag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right="10" w:firstLine="0"/>
              <w:jc w:val="center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shd w:fill="d9d9d9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left"/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color w:val="000000"/>
                <w:sz w:val="20"/>
                <w:szCs w:val="20"/>
                <w:rtl w:val="0"/>
              </w:rPr>
              <w:t xml:space="preserve">Hit/Miss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0000 0011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1011 0100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0010 1001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0000 0010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191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0101 1000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190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0000 1110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181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0010 1100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1011 1010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59" w:lineRule="auto"/>
              <w:ind w:left="0" w:firstLine="0"/>
              <w:jc w:val="center"/>
              <w:rPr>
                <w:rFonts w:ascii="Franklin Gothic" w:cs="Franklin Gothic" w:eastAsia="Franklin Gothic" w:hAnsi="Franklin Gothic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ranklin Gothic" w:cs="Franklin Gothic" w:eastAsia="Franklin Gothic" w:hAnsi="Franklin Gothic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ranklin Gothic" w:cs="Franklin Gothic" w:eastAsia="Franklin Gothic" w:hAnsi="Franklin Gothic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181717"/>
        <w:sz w:val="21"/>
        <w:szCs w:val="21"/>
      </w:rPr>
    </w:rPrDefault>
    <w:pPrDefault>
      <w:pPr>
        <w:spacing w:after="110" w:line="246.99999999999994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1" w:line="264.99999999999994" w:lineRule="auto"/>
      <w:jc w:val="left"/>
    </w:pPr>
    <w:rPr>
      <w:rFonts w:ascii="Franklin Gothic" w:cs="Franklin Gothic" w:eastAsia="Franklin Gothic" w:hAnsi="Franklin Gothic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1" w:line="264.99999999999994" w:lineRule="auto"/>
      <w:jc w:val="left"/>
    </w:pPr>
    <w:rPr>
      <w:rFonts w:ascii="Franklin Gothic" w:cs="Franklin Gothic" w:eastAsia="Franklin Gothic" w:hAnsi="Franklin Gothic"/>
      <w:smallCaps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