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B328" w14:textId="77777777" w:rsidR="007F54B1" w:rsidRPr="007C4859" w:rsidRDefault="007F54B1" w:rsidP="007F54B1">
      <w:pPr>
        <w:suppressLineNumbers/>
        <w:spacing w:line="480" w:lineRule="auto"/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7C4859">
        <w:rPr>
          <w:rFonts w:ascii="Roboto" w:hAnsi="Roboto"/>
          <w:b/>
          <w:bCs/>
          <w:sz w:val="32"/>
          <w:szCs w:val="32"/>
          <w:lang w:val="en-US"/>
        </w:rPr>
        <w:t>SUPPLEMENTAL MATERIAL</w:t>
      </w:r>
    </w:p>
    <w:p w14:paraId="0AC4D1E3" w14:textId="77777777" w:rsidR="007F54B1" w:rsidRPr="007C4859" w:rsidRDefault="007F54B1" w:rsidP="007F54B1">
      <w:pPr>
        <w:suppressLineNumbers/>
        <w:rPr>
          <w:rFonts w:ascii="Roboto" w:hAnsi="Roboto"/>
          <w:i/>
          <w:iCs/>
          <w:sz w:val="22"/>
          <w:szCs w:val="22"/>
          <w:lang w:val="en-US"/>
        </w:rPr>
      </w:pPr>
      <w:r w:rsidRPr="007C4859">
        <w:rPr>
          <w:rFonts w:ascii="Roboto" w:hAnsi="Roboto"/>
          <w:i/>
          <w:iCs/>
          <w:sz w:val="22"/>
          <w:szCs w:val="22"/>
          <w:lang w:val="en-US"/>
        </w:rPr>
        <w:br w:type="page"/>
      </w:r>
    </w:p>
    <w:p w14:paraId="3BB4A876" w14:textId="77777777" w:rsidR="007F54B1" w:rsidRPr="007C4859" w:rsidRDefault="007F54B1" w:rsidP="007F54B1">
      <w:pPr>
        <w:suppressLineNumbers/>
        <w:spacing w:line="480" w:lineRule="auto"/>
        <w:rPr>
          <w:rFonts w:ascii="Roboto" w:hAnsi="Roboto"/>
          <w:b/>
          <w:bCs/>
          <w:sz w:val="32"/>
          <w:szCs w:val="32"/>
          <w:u w:val="single"/>
          <w:lang w:val="en-US"/>
        </w:rPr>
      </w:pPr>
      <w:r w:rsidRPr="007C4859">
        <w:rPr>
          <w:rFonts w:ascii="Roboto" w:hAnsi="Roboto"/>
          <w:b/>
          <w:bCs/>
          <w:sz w:val="32"/>
          <w:szCs w:val="32"/>
          <w:u w:val="single"/>
          <w:lang w:val="en-US"/>
        </w:rPr>
        <w:lastRenderedPageBreak/>
        <w:t>Supplemental results</w:t>
      </w:r>
    </w:p>
    <w:p w14:paraId="1CAF9D26" w14:textId="77777777" w:rsidR="007F54B1" w:rsidRPr="007C4859" w:rsidRDefault="007F54B1" w:rsidP="007F54B1">
      <w:pPr>
        <w:suppressLineNumbers/>
        <w:spacing w:line="480" w:lineRule="auto"/>
        <w:rPr>
          <w:rFonts w:ascii="Roboto" w:hAnsi="Roboto"/>
          <w:i/>
          <w:iCs/>
          <w:sz w:val="22"/>
          <w:szCs w:val="22"/>
          <w:lang w:val="en-US"/>
        </w:rPr>
      </w:pPr>
      <w:r w:rsidRPr="007C4859">
        <w:rPr>
          <w:rFonts w:ascii="Roboto" w:hAnsi="Roboto"/>
          <w:i/>
          <w:iCs/>
          <w:sz w:val="22"/>
          <w:szCs w:val="22"/>
          <w:lang w:val="en-US"/>
        </w:rPr>
        <w:t>LV obstruction</w:t>
      </w:r>
    </w:p>
    <w:p w14:paraId="182C6BF6" w14:textId="37D8B52E" w:rsidR="007F54B1" w:rsidRPr="007C4859" w:rsidRDefault="007F54B1" w:rsidP="007F54B1">
      <w:pPr>
        <w:suppressLineNumbers/>
        <w:spacing w:line="480" w:lineRule="auto"/>
        <w:rPr>
          <w:rFonts w:ascii="Roboto" w:hAnsi="Roboto"/>
          <w:sz w:val="22"/>
          <w:szCs w:val="22"/>
          <w:lang w:val="en-US"/>
        </w:rPr>
      </w:pPr>
      <w:r w:rsidRPr="007C4859">
        <w:rPr>
          <w:rFonts w:ascii="Roboto" w:hAnsi="Roboto"/>
          <w:sz w:val="22"/>
          <w:szCs w:val="22"/>
          <w:lang w:val="en-US"/>
        </w:rPr>
        <w:t>During 19,889 person-years of follow-up in 2912 patients, the cumulative incidence of LV obstruction was almost twice as high in patients with non-</w:t>
      </w:r>
      <w:proofErr w:type="spellStart"/>
      <w:r w:rsidRPr="007C4859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7C4859">
        <w:rPr>
          <w:rFonts w:ascii="Roboto" w:hAnsi="Roboto"/>
          <w:sz w:val="22"/>
          <w:szCs w:val="22"/>
          <w:lang w:val="en-US"/>
        </w:rPr>
        <w:t xml:space="preserve"> HCM versus </w:t>
      </w:r>
      <w:proofErr w:type="spellStart"/>
      <w:r w:rsidRPr="007C4859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7C4859">
        <w:rPr>
          <w:rFonts w:ascii="Roboto" w:hAnsi="Roboto"/>
          <w:sz w:val="22"/>
          <w:szCs w:val="22"/>
          <w:lang w:val="en-US"/>
        </w:rPr>
        <w:t xml:space="preserve"> HCM (</w:t>
      </w:r>
      <w:r w:rsidRPr="007C4859">
        <w:rPr>
          <w:rFonts w:ascii="Roboto" w:hAnsi="Roboto"/>
          <w:b/>
          <w:bCs/>
          <w:sz w:val="22"/>
          <w:szCs w:val="22"/>
          <w:lang w:val="en-US"/>
        </w:rPr>
        <w:t>Supplementary Figure 1A</w:t>
      </w:r>
      <w:r w:rsidRPr="007C4859">
        <w:rPr>
          <w:rFonts w:ascii="Roboto" w:hAnsi="Roboto"/>
          <w:sz w:val="22"/>
          <w:szCs w:val="22"/>
          <w:lang w:val="en-US"/>
        </w:rPr>
        <w:t>). Age-specific incidences of LV obstruction was higher in patients with non-</w:t>
      </w:r>
      <w:proofErr w:type="spellStart"/>
      <w:r w:rsidRPr="007C4859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7C4859">
        <w:rPr>
          <w:rFonts w:ascii="Roboto" w:hAnsi="Roboto"/>
          <w:sz w:val="22"/>
          <w:szCs w:val="22"/>
          <w:lang w:val="en-US"/>
        </w:rPr>
        <w:t xml:space="preserve"> HCM across all age-groups (</w:t>
      </w:r>
      <w:r w:rsidRPr="007C4859">
        <w:rPr>
          <w:rFonts w:ascii="Roboto" w:hAnsi="Roboto"/>
          <w:b/>
          <w:bCs/>
          <w:sz w:val="22"/>
          <w:szCs w:val="22"/>
          <w:lang w:val="en-US"/>
        </w:rPr>
        <w:t>Supplementary Figure 1B</w:t>
      </w:r>
      <w:r w:rsidRPr="007C4859">
        <w:rPr>
          <w:rFonts w:ascii="Roboto" w:hAnsi="Roboto"/>
          <w:sz w:val="22"/>
          <w:szCs w:val="22"/>
          <w:lang w:val="en-US"/>
        </w:rPr>
        <w:t>). Since patients with non-</w:t>
      </w:r>
      <w:proofErr w:type="spellStart"/>
      <w:r w:rsidRPr="007C4859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7C4859">
        <w:rPr>
          <w:rFonts w:ascii="Roboto" w:hAnsi="Roboto"/>
          <w:sz w:val="22"/>
          <w:szCs w:val="22"/>
          <w:lang w:val="en-US"/>
        </w:rPr>
        <w:t xml:space="preserve"> HCM had a higher burden of cardiovascular risk factors, we performed Cox regression adjusted for age at HCM diagnosis, sex, presence of hypertension or obesity and being a proband. Patients with non-</w:t>
      </w:r>
      <w:proofErr w:type="spellStart"/>
      <w:r w:rsidRPr="007C4859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7C4859">
        <w:rPr>
          <w:rFonts w:ascii="Roboto" w:hAnsi="Roboto"/>
          <w:sz w:val="22"/>
          <w:szCs w:val="22"/>
          <w:lang w:val="en-US"/>
        </w:rPr>
        <w:t xml:space="preserve"> HCM had an adjusted HR of 1.5</w:t>
      </w:r>
      <w:r w:rsidR="004C327C">
        <w:rPr>
          <w:rFonts w:ascii="Roboto" w:hAnsi="Roboto"/>
          <w:sz w:val="22"/>
          <w:szCs w:val="22"/>
          <w:lang w:val="en-US"/>
        </w:rPr>
        <w:t>1</w:t>
      </w:r>
      <w:r w:rsidRPr="007C4859">
        <w:rPr>
          <w:rFonts w:ascii="Roboto" w:hAnsi="Roboto"/>
          <w:sz w:val="22"/>
          <w:szCs w:val="22"/>
          <w:lang w:val="en-US"/>
        </w:rPr>
        <w:t xml:space="preserve"> (CI: 1.</w:t>
      </w:r>
      <w:r w:rsidR="004C327C">
        <w:rPr>
          <w:rFonts w:ascii="Roboto" w:hAnsi="Roboto"/>
          <w:sz w:val="22"/>
          <w:szCs w:val="22"/>
          <w:lang w:val="en-US"/>
        </w:rPr>
        <w:t>27</w:t>
      </w:r>
      <w:r w:rsidRPr="007C4859">
        <w:rPr>
          <w:rFonts w:ascii="Roboto" w:hAnsi="Roboto"/>
          <w:sz w:val="22"/>
          <w:szCs w:val="22"/>
          <w:lang w:val="en-US"/>
        </w:rPr>
        <w:t>-1.</w:t>
      </w:r>
      <w:r w:rsidR="004C327C">
        <w:rPr>
          <w:rFonts w:ascii="Roboto" w:hAnsi="Roboto"/>
          <w:sz w:val="22"/>
          <w:szCs w:val="22"/>
          <w:lang w:val="en-US"/>
        </w:rPr>
        <w:t>80</w:t>
      </w:r>
      <w:r w:rsidRPr="007C4859">
        <w:rPr>
          <w:rFonts w:ascii="Roboto" w:hAnsi="Roboto"/>
          <w:sz w:val="22"/>
          <w:szCs w:val="22"/>
          <w:lang w:val="en-US"/>
        </w:rPr>
        <w:t>) for the presence of obstructive physiology.</w:t>
      </w:r>
    </w:p>
    <w:p w14:paraId="7B3675D5" w14:textId="77777777" w:rsidR="007F54B1" w:rsidRPr="007C4859" w:rsidRDefault="007F54B1" w:rsidP="007F54B1">
      <w:pPr>
        <w:suppressLineNumbers/>
        <w:spacing w:line="480" w:lineRule="auto"/>
        <w:rPr>
          <w:rFonts w:ascii="Roboto" w:hAnsi="Roboto"/>
          <w:i/>
          <w:iCs/>
          <w:sz w:val="22"/>
          <w:szCs w:val="22"/>
          <w:lang w:val="en-US"/>
        </w:rPr>
      </w:pPr>
    </w:p>
    <w:p w14:paraId="735378CB" w14:textId="77777777" w:rsidR="007F54B1" w:rsidRPr="007C4859" w:rsidRDefault="007F54B1" w:rsidP="007F54B1">
      <w:pPr>
        <w:suppressLineNumbers/>
        <w:spacing w:line="480" w:lineRule="auto"/>
        <w:rPr>
          <w:rFonts w:ascii="Roboto" w:hAnsi="Roboto"/>
          <w:i/>
          <w:iCs/>
          <w:sz w:val="22"/>
          <w:szCs w:val="22"/>
          <w:lang w:val="en-US"/>
        </w:rPr>
      </w:pPr>
      <w:r w:rsidRPr="007C4859">
        <w:rPr>
          <w:rFonts w:ascii="Roboto" w:hAnsi="Roboto"/>
          <w:i/>
          <w:iCs/>
          <w:sz w:val="22"/>
          <w:szCs w:val="22"/>
          <w:lang w:val="en-US"/>
        </w:rPr>
        <w:t>Cardiac arrhythmias</w:t>
      </w:r>
    </w:p>
    <w:p w14:paraId="644DECB8" w14:textId="7C45A672" w:rsidR="007F54B1" w:rsidRPr="001529A1" w:rsidRDefault="007F54B1" w:rsidP="007F54B1">
      <w:pPr>
        <w:suppressLineNumbers/>
        <w:spacing w:line="480" w:lineRule="auto"/>
        <w:rPr>
          <w:rFonts w:ascii="Roboto" w:hAnsi="Roboto"/>
          <w:sz w:val="22"/>
          <w:szCs w:val="22"/>
          <w:lang w:val="en-US"/>
        </w:rPr>
      </w:pPr>
      <w:r w:rsidRPr="007C4859">
        <w:rPr>
          <w:rFonts w:ascii="Roboto" w:hAnsi="Roboto"/>
          <w:sz w:val="22"/>
          <w:szCs w:val="22"/>
          <w:lang w:val="en-US"/>
        </w:rPr>
        <w:t xml:space="preserve">The incidence of </w:t>
      </w:r>
      <w:r w:rsidRPr="007C4859">
        <w:rPr>
          <w:rFonts w:ascii="Roboto" w:hAnsi="Roboto"/>
          <w:sz w:val="22"/>
          <w:szCs w:val="22"/>
          <w:u w:val="single"/>
          <w:lang w:val="en-US"/>
        </w:rPr>
        <w:t>atrial fibrillation</w:t>
      </w:r>
      <w:r w:rsidRPr="007C4859">
        <w:rPr>
          <w:rFonts w:ascii="Roboto" w:hAnsi="Roboto"/>
          <w:sz w:val="22"/>
          <w:szCs w:val="22"/>
          <w:lang w:val="en-US"/>
        </w:rPr>
        <w:t xml:space="preserve"> was evaluated over 33,069 person-years of follow-up in 4,768 patients without atrial fibrillation at baseline. The cumulative incidence </w:t>
      </w:r>
      <w:r w:rsidRPr="001529A1">
        <w:rPr>
          <w:rFonts w:ascii="Roboto" w:hAnsi="Roboto"/>
          <w:sz w:val="22"/>
          <w:szCs w:val="22"/>
          <w:lang w:val="en-US"/>
        </w:rPr>
        <w:t>of atrial fibrillation was similar in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and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during follow-up (log-rank p =0.078) (</w:t>
      </w:r>
      <w:r w:rsidR="001529A1" w:rsidRPr="007C4859">
        <w:rPr>
          <w:rFonts w:ascii="Roboto" w:hAnsi="Roboto"/>
          <w:b/>
          <w:bCs/>
          <w:sz w:val="22"/>
          <w:szCs w:val="22"/>
          <w:lang w:val="en-US"/>
        </w:rPr>
        <w:t xml:space="preserve">Supplementary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Figure 2a</w:t>
      </w:r>
      <w:r w:rsidRPr="001529A1">
        <w:rPr>
          <w:rFonts w:ascii="Roboto" w:hAnsi="Roboto"/>
          <w:sz w:val="22"/>
          <w:szCs w:val="22"/>
          <w:lang w:val="en-US"/>
        </w:rPr>
        <w:t xml:space="preserve">). To account, for factors associated with developing atrial fibrillation, we performed multiple Cox proportional hazards models adjusting for age, </w:t>
      </w:r>
      <w:proofErr w:type="gramStart"/>
      <w:r w:rsidRPr="001529A1">
        <w:rPr>
          <w:rFonts w:ascii="Roboto" w:hAnsi="Roboto"/>
          <w:sz w:val="22"/>
          <w:szCs w:val="22"/>
          <w:lang w:val="en-US"/>
        </w:rPr>
        <w:t>obesity</w:t>
      </w:r>
      <w:proofErr w:type="gramEnd"/>
      <w:r w:rsidRPr="001529A1">
        <w:rPr>
          <w:rFonts w:ascii="Roboto" w:hAnsi="Roboto"/>
          <w:sz w:val="22"/>
          <w:szCs w:val="22"/>
          <w:lang w:val="en-US"/>
        </w:rPr>
        <w:t xml:space="preserve"> and hypertension. In this analysis, having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was associated with a HR of 1.</w:t>
      </w:r>
      <w:r w:rsidR="004C327C">
        <w:rPr>
          <w:rFonts w:ascii="Roboto" w:hAnsi="Roboto"/>
          <w:sz w:val="22"/>
          <w:szCs w:val="22"/>
          <w:lang w:val="en-US"/>
        </w:rPr>
        <w:t>32</w:t>
      </w:r>
      <w:r w:rsidRPr="001529A1">
        <w:rPr>
          <w:rFonts w:ascii="Roboto" w:hAnsi="Roboto"/>
          <w:sz w:val="22"/>
          <w:szCs w:val="22"/>
          <w:lang w:val="en-US"/>
        </w:rPr>
        <w:t xml:space="preserve"> (CI: 1.1</w:t>
      </w:r>
      <w:r w:rsidR="004C327C">
        <w:rPr>
          <w:rFonts w:ascii="Roboto" w:hAnsi="Roboto"/>
          <w:sz w:val="22"/>
          <w:szCs w:val="22"/>
          <w:lang w:val="en-US"/>
        </w:rPr>
        <w:t>2</w:t>
      </w:r>
      <w:r w:rsidRPr="001529A1">
        <w:rPr>
          <w:rFonts w:ascii="Roboto" w:hAnsi="Roboto"/>
          <w:sz w:val="22"/>
          <w:szCs w:val="22"/>
          <w:lang w:val="en-US"/>
        </w:rPr>
        <w:t xml:space="preserve"> to 1.</w:t>
      </w:r>
      <w:r w:rsidR="004C327C">
        <w:rPr>
          <w:rFonts w:ascii="Roboto" w:hAnsi="Roboto"/>
          <w:sz w:val="22"/>
          <w:szCs w:val="22"/>
          <w:lang w:val="en-US"/>
        </w:rPr>
        <w:t>5</w:t>
      </w:r>
      <w:r w:rsidRPr="001529A1">
        <w:rPr>
          <w:rFonts w:ascii="Roboto" w:hAnsi="Roboto"/>
          <w:sz w:val="22"/>
          <w:szCs w:val="22"/>
          <w:lang w:val="en-US"/>
        </w:rPr>
        <w:t xml:space="preserve">6, p=0.001) for developing atrial fibrillation. Next, we calculated the age-specific incidence of atrial fibrillation and found this to be significantly higher in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across all evaluated age-groups (</w:t>
      </w:r>
      <w:r w:rsidR="001529A1" w:rsidRPr="007C4859">
        <w:rPr>
          <w:rFonts w:ascii="Roboto" w:hAnsi="Roboto"/>
          <w:b/>
          <w:bCs/>
          <w:sz w:val="22"/>
          <w:szCs w:val="22"/>
          <w:lang w:val="en-US"/>
        </w:rPr>
        <w:t xml:space="preserve">Supplementary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Figure 2c</w:t>
      </w:r>
      <w:r w:rsidRPr="001529A1">
        <w:rPr>
          <w:rFonts w:ascii="Roboto" w:hAnsi="Roboto"/>
          <w:sz w:val="22"/>
          <w:szCs w:val="22"/>
          <w:lang w:val="en-US"/>
        </w:rPr>
        <w:t xml:space="preserve">), with an age-standardized incidence ratio of 1.24 (CI: 1.13 to 1.37, p &lt;0.001) for atrial fibrillation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(25 [CI 24-30] versus 21 [CI: 19-24] per 1000 person-years). </w:t>
      </w:r>
    </w:p>
    <w:p w14:paraId="1C7F3B1E" w14:textId="22F489A6" w:rsidR="007F54B1" w:rsidRPr="001529A1" w:rsidRDefault="007F54B1" w:rsidP="007F54B1">
      <w:pPr>
        <w:suppressLineNumbers/>
        <w:spacing w:line="480" w:lineRule="auto"/>
        <w:rPr>
          <w:rFonts w:ascii="Roboto" w:hAnsi="Roboto"/>
          <w:sz w:val="22"/>
          <w:szCs w:val="22"/>
          <w:lang w:val="en-US"/>
        </w:rPr>
      </w:pPr>
      <w:r w:rsidRPr="001529A1">
        <w:rPr>
          <w:rFonts w:ascii="Roboto" w:hAnsi="Roboto"/>
          <w:sz w:val="22"/>
          <w:szCs w:val="22"/>
          <w:lang w:val="en-US"/>
        </w:rPr>
        <w:t xml:space="preserve">The incidence of the </w:t>
      </w:r>
      <w:r w:rsidRPr="001529A1">
        <w:rPr>
          <w:rFonts w:ascii="Roboto" w:hAnsi="Roboto"/>
          <w:sz w:val="22"/>
          <w:szCs w:val="22"/>
          <w:u w:val="single"/>
          <w:lang w:val="en-US"/>
        </w:rPr>
        <w:t>composite ventricular arrhythmia outcome</w:t>
      </w:r>
      <w:r w:rsidRPr="001529A1">
        <w:rPr>
          <w:rFonts w:ascii="Roboto" w:hAnsi="Roboto"/>
          <w:sz w:val="22"/>
          <w:szCs w:val="22"/>
          <w:lang w:val="en-US"/>
        </w:rPr>
        <w:t xml:space="preserve"> was evaluated over 3</w:t>
      </w:r>
      <w:r w:rsidR="001529A1">
        <w:rPr>
          <w:rFonts w:ascii="Roboto" w:hAnsi="Roboto"/>
          <w:sz w:val="22"/>
          <w:szCs w:val="22"/>
          <w:lang w:val="en-US"/>
        </w:rPr>
        <w:t>9</w:t>
      </w:r>
      <w:r w:rsidRPr="001529A1">
        <w:rPr>
          <w:rFonts w:ascii="Roboto" w:hAnsi="Roboto"/>
          <w:sz w:val="22"/>
          <w:szCs w:val="22"/>
          <w:lang w:val="en-US"/>
        </w:rPr>
        <w:t>,</w:t>
      </w:r>
      <w:r w:rsidR="001529A1">
        <w:rPr>
          <w:rFonts w:ascii="Roboto" w:hAnsi="Roboto"/>
          <w:sz w:val="22"/>
          <w:szCs w:val="22"/>
          <w:lang w:val="en-US"/>
        </w:rPr>
        <w:t>147</w:t>
      </w:r>
      <w:r w:rsidRPr="001529A1">
        <w:rPr>
          <w:rFonts w:ascii="Roboto" w:hAnsi="Roboto"/>
          <w:sz w:val="22"/>
          <w:szCs w:val="22"/>
          <w:lang w:val="en-US"/>
        </w:rPr>
        <w:t xml:space="preserve"> person-years of follow-up in </w:t>
      </w:r>
      <w:r w:rsidR="001529A1">
        <w:rPr>
          <w:rFonts w:ascii="Roboto" w:hAnsi="Roboto"/>
          <w:sz w:val="22"/>
          <w:szCs w:val="22"/>
          <w:lang w:val="en-US"/>
        </w:rPr>
        <w:t>5249</w:t>
      </w:r>
      <w:r w:rsidRPr="001529A1">
        <w:rPr>
          <w:rFonts w:ascii="Roboto" w:hAnsi="Roboto"/>
          <w:sz w:val="22"/>
          <w:szCs w:val="22"/>
          <w:lang w:val="en-US"/>
        </w:rPr>
        <w:t xml:space="preserve"> patients, without ventricular arrhythmias at baseline. The cumulative incidence was higher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during follow-up (p =0.004) (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Figure 2b</w:t>
      </w:r>
      <w:r w:rsidRPr="001529A1">
        <w:rPr>
          <w:rFonts w:ascii="Roboto" w:hAnsi="Roboto"/>
          <w:sz w:val="22"/>
          <w:szCs w:val="22"/>
          <w:lang w:val="en-US"/>
        </w:rPr>
        <w:t xml:space="preserve">). The </w:t>
      </w:r>
      <w:r w:rsidRPr="001529A1">
        <w:rPr>
          <w:rFonts w:ascii="Roboto" w:hAnsi="Roboto"/>
          <w:sz w:val="22"/>
          <w:szCs w:val="22"/>
          <w:lang w:val="en-US"/>
        </w:rPr>
        <w:lastRenderedPageBreak/>
        <w:t xml:space="preserve">age-specific incidence of the composite ventricular arrhythmia outcome was numerically higher in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HCM, across all evaluated age-groups (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Figure 2d</w:t>
      </w:r>
      <w:r w:rsidRPr="001529A1">
        <w:rPr>
          <w:rFonts w:ascii="Roboto" w:hAnsi="Roboto"/>
          <w:sz w:val="22"/>
          <w:szCs w:val="22"/>
          <w:lang w:val="en-US"/>
        </w:rPr>
        <w:t xml:space="preserve">), with the most pronounced difference in patients older than 65 years. Overall, the age-standardized incidence rate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and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was 7.</w:t>
      </w:r>
      <w:r w:rsidR="001529A1">
        <w:rPr>
          <w:rFonts w:ascii="Roboto" w:hAnsi="Roboto"/>
          <w:sz w:val="22"/>
          <w:szCs w:val="22"/>
          <w:lang w:val="en-US"/>
        </w:rPr>
        <w:t>4</w:t>
      </w:r>
      <w:r w:rsidRPr="001529A1">
        <w:rPr>
          <w:rFonts w:ascii="Roboto" w:hAnsi="Roboto"/>
          <w:sz w:val="22"/>
          <w:szCs w:val="22"/>
          <w:lang w:val="en-US"/>
        </w:rPr>
        <w:t xml:space="preserve"> (CI 6.</w:t>
      </w:r>
      <w:r w:rsidR="001529A1">
        <w:rPr>
          <w:rFonts w:ascii="Roboto" w:hAnsi="Roboto"/>
          <w:sz w:val="22"/>
          <w:szCs w:val="22"/>
          <w:lang w:val="en-US"/>
        </w:rPr>
        <w:t>3</w:t>
      </w:r>
      <w:r w:rsidRPr="001529A1">
        <w:rPr>
          <w:rFonts w:ascii="Roboto" w:hAnsi="Roboto"/>
          <w:sz w:val="22"/>
          <w:szCs w:val="22"/>
          <w:lang w:val="en-US"/>
        </w:rPr>
        <w:t>-8.</w:t>
      </w:r>
      <w:r w:rsidR="001529A1">
        <w:rPr>
          <w:rFonts w:ascii="Roboto" w:hAnsi="Roboto"/>
          <w:sz w:val="22"/>
          <w:szCs w:val="22"/>
          <w:lang w:val="en-US"/>
        </w:rPr>
        <w:t>7</w:t>
      </w:r>
      <w:r w:rsidRPr="001529A1">
        <w:rPr>
          <w:rFonts w:ascii="Roboto" w:hAnsi="Roboto"/>
          <w:sz w:val="22"/>
          <w:szCs w:val="22"/>
          <w:lang w:val="en-US"/>
        </w:rPr>
        <w:t>) versus 5.</w:t>
      </w:r>
      <w:r w:rsidR="001529A1">
        <w:rPr>
          <w:rFonts w:ascii="Roboto" w:hAnsi="Roboto"/>
          <w:sz w:val="22"/>
          <w:szCs w:val="22"/>
          <w:lang w:val="en-US"/>
        </w:rPr>
        <w:t>5</w:t>
      </w:r>
      <w:r w:rsidRPr="001529A1">
        <w:rPr>
          <w:rFonts w:ascii="Roboto" w:hAnsi="Roboto"/>
          <w:sz w:val="22"/>
          <w:szCs w:val="22"/>
          <w:lang w:val="en-US"/>
        </w:rPr>
        <w:t xml:space="preserve"> (CI: 4.</w:t>
      </w:r>
      <w:r w:rsidR="001529A1">
        <w:rPr>
          <w:rFonts w:ascii="Roboto" w:hAnsi="Roboto"/>
          <w:sz w:val="22"/>
          <w:szCs w:val="22"/>
          <w:lang w:val="en-US"/>
        </w:rPr>
        <w:t>2</w:t>
      </w:r>
      <w:r w:rsidRPr="001529A1">
        <w:rPr>
          <w:rFonts w:ascii="Roboto" w:hAnsi="Roboto"/>
          <w:sz w:val="22"/>
          <w:szCs w:val="22"/>
          <w:lang w:val="en-US"/>
        </w:rPr>
        <w:t>-7.</w:t>
      </w:r>
      <w:r w:rsidR="001529A1">
        <w:rPr>
          <w:rFonts w:ascii="Roboto" w:hAnsi="Roboto"/>
          <w:sz w:val="22"/>
          <w:szCs w:val="22"/>
          <w:lang w:val="en-US"/>
        </w:rPr>
        <w:t>1</w:t>
      </w:r>
      <w:r w:rsidRPr="001529A1">
        <w:rPr>
          <w:rFonts w:ascii="Roboto" w:hAnsi="Roboto"/>
          <w:sz w:val="22"/>
          <w:szCs w:val="22"/>
          <w:lang w:val="en-US"/>
        </w:rPr>
        <w:t xml:space="preserve">) per 1000 person-years. This corresponds to a standardized incidence ratio of </w:t>
      </w:r>
      <w:r w:rsidR="001529A1" w:rsidRPr="00040F1C">
        <w:rPr>
          <w:rFonts w:ascii="Roboto" w:hAnsi="Roboto"/>
          <w:sz w:val="22"/>
          <w:szCs w:val="22"/>
          <w:lang w:val="en-US"/>
        </w:rPr>
        <w:t>1.3</w:t>
      </w:r>
      <w:r w:rsidR="001529A1">
        <w:rPr>
          <w:rFonts w:ascii="Roboto" w:hAnsi="Roboto"/>
          <w:sz w:val="22"/>
          <w:szCs w:val="22"/>
          <w:lang w:val="en-US"/>
        </w:rPr>
        <w:t>0</w:t>
      </w:r>
      <w:r w:rsidR="001529A1" w:rsidRPr="00040F1C">
        <w:rPr>
          <w:rFonts w:ascii="Roboto" w:hAnsi="Roboto"/>
          <w:sz w:val="22"/>
          <w:szCs w:val="22"/>
          <w:lang w:val="en-US"/>
        </w:rPr>
        <w:t xml:space="preserve"> (CI: 1.1</w:t>
      </w:r>
      <w:r w:rsidR="001529A1">
        <w:rPr>
          <w:rFonts w:ascii="Roboto" w:hAnsi="Roboto"/>
          <w:sz w:val="22"/>
          <w:szCs w:val="22"/>
          <w:lang w:val="en-US"/>
        </w:rPr>
        <w:t>1</w:t>
      </w:r>
      <w:r w:rsidR="001529A1" w:rsidRPr="00D928F0">
        <w:rPr>
          <w:rFonts w:ascii="Roboto" w:hAnsi="Roboto"/>
          <w:sz w:val="22"/>
          <w:szCs w:val="22"/>
          <w:lang w:val="en-US"/>
        </w:rPr>
        <w:t xml:space="preserve"> to 1.5</w:t>
      </w:r>
      <w:r w:rsidR="001529A1">
        <w:rPr>
          <w:rFonts w:ascii="Roboto" w:hAnsi="Roboto"/>
          <w:sz w:val="22"/>
          <w:szCs w:val="22"/>
          <w:lang w:val="en-US"/>
        </w:rPr>
        <w:t>2</w:t>
      </w:r>
      <w:r w:rsidR="001529A1" w:rsidRPr="00040F1C">
        <w:rPr>
          <w:rFonts w:ascii="Roboto" w:hAnsi="Roboto"/>
          <w:sz w:val="22"/>
          <w:szCs w:val="22"/>
          <w:lang w:val="en-US"/>
        </w:rPr>
        <w:t>, p &lt;0.001)</w:t>
      </w:r>
      <w:r w:rsidRPr="001529A1">
        <w:rPr>
          <w:rFonts w:ascii="Roboto" w:hAnsi="Roboto"/>
          <w:sz w:val="22"/>
          <w:szCs w:val="22"/>
          <w:lang w:val="en-US"/>
        </w:rPr>
        <w:t xml:space="preserve"> for ventricular arrhythmias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 </w:t>
      </w:r>
    </w:p>
    <w:p w14:paraId="580BB36E" w14:textId="77777777" w:rsidR="007F54B1" w:rsidRPr="001529A1" w:rsidRDefault="007F54B1" w:rsidP="007F54B1">
      <w:pPr>
        <w:suppressLineNumbers/>
        <w:spacing w:line="480" w:lineRule="auto"/>
        <w:rPr>
          <w:rFonts w:ascii="Roboto" w:hAnsi="Roboto"/>
          <w:i/>
          <w:iCs/>
          <w:sz w:val="22"/>
          <w:szCs w:val="22"/>
          <w:lang w:val="en-US"/>
        </w:rPr>
      </w:pPr>
    </w:p>
    <w:p w14:paraId="53EF7261" w14:textId="77777777" w:rsidR="007F54B1" w:rsidRPr="001529A1" w:rsidRDefault="007F54B1" w:rsidP="007F54B1">
      <w:pPr>
        <w:suppressLineNumbers/>
        <w:spacing w:line="480" w:lineRule="auto"/>
        <w:rPr>
          <w:rFonts w:ascii="Roboto" w:hAnsi="Roboto"/>
          <w:i/>
          <w:iCs/>
          <w:sz w:val="22"/>
          <w:szCs w:val="22"/>
          <w:lang w:val="en-US"/>
        </w:rPr>
      </w:pPr>
      <w:r w:rsidRPr="001529A1">
        <w:rPr>
          <w:rFonts w:ascii="Roboto" w:hAnsi="Roboto"/>
          <w:i/>
          <w:iCs/>
          <w:sz w:val="22"/>
          <w:szCs w:val="22"/>
          <w:lang w:val="en-US"/>
        </w:rPr>
        <w:t xml:space="preserve">Left ventricular systolic </w:t>
      </w:r>
      <w:proofErr w:type="gramStart"/>
      <w:r w:rsidRPr="001529A1">
        <w:rPr>
          <w:rFonts w:ascii="Roboto" w:hAnsi="Roboto"/>
          <w:i/>
          <w:iCs/>
          <w:sz w:val="22"/>
          <w:szCs w:val="22"/>
          <w:lang w:val="en-US"/>
        </w:rPr>
        <w:t>dysfunction</w:t>
      </w:r>
      <w:proofErr w:type="gramEnd"/>
    </w:p>
    <w:p w14:paraId="2403D0E7" w14:textId="13612128" w:rsidR="007F54B1" w:rsidRPr="001529A1" w:rsidRDefault="007F54B1" w:rsidP="007F54B1">
      <w:pPr>
        <w:suppressLineNumbers/>
        <w:spacing w:line="480" w:lineRule="auto"/>
        <w:rPr>
          <w:rFonts w:ascii="Roboto" w:hAnsi="Roboto"/>
          <w:sz w:val="22"/>
          <w:szCs w:val="22"/>
          <w:lang w:val="en-US"/>
        </w:rPr>
      </w:pPr>
      <w:r w:rsidRPr="001529A1">
        <w:rPr>
          <w:rFonts w:ascii="Roboto" w:hAnsi="Roboto"/>
          <w:sz w:val="22"/>
          <w:szCs w:val="22"/>
          <w:lang w:val="en-US"/>
        </w:rPr>
        <w:t>The incidence of LV systolic dysfunction was evaluated over 3</w:t>
      </w:r>
      <w:r w:rsidR="001529A1">
        <w:rPr>
          <w:rFonts w:ascii="Roboto" w:hAnsi="Roboto"/>
          <w:sz w:val="22"/>
          <w:szCs w:val="22"/>
          <w:lang w:val="en-US"/>
        </w:rPr>
        <w:t>3</w:t>
      </w:r>
      <w:r w:rsidRPr="001529A1">
        <w:rPr>
          <w:rFonts w:ascii="Roboto" w:hAnsi="Roboto"/>
          <w:sz w:val="22"/>
          <w:szCs w:val="22"/>
          <w:lang w:val="en-US"/>
        </w:rPr>
        <w:t>,</w:t>
      </w:r>
      <w:r w:rsidR="001529A1">
        <w:rPr>
          <w:rFonts w:ascii="Roboto" w:hAnsi="Roboto"/>
          <w:sz w:val="22"/>
          <w:szCs w:val="22"/>
          <w:lang w:val="en-US"/>
        </w:rPr>
        <w:t>030</w:t>
      </w:r>
      <w:r w:rsidRPr="001529A1">
        <w:rPr>
          <w:rFonts w:ascii="Roboto" w:hAnsi="Roboto"/>
          <w:sz w:val="22"/>
          <w:szCs w:val="22"/>
          <w:lang w:val="en-US"/>
        </w:rPr>
        <w:t xml:space="preserve"> person-years of follow-up in 4</w:t>
      </w:r>
      <w:r w:rsidR="001529A1">
        <w:rPr>
          <w:rFonts w:ascii="Roboto" w:hAnsi="Roboto"/>
          <w:sz w:val="22"/>
          <w:szCs w:val="22"/>
          <w:lang w:val="en-US"/>
        </w:rPr>
        <w:t>756</w:t>
      </w:r>
      <w:r w:rsidRPr="001529A1">
        <w:rPr>
          <w:rFonts w:ascii="Roboto" w:hAnsi="Roboto"/>
          <w:sz w:val="22"/>
          <w:szCs w:val="22"/>
          <w:lang w:val="en-US"/>
        </w:rPr>
        <w:t xml:space="preserve"> patients with LVEF&gt;50% at baseline. The cumulative incidence of LV systolic dysfunction was similar during follow-up (p =0.</w:t>
      </w:r>
      <w:r w:rsidR="001529A1">
        <w:rPr>
          <w:rFonts w:ascii="Roboto" w:hAnsi="Roboto"/>
          <w:sz w:val="22"/>
          <w:szCs w:val="22"/>
          <w:lang w:val="en-US"/>
        </w:rPr>
        <w:t>23</w:t>
      </w:r>
      <w:r w:rsidRPr="001529A1">
        <w:rPr>
          <w:rFonts w:ascii="Roboto" w:hAnsi="Roboto"/>
          <w:sz w:val="22"/>
          <w:szCs w:val="22"/>
          <w:lang w:val="en-US"/>
        </w:rPr>
        <w:t>) (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Supplementary Figure 3a</w:t>
      </w:r>
      <w:r w:rsidRPr="001529A1">
        <w:rPr>
          <w:rFonts w:ascii="Roboto" w:hAnsi="Roboto"/>
          <w:sz w:val="22"/>
          <w:szCs w:val="22"/>
          <w:lang w:val="en-US"/>
        </w:rPr>
        <w:t xml:space="preserve">). However, the age-specific incidence rates of LV systolic dysfunction were numerically higher in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(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Supplementary Figure 3b</w:t>
      </w:r>
      <w:r w:rsidRPr="001529A1">
        <w:rPr>
          <w:rFonts w:ascii="Roboto" w:hAnsi="Roboto"/>
          <w:sz w:val="22"/>
          <w:szCs w:val="22"/>
          <w:lang w:val="en-US"/>
        </w:rPr>
        <w:t>) with an age-standardized incidence rate of LV systolic dysfunction of 1</w:t>
      </w:r>
      <w:r w:rsidR="001529A1">
        <w:rPr>
          <w:rFonts w:ascii="Roboto" w:hAnsi="Roboto"/>
          <w:sz w:val="22"/>
          <w:szCs w:val="22"/>
          <w:lang w:val="en-US"/>
        </w:rPr>
        <w:t>3</w:t>
      </w:r>
      <w:r w:rsidRPr="001529A1">
        <w:rPr>
          <w:rFonts w:ascii="Roboto" w:hAnsi="Roboto"/>
          <w:sz w:val="22"/>
          <w:szCs w:val="22"/>
          <w:lang w:val="en-US"/>
        </w:rPr>
        <w:t xml:space="preserve"> (CI 12-1</w:t>
      </w:r>
      <w:r w:rsidR="001529A1">
        <w:rPr>
          <w:rFonts w:ascii="Roboto" w:hAnsi="Roboto"/>
          <w:sz w:val="22"/>
          <w:szCs w:val="22"/>
          <w:lang w:val="en-US"/>
        </w:rPr>
        <w:t>5</w:t>
      </w:r>
      <w:r w:rsidRPr="001529A1">
        <w:rPr>
          <w:rFonts w:ascii="Roboto" w:hAnsi="Roboto"/>
          <w:sz w:val="22"/>
          <w:szCs w:val="22"/>
          <w:lang w:val="en-US"/>
        </w:rPr>
        <w:t xml:space="preserve">) versus 10 (CI: </w:t>
      </w:r>
      <w:r w:rsidR="001529A1">
        <w:rPr>
          <w:rFonts w:ascii="Roboto" w:hAnsi="Roboto"/>
          <w:sz w:val="22"/>
          <w:szCs w:val="22"/>
          <w:lang w:val="en-US"/>
        </w:rPr>
        <w:t>9</w:t>
      </w:r>
      <w:r w:rsidRPr="001529A1">
        <w:rPr>
          <w:rFonts w:ascii="Roboto" w:hAnsi="Roboto"/>
          <w:sz w:val="22"/>
          <w:szCs w:val="22"/>
          <w:lang w:val="en-US"/>
        </w:rPr>
        <w:t>-12) per 1000 person-years. This corresponds to a standardized incidence ratio of 1.</w:t>
      </w:r>
      <w:r w:rsidR="001529A1">
        <w:rPr>
          <w:rFonts w:ascii="Roboto" w:hAnsi="Roboto"/>
          <w:sz w:val="22"/>
          <w:szCs w:val="22"/>
          <w:lang w:val="en-US"/>
        </w:rPr>
        <w:t>22</w:t>
      </w:r>
      <w:r w:rsidRPr="001529A1">
        <w:rPr>
          <w:rFonts w:ascii="Roboto" w:hAnsi="Roboto"/>
          <w:sz w:val="22"/>
          <w:szCs w:val="22"/>
          <w:lang w:val="en-US"/>
        </w:rPr>
        <w:t xml:space="preserve"> (CI: 1.</w:t>
      </w:r>
      <w:r w:rsidR="001529A1">
        <w:rPr>
          <w:rFonts w:ascii="Roboto" w:hAnsi="Roboto"/>
          <w:sz w:val="22"/>
          <w:szCs w:val="22"/>
          <w:lang w:val="en-US"/>
        </w:rPr>
        <w:t>0</w:t>
      </w:r>
      <w:r w:rsidRPr="001529A1">
        <w:rPr>
          <w:rFonts w:ascii="Roboto" w:hAnsi="Roboto"/>
          <w:sz w:val="22"/>
          <w:szCs w:val="22"/>
          <w:lang w:val="en-US"/>
        </w:rPr>
        <w:t>7 to 1.</w:t>
      </w:r>
      <w:r w:rsidR="001529A1">
        <w:rPr>
          <w:rFonts w:ascii="Roboto" w:hAnsi="Roboto"/>
          <w:sz w:val="22"/>
          <w:szCs w:val="22"/>
          <w:lang w:val="en-US"/>
        </w:rPr>
        <w:t>39</w:t>
      </w:r>
      <w:r w:rsidRPr="001529A1">
        <w:rPr>
          <w:rFonts w:ascii="Roboto" w:hAnsi="Roboto"/>
          <w:sz w:val="22"/>
          <w:szCs w:val="22"/>
          <w:lang w:val="en-US"/>
        </w:rPr>
        <w:t xml:space="preserve">, p </w:t>
      </w:r>
      <w:r w:rsidR="001529A1">
        <w:rPr>
          <w:rFonts w:ascii="Roboto" w:hAnsi="Roboto"/>
          <w:sz w:val="22"/>
          <w:szCs w:val="22"/>
          <w:lang w:val="en-US"/>
        </w:rPr>
        <w:t>=</w:t>
      </w:r>
      <w:r w:rsidRPr="001529A1">
        <w:rPr>
          <w:rFonts w:ascii="Roboto" w:hAnsi="Roboto"/>
          <w:sz w:val="22"/>
          <w:szCs w:val="22"/>
          <w:lang w:val="en-US"/>
        </w:rPr>
        <w:t>0.00</w:t>
      </w:r>
      <w:r w:rsidR="001529A1">
        <w:rPr>
          <w:rFonts w:ascii="Roboto" w:hAnsi="Roboto"/>
          <w:sz w:val="22"/>
          <w:szCs w:val="22"/>
          <w:lang w:val="en-US"/>
        </w:rPr>
        <w:t>3</w:t>
      </w:r>
      <w:r w:rsidRPr="001529A1">
        <w:rPr>
          <w:rFonts w:ascii="Roboto" w:hAnsi="Roboto"/>
          <w:sz w:val="22"/>
          <w:szCs w:val="22"/>
          <w:lang w:val="en-US"/>
        </w:rPr>
        <w:t xml:space="preserve">)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</w:t>
      </w:r>
    </w:p>
    <w:p w14:paraId="4171E358" w14:textId="77777777" w:rsidR="007F54B1" w:rsidRPr="001529A1" w:rsidRDefault="007F54B1" w:rsidP="007F54B1">
      <w:pPr>
        <w:suppressLineNumbers/>
        <w:spacing w:line="480" w:lineRule="auto"/>
        <w:rPr>
          <w:rFonts w:ascii="Roboto" w:hAnsi="Roboto"/>
          <w:b/>
          <w:bCs/>
          <w:lang w:val="en-US"/>
        </w:rPr>
      </w:pPr>
      <w:r w:rsidRPr="001529A1">
        <w:rPr>
          <w:rFonts w:ascii="Roboto" w:hAnsi="Roboto"/>
          <w:b/>
          <w:bCs/>
          <w:lang w:val="en-US"/>
        </w:rPr>
        <w:br w:type="page"/>
      </w:r>
    </w:p>
    <w:p w14:paraId="492B6E00" w14:textId="77777777" w:rsidR="007F54B1" w:rsidRDefault="007F54B1" w:rsidP="007F54B1">
      <w:pPr>
        <w:suppressLineNumbers/>
        <w:spacing w:line="480" w:lineRule="auto"/>
        <w:ind w:left="-270"/>
        <w:rPr>
          <w:rFonts w:ascii="Roboto" w:hAnsi="Roboto"/>
        </w:rPr>
      </w:pPr>
      <w:proofErr w:type="spellStart"/>
      <w:r>
        <w:rPr>
          <w:rFonts w:ascii="Roboto" w:hAnsi="Roboto"/>
          <w:b/>
          <w:bCs/>
        </w:rPr>
        <w:lastRenderedPageBreak/>
        <w:t>Supplementary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 w:rsidRPr="00DB6D77">
        <w:rPr>
          <w:rFonts w:ascii="Roboto" w:hAnsi="Roboto"/>
          <w:b/>
          <w:bCs/>
        </w:rPr>
        <w:t>Figure</w:t>
      </w:r>
      <w:proofErr w:type="spellEnd"/>
      <w:r w:rsidRPr="00DB6D77"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/>
          <w:bCs/>
        </w:rPr>
        <w:t>1</w:t>
      </w:r>
      <w:r w:rsidRPr="00DB6D77">
        <w:rPr>
          <w:rFonts w:ascii="Roboto" w:hAnsi="Roboto"/>
        </w:rPr>
        <w:t xml:space="preserve"> </w:t>
      </w:r>
    </w:p>
    <w:p w14:paraId="2227D756" w14:textId="170F6EB5" w:rsidR="007F54B1" w:rsidRPr="00DB6D77" w:rsidRDefault="007F54B1" w:rsidP="007F54B1">
      <w:pPr>
        <w:suppressLineNumbers/>
        <w:tabs>
          <w:tab w:val="left" w:pos="3946"/>
        </w:tabs>
        <w:rPr>
          <w:rFonts w:ascii="Roboto" w:hAnsi="Roboto"/>
          <w:noProof/>
        </w:rPr>
      </w:pPr>
      <w:r>
        <w:rPr>
          <w:rFonts w:ascii="Roboto" w:hAnsi="Roboto"/>
          <w:noProof/>
          <w14:ligatures w14:val="standardContextual"/>
        </w:rPr>
        <w:drawing>
          <wp:inline distT="0" distB="0" distL="0" distR="0" wp14:anchorId="7878144F" wp14:editId="31B007CC">
            <wp:extent cx="4439798" cy="6508222"/>
            <wp:effectExtent l="0" t="0" r="5715" b="0"/>
            <wp:docPr id="1138681255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81255" name="Billede 11386812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832" cy="65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AFD8" w14:textId="4616E301" w:rsidR="007F54B1" w:rsidRPr="001529A1" w:rsidRDefault="007F54B1" w:rsidP="007F54B1">
      <w:pPr>
        <w:suppressLineNumbers/>
        <w:spacing w:line="480" w:lineRule="auto"/>
        <w:ind w:left="-270"/>
        <w:rPr>
          <w:rFonts w:ascii="Roboto" w:hAnsi="Roboto"/>
          <w:lang w:val="en-US"/>
        </w:rPr>
      </w:pPr>
      <w:r w:rsidRPr="001529A1">
        <w:rPr>
          <w:rFonts w:ascii="Roboto" w:hAnsi="Roboto"/>
          <w:b/>
          <w:bCs/>
          <w:lang w:val="en-US"/>
        </w:rPr>
        <w:t>Legend:</w:t>
      </w:r>
      <w:r w:rsidRPr="001529A1">
        <w:rPr>
          <w:rFonts w:ascii="Roboto" w:hAnsi="Roboto"/>
          <w:lang w:val="en-US"/>
        </w:rPr>
        <w:t xml:space="preserve"> Incidence of obstruction in patients with </w:t>
      </w:r>
      <w:proofErr w:type="spellStart"/>
      <w:r w:rsidRPr="001529A1">
        <w:rPr>
          <w:rFonts w:ascii="Roboto" w:hAnsi="Roboto"/>
          <w:lang w:val="en-US"/>
        </w:rPr>
        <w:t>sarcomeric</w:t>
      </w:r>
      <w:proofErr w:type="spellEnd"/>
      <w:r w:rsidRPr="001529A1">
        <w:rPr>
          <w:rFonts w:ascii="Roboto" w:hAnsi="Roboto"/>
          <w:lang w:val="en-US"/>
        </w:rPr>
        <w:t xml:space="preserve"> versus non-</w:t>
      </w:r>
      <w:proofErr w:type="spellStart"/>
      <w:r w:rsidRPr="001529A1">
        <w:rPr>
          <w:rFonts w:ascii="Roboto" w:hAnsi="Roboto"/>
          <w:lang w:val="en-US"/>
        </w:rPr>
        <w:t>sarcomeric</w:t>
      </w:r>
      <w:proofErr w:type="spellEnd"/>
      <w:r w:rsidRPr="001529A1">
        <w:rPr>
          <w:rFonts w:ascii="Roboto" w:hAnsi="Roboto"/>
          <w:lang w:val="en-US"/>
        </w:rPr>
        <w:t xml:space="preserve"> HCM. </w:t>
      </w:r>
      <w:r w:rsidRPr="001529A1">
        <w:rPr>
          <w:rFonts w:ascii="Roboto" w:hAnsi="Roboto"/>
          <w:b/>
          <w:bCs/>
          <w:lang w:val="en-US"/>
        </w:rPr>
        <w:t>A.</w:t>
      </w:r>
      <w:r w:rsidRPr="001529A1">
        <w:rPr>
          <w:rFonts w:ascii="Roboto" w:hAnsi="Roboto"/>
          <w:lang w:val="en-US"/>
        </w:rPr>
        <w:t xml:space="preserve"> Cumulative incidence of obstruction since </w:t>
      </w:r>
      <w:r>
        <w:rPr>
          <w:rFonts w:ascii="Roboto" w:hAnsi="Roboto"/>
          <w:lang w:val="en-US"/>
        </w:rPr>
        <w:t>first</w:t>
      </w:r>
      <w:r w:rsidRPr="001529A1">
        <w:rPr>
          <w:rFonts w:ascii="Roboto" w:hAnsi="Roboto"/>
          <w:lang w:val="en-US"/>
        </w:rPr>
        <w:t xml:space="preserve"> </w:t>
      </w:r>
      <w:proofErr w:type="spellStart"/>
      <w:r w:rsidRPr="001529A1">
        <w:rPr>
          <w:rFonts w:ascii="Roboto" w:hAnsi="Roboto"/>
          <w:lang w:val="en-US"/>
        </w:rPr>
        <w:t>SHaRe</w:t>
      </w:r>
      <w:proofErr w:type="spellEnd"/>
      <w:r w:rsidRPr="001529A1">
        <w:rPr>
          <w:rFonts w:ascii="Roboto" w:hAnsi="Roboto"/>
          <w:lang w:val="en-US"/>
        </w:rPr>
        <w:t xml:space="preserve"> evaluation, including numbers at risk by year. </w:t>
      </w:r>
      <w:r w:rsidRPr="001529A1">
        <w:rPr>
          <w:rFonts w:ascii="Roboto" w:hAnsi="Roboto"/>
          <w:b/>
          <w:bCs/>
          <w:lang w:val="en-US"/>
        </w:rPr>
        <w:t>B.</w:t>
      </w:r>
      <w:r w:rsidRPr="001529A1">
        <w:rPr>
          <w:rFonts w:ascii="Roboto" w:hAnsi="Roboto"/>
          <w:lang w:val="en-US"/>
        </w:rPr>
        <w:t xml:space="preserve"> Age-specific incidence (ASI) rates of obstruction, including total person-years at risk in each age-group.  </w:t>
      </w:r>
      <w:r w:rsidRPr="001529A1">
        <w:rPr>
          <w:rFonts w:ascii="Roboto" w:hAnsi="Roboto"/>
          <w:b/>
          <w:bCs/>
          <w:lang w:val="en-US"/>
        </w:rPr>
        <w:br w:type="page"/>
      </w:r>
    </w:p>
    <w:p w14:paraId="6372D4BF" w14:textId="77777777" w:rsidR="007F54B1" w:rsidRDefault="007F54B1" w:rsidP="007F54B1">
      <w:pPr>
        <w:suppressLineNumbers/>
        <w:spacing w:after="160" w:line="259" w:lineRule="auto"/>
        <w:rPr>
          <w:rFonts w:ascii="Roboto" w:hAnsi="Roboto"/>
          <w:b/>
          <w:bCs/>
        </w:rPr>
      </w:pPr>
      <w:proofErr w:type="spellStart"/>
      <w:r>
        <w:rPr>
          <w:rFonts w:ascii="Roboto" w:hAnsi="Roboto"/>
          <w:b/>
          <w:bCs/>
        </w:rPr>
        <w:lastRenderedPageBreak/>
        <w:t>Supplementary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F</w:t>
      </w:r>
      <w:r w:rsidRPr="00DB6D77">
        <w:rPr>
          <w:rFonts w:ascii="Roboto" w:hAnsi="Roboto"/>
          <w:b/>
          <w:bCs/>
        </w:rPr>
        <w:t>igure</w:t>
      </w:r>
      <w:proofErr w:type="spellEnd"/>
      <w:r w:rsidRPr="00DB6D77"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/>
          <w:bCs/>
        </w:rPr>
        <w:t>2</w:t>
      </w:r>
    </w:p>
    <w:p w14:paraId="47589727" w14:textId="40658B6B" w:rsidR="007F54B1" w:rsidRDefault="000D12A6" w:rsidP="007F54B1">
      <w:pPr>
        <w:suppressLineNumbers/>
        <w:spacing w:after="160" w:line="259" w:lineRule="auto"/>
        <w:rPr>
          <w:rFonts w:ascii="Roboto" w:hAnsi="Roboto"/>
          <w:b/>
          <w:bCs/>
        </w:rPr>
      </w:pPr>
      <w:r>
        <w:rPr>
          <w:rFonts w:ascii="Roboto" w:hAnsi="Roboto"/>
          <w:b/>
          <w:bCs/>
          <w:noProof/>
          <w14:ligatures w14:val="standardContextual"/>
        </w:rPr>
        <w:drawing>
          <wp:inline distT="0" distB="0" distL="0" distR="0" wp14:anchorId="12A26EC0" wp14:editId="20EDF61C">
            <wp:extent cx="6058535" cy="4440555"/>
            <wp:effectExtent l="0" t="0" r="0" b="4445"/>
            <wp:docPr id="990425781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25781" name="Billed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7EFF" w14:textId="77777777" w:rsidR="007F54B1" w:rsidRDefault="007F54B1" w:rsidP="007F54B1">
      <w:pPr>
        <w:suppressLineNumbers/>
        <w:spacing w:after="160" w:line="259" w:lineRule="auto"/>
        <w:rPr>
          <w:rFonts w:ascii="Roboto" w:hAnsi="Roboto"/>
          <w:b/>
          <w:bCs/>
        </w:rPr>
      </w:pPr>
    </w:p>
    <w:p w14:paraId="4A33CF95" w14:textId="10020795" w:rsidR="007F54B1" w:rsidRPr="001529A1" w:rsidRDefault="007F54B1" w:rsidP="007F54B1">
      <w:pPr>
        <w:suppressLineNumbers/>
        <w:spacing w:line="480" w:lineRule="auto"/>
        <w:ind w:left="-270"/>
        <w:rPr>
          <w:rFonts w:ascii="Roboto" w:hAnsi="Roboto"/>
          <w:sz w:val="22"/>
          <w:szCs w:val="22"/>
          <w:lang w:val="en-US"/>
        </w:rPr>
      </w:pPr>
      <w:r w:rsidRPr="001529A1">
        <w:rPr>
          <w:rFonts w:ascii="Roboto" w:hAnsi="Roboto"/>
          <w:b/>
          <w:bCs/>
          <w:sz w:val="22"/>
          <w:szCs w:val="22"/>
          <w:lang w:val="en-US"/>
        </w:rPr>
        <w:t>Legend:</w:t>
      </w:r>
      <w:r w:rsidRPr="001529A1">
        <w:rPr>
          <w:rFonts w:ascii="Roboto" w:hAnsi="Roboto"/>
          <w:sz w:val="22"/>
          <w:szCs w:val="22"/>
          <w:lang w:val="en-US"/>
        </w:rPr>
        <w:t xml:space="preserve"> Incidence of arrhythmias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versus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HCM, excluding patients diagnosed with these events prior to or at </w:t>
      </w:r>
      <w:r>
        <w:rPr>
          <w:rFonts w:ascii="Roboto" w:hAnsi="Roboto"/>
          <w:sz w:val="22"/>
          <w:szCs w:val="22"/>
          <w:lang w:val="en-US"/>
        </w:rPr>
        <w:t>first</w:t>
      </w:r>
      <w:r w:rsidRPr="001529A1">
        <w:rPr>
          <w:rFonts w:ascii="Roboto" w:hAnsi="Roboto"/>
          <w:sz w:val="22"/>
          <w:szCs w:val="22"/>
          <w:lang w:val="en-US"/>
        </w:rPr>
        <w:t xml:space="preserve">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SHaRe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visit. 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A</w:t>
      </w:r>
      <w:r w:rsidRPr="001529A1">
        <w:rPr>
          <w:rFonts w:ascii="Roboto" w:hAnsi="Roboto"/>
          <w:sz w:val="22"/>
          <w:szCs w:val="22"/>
          <w:lang w:val="en-US"/>
        </w:rPr>
        <w:t xml:space="preserve"> shows the cumulative incidence of atrial fibrillation during follow-up, including numbers at risk,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(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>+, pink) and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(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>-, blue) HCM. Overall, the cumulative incidence is similar between the two groups, with a trend towards a higher rate in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 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B</w:t>
      </w:r>
      <w:r w:rsidRPr="001529A1">
        <w:rPr>
          <w:rFonts w:ascii="Roboto" w:hAnsi="Roboto"/>
          <w:sz w:val="22"/>
          <w:szCs w:val="22"/>
          <w:lang w:val="en-US"/>
        </w:rPr>
        <w:t xml:space="preserve"> shows the age-specific incidence (ASI) rates of atrial fibrillation during follow-up, including accumulated years at risk, in the two groups. Incidence rates are numerically higher for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in all investigated groups, reaching statistical significance in the three youngest age-groups, and with a highly significant increased age-standardized incidence (ASI)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 (grey shading). </w:t>
      </w:r>
      <w:proofErr w:type="gramStart"/>
      <w:r w:rsidRPr="001529A1">
        <w:rPr>
          <w:rFonts w:ascii="Roboto" w:hAnsi="Roboto"/>
          <w:sz w:val="22"/>
          <w:szCs w:val="22"/>
          <w:lang w:val="en-US"/>
        </w:rPr>
        <w:t xml:space="preserve">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C</w:t>
      </w:r>
      <w:r w:rsidRPr="001529A1">
        <w:rPr>
          <w:rFonts w:ascii="Roboto" w:hAnsi="Roboto"/>
          <w:sz w:val="22"/>
          <w:szCs w:val="22"/>
          <w:lang w:val="en-US"/>
        </w:rPr>
        <w:t>,</w:t>
      </w:r>
      <w:proofErr w:type="gramEnd"/>
      <w:r w:rsidRPr="001529A1">
        <w:rPr>
          <w:rFonts w:ascii="Roboto" w:hAnsi="Roboto"/>
          <w:sz w:val="22"/>
          <w:szCs w:val="22"/>
          <w:lang w:val="en-US"/>
        </w:rPr>
        <w:t xml:space="preserve"> shows the cumulative incidence of the composite ventricular arrhythmia outcome since </w:t>
      </w:r>
      <w:r>
        <w:rPr>
          <w:rFonts w:ascii="Roboto" w:hAnsi="Roboto"/>
          <w:sz w:val="22"/>
          <w:szCs w:val="22"/>
          <w:lang w:val="en-US"/>
        </w:rPr>
        <w:t>first</w:t>
      </w:r>
      <w:r w:rsidRPr="001529A1">
        <w:rPr>
          <w:rFonts w:ascii="Roboto" w:hAnsi="Roboto"/>
          <w:sz w:val="22"/>
          <w:szCs w:val="22"/>
          <w:lang w:val="en-US"/>
        </w:rPr>
        <w:t xml:space="preserve">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SHaRe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</w:t>
      </w:r>
      <w:r w:rsidRPr="001529A1">
        <w:rPr>
          <w:rFonts w:ascii="Roboto" w:hAnsi="Roboto"/>
          <w:sz w:val="22"/>
          <w:szCs w:val="22"/>
          <w:lang w:val="en-US"/>
        </w:rPr>
        <w:lastRenderedPageBreak/>
        <w:t xml:space="preserve">evaluation,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and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HCM, showing that there is a higher cumulative incidence in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 Panel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D.</w:t>
      </w:r>
      <w:r w:rsidRPr="001529A1">
        <w:rPr>
          <w:rFonts w:ascii="Roboto" w:hAnsi="Roboto"/>
          <w:sz w:val="22"/>
          <w:szCs w:val="22"/>
          <w:lang w:val="en-US"/>
        </w:rPr>
        <w:t xml:space="preserve"> Shows the age-specific incidence rate of the composite ventricular arrhythmia outcome, including total person-years at risk in each age-group. The age-standardized incidence rate has been added as the final group. Overall, the largest difference in incidence of this outcome occurs in the group of patients older than 65 years.</w:t>
      </w:r>
    </w:p>
    <w:p w14:paraId="40AF63E4" w14:textId="77777777" w:rsidR="007F54B1" w:rsidRPr="001529A1" w:rsidRDefault="007F54B1" w:rsidP="007F54B1">
      <w:pPr>
        <w:suppressLineNumbers/>
        <w:rPr>
          <w:rFonts w:ascii="Roboto" w:hAnsi="Roboto"/>
          <w:sz w:val="22"/>
          <w:szCs w:val="22"/>
          <w:lang w:val="en-US"/>
        </w:rPr>
      </w:pPr>
      <w:r w:rsidRPr="001529A1">
        <w:rPr>
          <w:rFonts w:ascii="Roboto" w:hAnsi="Roboto"/>
          <w:sz w:val="22"/>
          <w:szCs w:val="22"/>
          <w:lang w:val="en-US"/>
        </w:rPr>
        <w:br w:type="page"/>
      </w:r>
    </w:p>
    <w:p w14:paraId="2397F6B9" w14:textId="77777777" w:rsidR="007F54B1" w:rsidRDefault="007F54B1" w:rsidP="007F54B1">
      <w:pPr>
        <w:suppressLineNumbers/>
        <w:spacing w:line="480" w:lineRule="auto"/>
        <w:ind w:left="-270"/>
        <w:rPr>
          <w:rFonts w:ascii="Roboto" w:hAnsi="Roboto"/>
        </w:rPr>
      </w:pPr>
      <w:proofErr w:type="spellStart"/>
      <w:r>
        <w:rPr>
          <w:rFonts w:ascii="Roboto" w:hAnsi="Roboto"/>
          <w:b/>
          <w:bCs/>
        </w:rPr>
        <w:lastRenderedPageBreak/>
        <w:t>Supplementary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 w:rsidRPr="00DB6D77">
        <w:rPr>
          <w:rFonts w:ascii="Roboto" w:hAnsi="Roboto"/>
          <w:b/>
          <w:bCs/>
        </w:rPr>
        <w:t>Figure</w:t>
      </w:r>
      <w:proofErr w:type="spellEnd"/>
      <w:r w:rsidRPr="00DB6D77">
        <w:rPr>
          <w:rFonts w:ascii="Roboto" w:hAnsi="Roboto"/>
          <w:b/>
          <w:bCs/>
        </w:rPr>
        <w:t xml:space="preserve"> </w:t>
      </w:r>
      <w:r>
        <w:rPr>
          <w:rFonts w:ascii="Roboto" w:hAnsi="Roboto"/>
          <w:b/>
          <w:bCs/>
        </w:rPr>
        <w:t>3</w:t>
      </w:r>
      <w:r w:rsidRPr="00DB6D77">
        <w:rPr>
          <w:rFonts w:ascii="Roboto" w:hAnsi="Roboto"/>
        </w:rPr>
        <w:t xml:space="preserve"> </w:t>
      </w:r>
    </w:p>
    <w:p w14:paraId="17E0E955" w14:textId="627A8BE5" w:rsidR="007F54B1" w:rsidRPr="001529A1" w:rsidRDefault="000D12A6" w:rsidP="007F54B1">
      <w:pPr>
        <w:suppressLineNumbers/>
        <w:tabs>
          <w:tab w:val="left" w:pos="3946"/>
        </w:tabs>
        <w:rPr>
          <w:rFonts w:ascii="Roboto" w:hAnsi="Roboto"/>
          <w:noProof/>
          <w:sz w:val="22"/>
          <w:szCs w:val="22"/>
        </w:rPr>
      </w:pPr>
      <w:r>
        <w:rPr>
          <w:rFonts w:ascii="Roboto" w:hAnsi="Roboto"/>
          <w:noProof/>
          <w:sz w:val="22"/>
          <w:szCs w:val="22"/>
          <w14:ligatures w14:val="standardContextual"/>
        </w:rPr>
        <w:drawing>
          <wp:inline distT="0" distB="0" distL="0" distR="0" wp14:anchorId="1255C9A7" wp14:editId="65A1269C">
            <wp:extent cx="4673600" cy="6850948"/>
            <wp:effectExtent l="0" t="0" r="0" b="0"/>
            <wp:docPr id="176281096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10960" name="Billede 17628109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686" cy="68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185A" w14:textId="2EDA8C39" w:rsidR="007F54B1" w:rsidRPr="001529A1" w:rsidRDefault="007F54B1" w:rsidP="007F54B1">
      <w:pPr>
        <w:suppressLineNumbers/>
        <w:tabs>
          <w:tab w:val="left" w:pos="3946"/>
        </w:tabs>
        <w:spacing w:line="480" w:lineRule="auto"/>
        <w:rPr>
          <w:rFonts w:ascii="Roboto" w:hAnsi="Roboto"/>
          <w:lang w:val="en-US"/>
        </w:rPr>
      </w:pPr>
      <w:r w:rsidRPr="001529A1">
        <w:rPr>
          <w:rFonts w:ascii="Roboto" w:hAnsi="Roboto"/>
          <w:b/>
          <w:bCs/>
          <w:sz w:val="22"/>
          <w:szCs w:val="22"/>
          <w:lang w:val="en-US"/>
        </w:rPr>
        <w:t>Legend:</w:t>
      </w:r>
      <w:r w:rsidRPr="001529A1">
        <w:rPr>
          <w:rFonts w:ascii="Roboto" w:hAnsi="Roboto"/>
          <w:sz w:val="22"/>
          <w:szCs w:val="22"/>
          <w:lang w:val="en-US"/>
        </w:rPr>
        <w:t xml:space="preserve"> Incidence of left ventricular systolic dysfunction in patients with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versus non-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sarcomeric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HCM.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A.</w:t>
      </w:r>
      <w:r w:rsidRPr="001529A1">
        <w:rPr>
          <w:rFonts w:ascii="Roboto" w:hAnsi="Roboto"/>
          <w:sz w:val="22"/>
          <w:szCs w:val="22"/>
          <w:lang w:val="en-US"/>
        </w:rPr>
        <w:t xml:space="preserve"> Cumulative incidence of obstruction since first </w:t>
      </w:r>
      <w:proofErr w:type="spellStart"/>
      <w:r w:rsidRPr="001529A1">
        <w:rPr>
          <w:rFonts w:ascii="Roboto" w:hAnsi="Roboto"/>
          <w:sz w:val="22"/>
          <w:szCs w:val="22"/>
          <w:lang w:val="en-US"/>
        </w:rPr>
        <w:t>SHaRe</w:t>
      </w:r>
      <w:proofErr w:type="spellEnd"/>
      <w:r w:rsidRPr="001529A1">
        <w:rPr>
          <w:rFonts w:ascii="Roboto" w:hAnsi="Roboto"/>
          <w:sz w:val="22"/>
          <w:szCs w:val="22"/>
          <w:lang w:val="en-US"/>
        </w:rPr>
        <w:t xml:space="preserve"> evaluation, including numbers at risk by year. </w:t>
      </w:r>
      <w:r w:rsidRPr="001529A1">
        <w:rPr>
          <w:rFonts w:ascii="Roboto" w:hAnsi="Roboto"/>
          <w:b/>
          <w:bCs/>
          <w:sz w:val="22"/>
          <w:szCs w:val="22"/>
          <w:lang w:val="en-US"/>
        </w:rPr>
        <w:t>B.</w:t>
      </w:r>
      <w:r w:rsidRPr="001529A1">
        <w:rPr>
          <w:rFonts w:ascii="Roboto" w:hAnsi="Roboto"/>
          <w:sz w:val="22"/>
          <w:szCs w:val="22"/>
          <w:lang w:val="en-US"/>
        </w:rPr>
        <w:t xml:space="preserve"> Age-specific incidence rates of LV systolic dysfunction, including total person-years at risk in each age-group.  </w:t>
      </w:r>
    </w:p>
    <w:sectPr w:rsidR="007F54B1" w:rsidRPr="001529A1" w:rsidSect="00045A71">
      <w:footerReference w:type="even" r:id="rId9"/>
      <w:footerReference w:type="default" r:id="rId10"/>
      <w:pgSz w:w="12240" w:h="15840"/>
      <w:pgMar w:top="1440" w:right="1440" w:bottom="992" w:left="1259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E86E" w14:textId="77777777" w:rsidR="00045A71" w:rsidRDefault="00045A71">
      <w:r>
        <w:separator/>
      </w:r>
    </w:p>
  </w:endnote>
  <w:endnote w:type="continuationSeparator" w:id="0">
    <w:p w14:paraId="13D6A7F4" w14:textId="77777777" w:rsidR="00045A71" w:rsidRDefault="0004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355334408"/>
      <w:docPartObj>
        <w:docPartGallery w:val="Page Numbers (Bottom of Page)"/>
        <w:docPartUnique/>
      </w:docPartObj>
    </w:sdtPr>
    <w:sdtContent>
      <w:p w14:paraId="03ABD51A" w14:textId="77777777" w:rsidR="00623A65" w:rsidRDefault="00000000" w:rsidP="00CE326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721AF08D" w14:textId="77777777" w:rsidR="00623A65" w:rsidRDefault="00623A65" w:rsidP="00DA5347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510806176"/>
      <w:docPartObj>
        <w:docPartGallery w:val="Page Numbers (Bottom of Page)"/>
        <w:docPartUnique/>
      </w:docPartObj>
    </w:sdtPr>
    <w:sdtContent>
      <w:p w14:paraId="12384EEA" w14:textId="77777777" w:rsidR="00623A65" w:rsidRDefault="00000000" w:rsidP="00CE326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27</w:t>
        </w:r>
        <w:r>
          <w:rPr>
            <w:rStyle w:val="Sidetal"/>
          </w:rPr>
          <w:fldChar w:fldCharType="end"/>
        </w:r>
      </w:p>
    </w:sdtContent>
  </w:sdt>
  <w:p w14:paraId="153833BD" w14:textId="77777777" w:rsidR="00623A65" w:rsidRDefault="00623A65" w:rsidP="00DA5347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33625" w14:textId="77777777" w:rsidR="00045A71" w:rsidRDefault="00045A71">
      <w:r>
        <w:separator/>
      </w:r>
    </w:p>
  </w:footnote>
  <w:footnote w:type="continuationSeparator" w:id="0">
    <w:p w14:paraId="00404C4B" w14:textId="77777777" w:rsidR="00045A71" w:rsidRDefault="00045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B1"/>
    <w:rsid w:val="00045A71"/>
    <w:rsid w:val="000674D4"/>
    <w:rsid w:val="000B753D"/>
    <w:rsid w:val="000D12A6"/>
    <w:rsid w:val="0010540C"/>
    <w:rsid w:val="001529A1"/>
    <w:rsid w:val="003665C0"/>
    <w:rsid w:val="004504A1"/>
    <w:rsid w:val="004C327C"/>
    <w:rsid w:val="00564C4E"/>
    <w:rsid w:val="005D6489"/>
    <w:rsid w:val="00623A65"/>
    <w:rsid w:val="006368C7"/>
    <w:rsid w:val="006A008A"/>
    <w:rsid w:val="006A67A7"/>
    <w:rsid w:val="006C695B"/>
    <w:rsid w:val="007606D2"/>
    <w:rsid w:val="007F54B1"/>
    <w:rsid w:val="008D55D0"/>
    <w:rsid w:val="00930589"/>
    <w:rsid w:val="009A4DCD"/>
    <w:rsid w:val="00CD1602"/>
    <w:rsid w:val="00D613D9"/>
    <w:rsid w:val="00DB0FAA"/>
    <w:rsid w:val="00E13AE5"/>
    <w:rsid w:val="00E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69B68"/>
  <w15:chartTrackingRefBased/>
  <w15:docId w15:val="{D7F9E42B-B477-6C4F-BAD7-D5AD89B3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B1"/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7F54B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7F54B1"/>
    <w:rPr>
      <w:sz w:val="20"/>
      <w:szCs w:val="20"/>
      <w:lang w:val="en-US" w:eastAsia="en-US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7F54B1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Sidehoved">
    <w:name w:val="header"/>
    <w:basedOn w:val="Normal"/>
    <w:link w:val="SidehovedTegn"/>
    <w:uiPriority w:val="99"/>
    <w:unhideWhenUsed/>
    <w:rsid w:val="007F54B1"/>
    <w:pPr>
      <w:tabs>
        <w:tab w:val="center" w:pos="4819"/>
        <w:tab w:val="right" w:pos="9638"/>
      </w:tabs>
    </w:pPr>
    <w:rPr>
      <w:lang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7F54B1"/>
    <w:rPr>
      <w:rFonts w:ascii="Times New Roman" w:eastAsia="Times New Roman" w:hAnsi="Times New Roman" w:cs="Times New Roman"/>
      <w:kern w:val="0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7F54B1"/>
    <w:pPr>
      <w:tabs>
        <w:tab w:val="center" w:pos="4819"/>
        <w:tab w:val="right" w:pos="9638"/>
      </w:tabs>
    </w:pPr>
    <w:rPr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7F54B1"/>
    <w:rPr>
      <w:rFonts w:ascii="Times New Roman" w:eastAsia="Times New Roman" w:hAnsi="Times New Roman" w:cs="Times New Roman"/>
      <w:kern w:val="0"/>
      <w14:ligatures w14:val="none"/>
    </w:rPr>
  </w:style>
  <w:style w:type="character" w:styleId="Sidetal">
    <w:name w:val="page number"/>
    <w:basedOn w:val="Standardskrifttypeiafsnit"/>
    <w:uiPriority w:val="99"/>
    <w:semiHidden/>
    <w:unhideWhenUsed/>
    <w:rsid w:val="007F54B1"/>
  </w:style>
  <w:style w:type="character" w:styleId="Linjenummer">
    <w:name w:val="line number"/>
    <w:basedOn w:val="Standardskrifttypeiafsnit"/>
    <w:uiPriority w:val="99"/>
    <w:semiHidden/>
    <w:unhideWhenUsed/>
    <w:rsid w:val="007F54B1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C327C"/>
    <w:rPr>
      <w:b/>
      <w:bCs/>
      <w:lang w:val="da-DK" w:eastAsia="da-DK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C327C"/>
    <w:rPr>
      <w:rFonts w:ascii="Times New Roman" w:eastAsia="Times New Roman" w:hAnsi="Times New Roman" w:cs="Times New Roman"/>
      <w:b/>
      <w:bCs/>
      <w:kern w:val="0"/>
      <w:sz w:val="20"/>
      <w:szCs w:val="20"/>
      <w:lang w:val="en-US" w:eastAsia="da-DK"/>
      <w14:ligatures w14:val="none"/>
    </w:rPr>
  </w:style>
  <w:style w:type="paragraph" w:styleId="Korrektur">
    <w:name w:val="Revision"/>
    <w:hidden/>
    <w:uiPriority w:val="99"/>
    <w:semiHidden/>
    <w:rsid w:val="001529A1"/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763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Vissing</dc:creator>
  <cp:keywords/>
  <dc:description/>
  <cp:lastModifiedBy>Christoffer Vissing</cp:lastModifiedBy>
  <cp:revision>2</cp:revision>
  <dcterms:created xsi:type="dcterms:W3CDTF">2024-02-12T13:23:00Z</dcterms:created>
  <dcterms:modified xsi:type="dcterms:W3CDTF">2024-02-12T13:23:00Z</dcterms:modified>
</cp:coreProperties>
</file>