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B328" w14:textId="77777777" w:rsidR="007F54B1" w:rsidRPr="007C4859" w:rsidRDefault="007F54B1" w:rsidP="007F54B1">
      <w:pPr>
        <w:suppressLineNumbers/>
        <w:spacing w:line="480" w:lineRule="auto"/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7C4859">
        <w:rPr>
          <w:rFonts w:ascii="Roboto" w:hAnsi="Roboto"/>
          <w:b/>
          <w:bCs/>
          <w:sz w:val="32"/>
          <w:szCs w:val="32"/>
          <w:lang w:val="en-US"/>
        </w:rPr>
        <w:t>SUPPLEMENTAL MATERIAL</w:t>
      </w:r>
    </w:p>
    <w:p w14:paraId="0AC4D1E3" w14:textId="77777777" w:rsidR="007F54B1" w:rsidRPr="007C4859" w:rsidRDefault="007F54B1" w:rsidP="007F54B1">
      <w:pPr>
        <w:suppressLineNumbers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br w:type="page"/>
      </w:r>
    </w:p>
    <w:p w14:paraId="492B6E00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1</w:t>
      </w:r>
      <w:r w:rsidRPr="00DB6D77">
        <w:rPr>
          <w:rFonts w:ascii="Roboto" w:hAnsi="Roboto"/>
        </w:rPr>
        <w:t xml:space="preserve"> </w:t>
      </w:r>
    </w:p>
    <w:p w14:paraId="2227D756" w14:textId="13BBDDC6" w:rsidR="007F54B1" w:rsidRPr="00DB6D77" w:rsidRDefault="00150A61" w:rsidP="007F54B1">
      <w:pPr>
        <w:suppressLineNumbers/>
        <w:tabs>
          <w:tab w:val="left" w:pos="3946"/>
        </w:tabs>
        <w:rPr>
          <w:rFonts w:ascii="Roboto" w:hAnsi="Roboto"/>
          <w:noProof/>
        </w:rPr>
      </w:pPr>
      <w:r>
        <w:rPr>
          <w:rFonts w:ascii="Roboto" w:hAnsi="Roboto"/>
          <w:noProof/>
          <w14:ligatures w14:val="standardContextual"/>
        </w:rPr>
        <w:drawing>
          <wp:inline distT="0" distB="0" distL="0" distR="0" wp14:anchorId="2937AD34" wp14:editId="40FB0C62">
            <wp:extent cx="4651513" cy="6818571"/>
            <wp:effectExtent l="0" t="0" r="0" b="1905"/>
            <wp:docPr id="48654683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6839" name="Billede 4865468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37" cy="686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AFD8" w14:textId="4616E301" w:rsidR="007F54B1" w:rsidRPr="001529A1" w:rsidRDefault="007F54B1" w:rsidP="007F54B1">
      <w:pPr>
        <w:suppressLineNumbers/>
        <w:spacing w:line="480" w:lineRule="auto"/>
        <w:ind w:left="-270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lang w:val="en-US"/>
        </w:rPr>
        <w:t>Legend:</w:t>
      </w:r>
      <w:r w:rsidRPr="001529A1">
        <w:rPr>
          <w:rFonts w:ascii="Roboto" w:hAnsi="Roboto"/>
          <w:lang w:val="en-US"/>
        </w:rPr>
        <w:t xml:space="preserve"> Incidence of obstruction in patients with 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versus non-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HCM. </w:t>
      </w:r>
      <w:r w:rsidRPr="001529A1">
        <w:rPr>
          <w:rFonts w:ascii="Roboto" w:hAnsi="Roboto"/>
          <w:b/>
          <w:bCs/>
          <w:lang w:val="en-US"/>
        </w:rPr>
        <w:t>A.</w:t>
      </w:r>
      <w:r w:rsidRPr="001529A1">
        <w:rPr>
          <w:rFonts w:ascii="Roboto" w:hAnsi="Roboto"/>
          <w:lang w:val="en-US"/>
        </w:rPr>
        <w:t xml:space="preserve"> Cumulative incidence of obstruction since </w:t>
      </w:r>
      <w:r>
        <w:rPr>
          <w:rFonts w:ascii="Roboto" w:hAnsi="Roboto"/>
          <w:lang w:val="en-US"/>
        </w:rPr>
        <w:t>first</w:t>
      </w:r>
      <w:r w:rsidRPr="001529A1">
        <w:rPr>
          <w:rFonts w:ascii="Roboto" w:hAnsi="Roboto"/>
          <w:lang w:val="en-US"/>
        </w:rPr>
        <w:t xml:space="preserve"> </w:t>
      </w:r>
      <w:proofErr w:type="spellStart"/>
      <w:r w:rsidRPr="001529A1">
        <w:rPr>
          <w:rFonts w:ascii="Roboto" w:hAnsi="Roboto"/>
          <w:lang w:val="en-US"/>
        </w:rPr>
        <w:t>SHaRe</w:t>
      </w:r>
      <w:proofErr w:type="spellEnd"/>
      <w:r w:rsidRPr="001529A1">
        <w:rPr>
          <w:rFonts w:ascii="Roboto" w:hAnsi="Roboto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lang w:val="en-US"/>
        </w:rPr>
        <w:t>B.</w:t>
      </w:r>
      <w:r w:rsidRPr="001529A1">
        <w:rPr>
          <w:rFonts w:ascii="Roboto" w:hAnsi="Roboto"/>
          <w:lang w:val="en-US"/>
        </w:rPr>
        <w:t xml:space="preserve"> Age-specific incidence (ASI) rates of obstruction, including total person-years at risk in each age-group.  </w:t>
      </w:r>
      <w:r w:rsidRPr="001529A1">
        <w:rPr>
          <w:rFonts w:ascii="Roboto" w:hAnsi="Roboto"/>
          <w:b/>
          <w:bCs/>
          <w:lang w:val="en-US"/>
        </w:rPr>
        <w:br w:type="page"/>
      </w:r>
    </w:p>
    <w:p w14:paraId="6372D4BF" w14:textId="77777777" w:rsidR="007F54B1" w:rsidRDefault="007F54B1" w:rsidP="007F54B1">
      <w:pPr>
        <w:suppressLineNumbers/>
        <w:spacing w:after="160" w:line="259" w:lineRule="auto"/>
        <w:rPr>
          <w:rFonts w:ascii="Roboto" w:hAnsi="Roboto"/>
          <w:b/>
          <w:bCs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F</w:t>
      </w:r>
      <w:r w:rsidRPr="00DB6D77">
        <w:rPr>
          <w:rFonts w:ascii="Roboto" w:hAnsi="Roboto"/>
          <w:b/>
          <w:bCs/>
        </w:rPr>
        <w:t>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2</w:t>
      </w:r>
    </w:p>
    <w:p w14:paraId="47589727" w14:textId="1662580A" w:rsidR="007F54B1" w:rsidRDefault="00150A61" w:rsidP="007F54B1">
      <w:pPr>
        <w:suppressLineNumbers/>
        <w:spacing w:after="160" w:line="259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  <w14:ligatures w14:val="standardContextual"/>
        </w:rPr>
        <w:drawing>
          <wp:inline distT="0" distB="0" distL="0" distR="0" wp14:anchorId="55D847BB" wp14:editId="31EC1C6B">
            <wp:extent cx="5826147" cy="4002156"/>
            <wp:effectExtent l="0" t="0" r="3175" b="0"/>
            <wp:docPr id="1701187652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7652" name="Billede 17011876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59" cy="40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7EFF" w14:textId="77777777" w:rsidR="007F54B1" w:rsidRDefault="007F54B1" w:rsidP="007F54B1">
      <w:pPr>
        <w:suppressLineNumbers/>
        <w:spacing w:after="160" w:line="259" w:lineRule="auto"/>
        <w:rPr>
          <w:rFonts w:ascii="Roboto" w:hAnsi="Roboto"/>
          <w:b/>
          <w:bCs/>
        </w:rPr>
      </w:pPr>
    </w:p>
    <w:p w14:paraId="4A33CF95" w14:textId="10020795" w:rsidR="007F54B1" w:rsidRPr="001529A1" w:rsidRDefault="007F54B1" w:rsidP="007F54B1">
      <w:pPr>
        <w:suppressLineNumbers/>
        <w:spacing w:line="480" w:lineRule="auto"/>
        <w:ind w:left="-270"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arrhythmias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excluding patients diagnosed with these events prior to or at </w:t>
      </w:r>
      <w:r>
        <w:rPr>
          <w:rFonts w:ascii="Roboto" w:hAnsi="Roboto"/>
          <w:sz w:val="22"/>
          <w:szCs w:val="22"/>
          <w:lang w:val="en-US"/>
        </w:rPr>
        <w:t>first</w:t>
      </w:r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visit.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cumulative incidence of atrial fibrillation during follow-up, including numbers at risk,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(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>+, pink)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(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>-, blue) HCM. Overall, the cumulative incidence is similar between the two groups, with a trend towards a higher rate in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age-specific incidence (ASI) rates of atrial fibrillation during follow-up, including accumulated years at risk, in the two groups. Incidence rates are numerically higher for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in all investigated groups, reaching statistical significance in the three youngest age-groups, and with a highly significant increased age-standardized incidence (ASI)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(grey shading). </w:t>
      </w:r>
      <w:proofErr w:type="gramStart"/>
      <w:r w:rsidRPr="001529A1">
        <w:rPr>
          <w:rFonts w:ascii="Roboto" w:hAnsi="Roboto"/>
          <w:sz w:val="22"/>
          <w:szCs w:val="22"/>
          <w:lang w:val="en-US"/>
        </w:rPr>
        <w:t xml:space="preserve">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C</w:t>
      </w:r>
      <w:r w:rsidRPr="001529A1">
        <w:rPr>
          <w:rFonts w:ascii="Roboto" w:hAnsi="Roboto"/>
          <w:sz w:val="22"/>
          <w:szCs w:val="22"/>
          <w:lang w:val="en-US"/>
        </w:rPr>
        <w:t>,</w:t>
      </w:r>
      <w:proofErr w:type="gramEnd"/>
      <w:r w:rsidRPr="001529A1">
        <w:rPr>
          <w:rFonts w:ascii="Roboto" w:hAnsi="Roboto"/>
          <w:sz w:val="22"/>
          <w:szCs w:val="22"/>
          <w:lang w:val="en-US"/>
        </w:rPr>
        <w:t xml:space="preserve"> shows the cumulative incidence of the composite ventricular arrhythmia outcome since </w:t>
      </w:r>
      <w:r>
        <w:rPr>
          <w:rFonts w:ascii="Roboto" w:hAnsi="Roboto"/>
          <w:sz w:val="22"/>
          <w:szCs w:val="22"/>
          <w:lang w:val="en-US"/>
        </w:rPr>
        <w:t>first</w:t>
      </w:r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evaluation,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showing that there is a higher cumulative incidence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D.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age-specific incidence rate of the composite </w:t>
      </w:r>
      <w:r w:rsidRPr="001529A1">
        <w:rPr>
          <w:rFonts w:ascii="Roboto" w:hAnsi="Roboto"/>
          <w:sz w:val="22"/>
          <w:szCs w:val="22"/>
          <w:lang w:val="en-US"/>
        </w:rPr>
        <w:lastRenderedPageBreak/>
        <w:t>ventricular arrhythmia outcome, including total person-years at risk in each age-group. The age-standardized incidence rate has been added as the final group. Overall, the largest difference in incidence of this outcome occurs in the group of patients older than 65 years.</w:t>
      </w:r>
    </w:p>
    <w:p w14:paraId="40AF63E4" w14:textId="77777777" w:rsidR="007F54B1" w:rsidRPr="001529A1" w:rsidRDefault="007F54B1" w:rsidP="007F54B1">
      <w:pPr>
        <w:suppressLineNumbers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sz w:val="22"/>
          <w:szCs w:val="22"/>
          <w:lang w:val="en-US"/>
        </w:rPr>
        <w:br w:type="page"/>
      </w:r>
    </w:p>
    <w:p w14:paraId="2397F6B9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3</w:t>
      </w:r>
      <w:r w:rsidRPr="00DB6D77">
        <w:rPr>
          <w:rFonts w:ascii="Roboto" w:hAnsi="Roboto"/>
        </w:rPr>
        <w:t xml:space="preserve"> </w:t>
      </w:r>
    </w:p>
    <w:p w14:paraId="17E0E955" w14:textId="47E7F7CD" w:rsidR="007F54B1" w:rsidRPr="001529A1" w:rsidRDefault="00150A61" w:rsidP="007F54B1">
      <w:pPr>
        <w:suppressLineNumbers/>
        <w:tabs>
          <w:tab w:val="left" w:pos="3946"/>
        </w:tabs>
        <w:rPr>
          <w:rFonts w:ascii="Roboto" w:hAnsi="Roboto"/>
          <w:noProof/>
          <w:sz w:val="22"/>
          <w:szCs w:val="22"/>
        </w:rPr>
      </w:pPr>
      <w:r>
        <w:rPr>
          <w:rFonts w:ascii="Roboto" w:hAnsi="Roboto"/>
          <w:noProof/>
          <w:sz w:val="22"/>
          <w:szCs w:val="22"/>
          <w14:ligatures w14:val="standardContextual"/>
        </w:rPr>
        <w:drawing>
          <wp:inline distT="0" distB="0" distL="0" distR="0" wp14:anchorId="291A3EDA" wp14:editId="6AB08FE1">
            <wp:extent cx="4041062" cy="5923721"/>
            <wp:effectExtent l="0" t="0" r="0" b="0"/>
            <wp:docPr id="129558501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501" name="Billede 1295585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010" cy="59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85A" w14:textId="2EDA8C39" w:rsidR="007F54B1" w:rsidRPr="001529A1" w:rsidRDefault="007F54B1" w:rsidP="007F54B1">
      <w:pPr>
        <w:suppressLineNumbers/>
        <w:tabs>
          <w:tab w:val="left" w:pos="3946"/>
        </w:tabs>
        <w:spacing w:line="480" w:lineRule="auto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left ventricular systolic dysfunction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A.</w:t>
      </w:r>
      <w:r w:rsidRPr="001529A1">
        <w:rPr>
          <w:rFonts w:ascii="Roboto" w:hAnsi="Roboto"/>
          <w:sz w:val="22"/>
          <w:szCs w:val="22"/>
          <w:lang w:val="en-US"/>
        </w:rPr>
        <w:t xml:space="preserve"> Cumulative incidence of obstruction since first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B.</w:t>
      </w:r>
      <w:r w:rsidRPr="001529A1">
        <w:rPr>
          <w:rFonts w:ascii="Roboto" w:hAnsi="Roboto"/>
          <w:sz w:val="22"/>
          <w:szCs w:val="22"/>
          <w:lang w:val="en-US"/>
        </w:rPr>
        <w:t xml:space="preserve"> Age-specific incidence rates of LV systolic dysfunction, including total person-years at risk in each age-group.  </w:t>
      </w:r>
    </w:p>
    <w:sectPr w:rsidR="007F54B1" w:rsidRPr="001529A1" w:rsidSect="00045A71">
      <w:footerReference w:type="even" r:id="rId9"/>
      <w:footerReference w:type="default" r:id="rId10"/>
      <w:pgSz w:w="12240" w:h="15840"/>
      <w:pgMar w:top="1440" w:right="1440" w:bottom="992" w:left="1259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2C453" w14:textId="77777777" w:rsidR="00661E43" w:rsidRDefault="00661E43">
      <w:r>
        <w:separator/>
      </w:r>
    </w:p>
  </w:endnote>
  <w:endnote w:type="continuationSeparator" w:id="0">
    <w:p w14:paraId="61DE979E" w14:textId="77777777" w:rsidR="00661E43" w:rsidRDefault="0066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-1355334408"/>
      <w:docPartObj>
        <w:docPartGallery w:val="Page Numbers (Bottom of Page)"/>
        <w:docPartUnique/>
      </w:docPartObj>
    </w:sdtPr>
    <w:sdtContent>
      <w:p w14:paraId="03ABD51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21AF08D" w14:textId="77777777" w:rsidR="00623A65" w:rsidRDefault="00623A65" w:rsidP="00DA5347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510806176"/>
      <w:docPartObj>
        <w:docPartGallery w:val="Page Numbers (Bottom of Page)"/>
        <w:docPartUnique/>
      </w:docPartObj>
    </w:sdtPr>
    <w:sdtContent>
      <w:p w14:paraId="12384EE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27</w:t>
        </w:r>
        <w:r>
          <w:rPr>
            <w:rStyle w:val="Sidetal"/>
          </w:rPr>
          <w:fldChar w:fldCharType="end"/>
        </w:r>
      </w:p>
    </w:sdtContent>
  </w:sdt>
  <w:p w14:paraId="153833BD" w14:textId="77777777" w:rsidR="00623A65" w:rsidRDefault="00623A65" w:rsidP="00DA5347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4A676" w14:textId="77777777" w:rsidR="00661E43" w:rsidRDefault="00661E43">
      <w:r>
        <w:separator/>
      </w:r>
    </w:p>
  </w:footnote>
  <w:footnote w:type="continuationSeparator" w:id="0">
    <w:p w14:paraId="5FAEB8AE" w14:textId="77777777" w:rsidR="00661E43" w:rsidRDefault="0066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1"/>
    <w:rsid w:val="00045A71"/>
    <w:rsid w:val="000674D4"/>
    <w:rsid w:val="000B753D"/>
    <w:rsid w:val="000D12A6"/>
    <w:rsid w:val="0010540C"/>
    <w:rsid w:val="00150A61"/>
    <w:rsid w:val="001529A1"/>
    <w:rsid w:val="003665C0"/>
    <w:rsid w:val="004504A1"/>
    <w:rsid w:val="004C327C"/>
    <w:rsid w:val="00564C4E"/>
    <w:rsid w:val="005D6489"/>
    <w:rsid w:val="00623A65"/>
    <w:rsid w:val="006368C7"/>
    <w:rsid w:val="00661E43"/>
    <w:rsid w:val="006A008A"/>
    <w:rsid w:val="006A67A7"/>
    <w:rsid w:val="006C695B"/>
    <w:rsid w:val="007606D2"/>
    <w:rsid w:val="007F54B1"/>
    <w:rsid w:val="008D55D0"/>
    <w:rsid w:val="00930589"/>
    <w:rsid w:val="009A4DCD"/>
    <w:rsid w:val="00CD1602"/>
    <w:rsid w:val="00CD6BB0"/>
    <w:rsid w:val="00D613D9"/>
    <w:rsid w:val="00DB0FAA"/>
    <w:rsid w:val="00E13AE5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69B68"/>
  <w15:chartTrackingRefBased/>
  <w15:docId w15:val="{D7F9E42B-B477-6C4F-BAD7-D5AD89B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B1"/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7F54B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F54B1"/>
    <w:rPr>
      <w:sz w:val="20"/>
      <w:szCs w:val="20"/>
      <w:lang w:val="en-US"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F54B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character" w:styleId="Sidetal">
    <w:name w:val="page number"/>
    <w:basedOn w:val="Standardskrifttypeiafsnit"/>
    <w:uiPriority w:val="99"/>
    <w:semiHidden/>
    <w:unhideWhenUsed/>
    <w:rsid w:val="007F54B1"/>
  </w:style>
  <w:style w:type="character" w:styleId="Linjenummer">
    <w:name w:val="line number"/>
    <w:basedOn w:val="Standardskrifttypeiafsnit"/>
    <w:uiPriority w:val="99"/>
    <w:semiHidden/>
    <w:unhideWhenUsed/>
    <w:rsid w:val="007F54B1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C327C"/>
    <w:rPr>
      <w:b/>
      <w:bCs/>
      <w:lang w:val="da-DK" w:eastAsia="da-DK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C327C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da-DK"/>
      <w14:ligatures w14:val="none"/>
    </w:rPr>
  </w:style>
  <w:style w:type="paragraph" w:styleId="Korrektur">
    <w:name w:val="Revision"/>
    <w:hidden/>
    <w:uiPriority w:val="99"/>
    <w:semiHidden/>
    <w:rsid w:val="001529A1"/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2</cp:revision>
  <dcterms:created xsi:type="dcterms:W3CDTF">2025-02-05T12:57:00Z</dcterms:created>
  <dcterms:modified xsi:type="dcterms:W3CDTF">2025-02-05T12:57:00Z</dcterms:modified>
</cp:coreProperties>
</file>