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2FB9A843" w:rsidR="001D711A" w:rsidRPr="00907D0E" w:rsidRDefault="00C82F9D" w:rsidP="00F35D8B">
      <w:pPr>
        <w:jc w:val="center"/>
        <w:rPr>
          <w:rFonts w:ascii="Roboto" w:hAnsi="Roboto"/>
          <w:b/>
          <w:bCs/>
          <w:lang w:val="en-US"/>
        </w:rPr>
      </w:pPr>
      <w:bookmarkStart w:id="0" w:name="_Hlk113459061"/>
      <w:r>
        <w:rPr>
          <w:rFonts w:ascii="Roboto" w:hAnsi="Roboto"/>
          <w:b/>
          <w:bCs/>
          <w:lang w:val="en-US"/>
        </w:rPr>
        <w:t>T</w:t>
      </w:r>
      <w:r w:rsidR="004C6F6D" w:rsidRPr="00907D0E">
        <w:rPr>
          <w:rFonts w:ascii="Roboto" w:hAnsi="Roboto"/>
          <w:b/>
          <w:bCs/>
          <w:lang w:val="en-US"/>
        </w:rPr>
        <w:t xml:space="preserve">he </w:t>
      </w:r>
      <w:r>
        <w:rPr>
          <w:rFonts w:ascii="Roboto" w:hAnsi="Roboto"/>
          <w:b/>
          <w:bCs/>
          <w:lang w:val="en-US"/>
        </w:rPr>
        <w:t>Impact of Sarcomere Variants on Disease Progression in</w:t>
      </w:r>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5E548908" w14:textId="14DC0B67" w:rsidR="001D711A" w:rsidRPr="00EF6167" w:rsidRDefault="001D711A" w:rsidP="001D711A">
      <w:pPr>
        <w:pStyle w:val="Ingenafstand"/>
        <w:rPr>
          <w:rFonts w:ascii="Roboto" w:hAnsi="Roboto" w:cs="Times"/>
          <w:sz w:val="18"/>
          <w:szCs w:val="18"/>
        </w:rPr>
      </w:pPr>
      <w:r w:rsidRPr="00DB6D77">
        <w:rPr>
          <w:rFonts w:ascii="Roboto" w:hAnsi="Roboto" w:cs="Times"/>
          <w:sz w:val="18"/>
          <w:szCs w:val="18"/>
        </w:rPr>
        <w:t>Christoffer R. Vissing, MD, PhD;</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w:t>
      </w:r>
      <w:r w:rsidR="00823A13">
        <w:rPr>
          <w:rFonts w:ascii="Roboto" w:hAnsi="Roboto" w:cs="Times"/>
          <w:sz w:val="18"/>
          <w:szCs w:val="18"/>
        </w:rPr>
        <w:t xml:space="preserve"> </w:t>
      </w:r>
      <w:r w:rsidR="005D389F" w:rsidRPr="00DB6D77">
        <w:rPr>
          <w:rFonts w:ascii="Roboto" w:hAnsi="Roboto" w:cs="Times"/>
          <w:sz w:val="18"/>
          <w:szCs w:val="18"/>
        </w:rPr>
        <w:t>Neal K. Lakdawala, MD</w:t>
      </w:r>
      <w:r w:rsidR="00EF6167">
        <w:rPr>
          <w:rFonts w:ascii="Roboto" w:hAnsi="Roboto" w:cs="Times"/>
          <w:sz w:val="18"/>
          <w:szCs w:val="18"/>
        </w:rPr>
        <w:t>;</w:t>
      </w:r>
      <w:r w:rsidR="005D389F" w:rsidRPr="00DB6D77">
        <w:rPr>
          <w:rFonts w:ascii="Roboto" w:hAnsi="Roboto" w:cs="Times"/>
          <w:sz w:val="18"/>
          <w:szCs w:val="18"/>
        </w:rPr>
        <w:t xml:space="preserve"> </w:t>
      </w:r>
      <w:r w:rsidRPr="00DB6D77">
        <w:rPr>
          <w:rFonts w:ascii="Roboto" w:hAnsi="Roboto" w:cs="Times"/>
          <w:sz w:val="18"/>
          <w:szCs w:val="18"/>
        </w:rPr>
        <w:t>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Tel</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617-732-5685</w:t>
      </w:r>
    </w:p>
    <w:p w14:paraId="0191FDB2" w14:textId="7DF2CC7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Fax</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617-264-5265</w:t>
      </w:r>
    </w:p>
    <w:p w14:paraId="58BE50EE" w14:textId="77777777" w:rsidR="001D711A" w:rsidRPr="005D389F" w:rsidRDefault="001D711A" w:rsidP="001D711A">
      <w:pPr>
        <w:spacing w:line="480" w:lineRule="auto"/>
        <w:rPr>
          <w:rFonts w:ascii="Roboto" w:hAnsi="Roboto"/>
          <w:b/>
          <w:bCs/>
          <w:sz w:val="18"/>
          <w:szCs w:val="18"/>
          <w:lang w:val="fr-FR"/>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39D1FF2" w:rsidR="001D711A" w:rsidRPr="00EF6167" w:rsidRDefault="001D711A" w:rsidP="001D711A">
      <w:pPr>
        <w:pStyle w:val="Ingenafstand"/>
        <w:rPr>
          <w:rFonts w:ascii="Roboto" w:hAnsi="Roboto" w:cs="Times New Roman"/>
          <w:sz w:val="18"/>
          <w:szCs w:val="18"/>
        </w:rPr>
      </w:pPr>
      <w:r w:rsidRPr="00EF6167">
        <w:rPr>
          <w:rFonts w:ascii="Roboto" w:hAnsi="Roboto" w:cs="Times New Roman"/>
          <w:sz w:val="18"/>
          <w:szCs w:val="18"/>
        </w:rPr>
        <w:t xml:space="preserve">Email: </w:t>
      </w:r>
      <w:hyperlink r:id="rId9" w:history="1">
        <w:r w:rsidR="00EF6167" w:rsidRPr="00B61731">
          <w:rPr>
            <w:rStyle w:val="Hyperlink"/>
            <w:rFonts w:ascii="Roboto" w:hAnsi="Roboto" w:cs="Times New Roman"/>
            <w:sz w:val="18"/>
            <w:szCs w:val="18"/>
          </w:rPr>
          <w:t>christoffer.rasmus.vissing.01@regionh</w:t>
        </w:r>
      </w:hyperlink>
      <w:r w:rsidRPr="00EF6167">
        <w:rPr>
          <w:rFonts w:ascii="Roboto" w:hAnsi="Roboto" w:cs="Times New Roman"/>
          <w:sz w:val="18"/>
          <w:szCs w:val="18"/>
        </w:rPr>
        <w:t>.dk</w:t>
      </w:r>
    </w:p>
    <w:p w14:paraId="7FDB389F" w14:textId="5BC6EE47" w:rsidR="001D711A" w:rsidRPr="00A56582" w:rsidRDefault="001D711A" w:rsidP="001D711A">
      <w:pPr>
        <w:pStyle w:val="Ingenafstand"/>
        <w:rPr>
          <w:rFonts w:ascii="Roboto" w:hAnsi="Roboto" w:cs="Times New Roman"/>
          <w:sz w:val="18"/>
          <w:szCs w:val="18"/>
        </w:rPr>
      </w:pPr>
      <w:r w:rsidRPr="00A56582">
        <w:rPr>
          <w:rFonts w:ascii="Roboto" w:hAnsi="Roboto" w:cs="Times New Roman"/>
          <w:sz w:val="18"/>
          <w:szCs w:val="18"/>
        </w:rPr>
        <w:t>Tel: +45 20 86 63 96</w:t>
      </w:r>
      <w:r w:rsidR="00F15144" w:rsidRPr="00A56582">
        <w:rPr>
          <w:rFonts w:ascii="Roboto" w:hAnsi="Roboto" w:cs="Times New Roman"/>
          <w:sz w:val="18"/>
          <w:szCs w:val="18"/>
        </w:rPr>
        <w:t xml:space="preserve"> / </w:t>
      </w:r>
      <w:r w:rsidR="00F15144" w:rsidRPr="00A56582">
        <w:rPr>
          <w:rFonts w:ascii="Roboto" w:hAnsi="Roboto"/>
          <w:sz w:val="18"/>
          <w:szCs w:val="18"/>
        </w:rPr>
        <w:t>+1 857-707-2233</w:t>
      </w:r>
    </w:p>
    <w:p w14:paraId="18183449" w14:textId="77777777" w:rsidR="001D711A" w:rsidRPr="00A56582"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268039C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EF6167">
        <w:rPr>
          <w:rFonts w:ascii="Roboto" w:hAnsi="Roboto"/>
          <w:sz w:val="18"/>
          <w:szCs w:val="18"/>
          <w:lang w:val="en-US"/>
        </w:rPr>
        <w:t>343</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76379AE5"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F947A3">
        <w:rPr>
          <w:rFonts w:ascii="Roboto" w:hAnsi="Roboto"/>
          <w:sz w:val="18"/>
          <w:szCs w:val="18"/>
          <w:lang w:val="en-US"/>
        </w:rPr>
        <w:t>751</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3F45CE">
          <w:footerReference w:type="even" r:id="rId10"/>
          <w:footerReference w:type="default" r:id="rId11"/>
          <w:pgSz w:w="12240" w:h="15840"/>
          <w:pgMar w:top="1440" w:right="1440" w:bottom="992" w:left="1259" w:header="720" w:footer="720" w:gutter="0"/>
          <w:cols w:space="720"/>
          <w:titlePg/>
          <w:docGrid w:linePitch="360"/>
        </w:sectPr>
      </w:pPr>
      <w:bookmarkStart w:id="1"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694188"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w:t>
      </w:r>
      <w:r w:rsidR="00B970ED">
        <w:rPr>
          <w:rFonts w:ascii="Roboto" w:hAnsi="Roboto"/>
          <w:sz w:val="22"/>
          <w:szCs w:val="22"/>
          <w:lang w:val="en-US"/>
        </w:rPr>
        <w:t xml:space="preserve"> </w:t>
      </w:r>
      <w:r w:rsidR="00473475">
        <w:rPr>
          <w:rFonts w:ascii="Roboto" w:hAnsi="Roboto"/>
          <w:sz w:val="22"/>
          <w:szCs w:val="22"/>
          <w:lang w:val="en-US"/>
        </w:rPr>
        <w:t>s</w:t>
      </w:r>
      <w:r w:rsidR="00B970ED">
        <w:rPr>
          <w:rFonts w:ascii="Roboto" w:hAnsi="Roboto"/>
          <w:sz w:val="22"/>
          <w:szCs w:val="22"/>
          <w:lang w:val="en-US"/>
        </w:rPr>
        <w:t>ubstrate</w:t>
      </w:r>
      <w:r w:rsidR="00AE61C5" w:rsidRPr="00945228">
        <w:rPr>
          <w:rFonts w:ascii="Roboto" w:hAnsi="Roboto"/>
          <w:sz w:val="22"/>
          <w:szCs w:val="22"/>
          <w:lang w:val="en-US"/>
        </w:rPr>
        <w:t xml:space="preserve"> have been identified</w:t>
      </w:r>
      <w:r w:rsidR="00317261">
        <w:rPr>
          <w:rFonts w:ascii="Roboto" w:hAnsi="Roboto"/>
          <w:sz w:val="22"/>
          <w:szCs w:val="22"/>
          <w:lang w:val="en-US"/>
        </w:rPr>
        <w:t xml:space="preserve"> </w:t>
      </w:r>
      <w:r w:rsidR="002609A5" w:rsidRPr="00945228">
        <w:rPr>
          <w:rFonts w:ascii="Roboto" w:hAnsi="Roboto"/>
          <w:sz w:val="22"/>
          <w:szCs w:val="22"/>
          <w:lang w:val="en-US"/>
        </w:rPr>
        <w:t>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w:t>
      </w:r>
      <w:r w:rsidR="008C0952">
        <w:rPr>
          <w:rFonts w:ascii="Roboto" w:hAnsi="Roboto"/>
          <w:sz w:val="22"/>
          <w:szCs w:val="22"/>
          <w:lang w:val="en-US"/>
        </w:rPr>
        <w:t>particularly</w:t>
      </w:r>
      <w:r w:rsidR="00B970ED">
        <w:rPr>
          <w:rFonts w:ascii="Roboto" w:hAnsi="Roboto"/>
          <w:sz w:val="22"/>
          <w:szCs w:val="22"/>
          <w:lang w:val="en-US"/>
        </w:rPr>
        <w:t xml:space="preserve"> </w:t>
      </w:r>
      <w:r w:rsidR="00754B2F">
        <w:rPr>
          <w:rFonts w:ascii="Roboto" w:hAnsi="Roboto"/>
          <w:sz w:val="22"/>
          <w:szCs w:val="22"/>
          <w:lang w:val="en-US"/>
        </w:rPr>
        <w:t>regarding</w:t>
      </w:r>
      <w:r w:rsidR="00797C2D">
        <w:rPr>
          <w:rFonts w:ascii="Roboto" w:hAnsi="Roboto"/>
          <w:sz w:val="22"/>
          <w:szCs w:val="22"/>
          <w:lang w:val="en-US"/>
        </w:rPr>
        <w:t xml:space="preserve"> </w:t>
      </w:r>
      <w:r w:rsidR="00317261">
        <w:rPr>
          <w:rFonts w:ascii="Roboto" w:hAnsi="Roboto"/>
          <w:sz w:val="22"/>
          <w:szCs w:val="22"/>
          <w:lang w:val="en-US"/>
        </w:rPr>
        <w:t xml:space="preserve">the </w:t>
      </w:r>
      <w:r w:rsidR="000C5E36">
        <w:rPr>
          <w:rFonts w:ascii="Roboto" w:hAnsi="Roboto"/>
          <w:sz w:val="22"/>
          <w:szCs w:val="22"/>
          <w:lang w:val="en-US"/>
        </w:rPr>
        <w:t xml:space="preserve">impact and sequence </w:t>
      </w:r>
      <w:r w:rsidR="008E1D94">
        <w:rPr>
          <w:rFonts w:ascii="Roboto" w:hAnsi="Roboto"/>
          <w:sz w:val="22"/>
          <w:szCs w:val="22"/>
          <w:lang w:val="en-US"/>
        </w:rPr>
        <w:t>of cardiovascular comorbidities</w:t>
      </w:r>
      <w:r w:rsidR="00B970ED">
        <w:rPr>
          <w:rFonts w:ascii="Roboto" w:hAnsi="Roboto"/>
          <w:sz w:val="22"/>
          <w:szCs w:val="22"/>
          <w:lang w:val="en-US"/>
        </w:rPr>
        <w:t xml:space="preserve"> </w:t>
      </w:r>
      <w:r w:rsidR="000C5E36">
        <w:rPr>
          <w:rFonts w:ascii="Roboto" w:hAnsi="Roboto"/>
          <w:sz w:val="22"/>
          <w:szCs w:val="22"/>
          <w:lang w:val="en-US"/>
        </w:rPr>
        <w:t xml:space="preserve">and </w:t>
      </w:r>
      <w:r w:rsidR="00B970ED" w:rsidRPr="0064335B">
        <w:rPr>
          <w:rFonts w:ascii="Roboto" w:hAnsi="Roboto"/>
          <w:sz w:val="22"/>
          <w:szCs w:val="22"/>
          <w:lang w:val="en-US"/>
        </w:rPr>
        <w:t>events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0E14A6FD"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317261">
        <w:rPr>
          <w:rFonts w:ascii="Roboto" w:hAnsi="Roboto"/>
          <w:sz w:val="22"/>
          <w:szCs w:val="22"/>
          <w:lang w:val="en-US"/>
        </w:rPr>
        <w:t>influence</w:t>
      </w:r>
      <w:r w:rsidR="00DD7732">
        <w:rPr>
          <w:rFonts w:ascii="Roboto" w:hAnsi="Roboto"/>
          <w:sz w:val="22"/>
          <w:szCs w:val="22"/>
          <w:lang w:val="en-US"/>
        </w:rPr>
        <w:t xml:space="preserve"> of genetic status </w:t>
      </w:r>
      <w:r w:rsidR="000C5E36">
        <w:rPr>
          <w:rFonts w:ascii="Roboto" w:hAnsi="Roboto"/>
          <w:sz w:val="22"/>
          <w:szCs w:val="22"/>
          <w:lang w:val="en-US"/>
        </w:rPr>
        <w:t>and</w:t>
      </w:r>
      <w:r w:rsidR="00DD7732">
        <w:rPr>
          <w:rFonts w:ascii="Roboto" w:hAnsi="Roboto"/>
          <w:sz w:val="22"/>
          <w:szCs w:val="22"/>
          <w:lang w:val="en-US"/>
        </w:rPr>
        <w:t xml:space="preserve"> the</w:t>
      </w:r>
      <w:r w:rsidR="00DE7EDA" w:rsidRPr="00907D0E">
        <w:rPr>
          <w:rFonts w:ascii="Roboto" w:hAnsi="Roboto"/>
          <w:sz w:val="22"/>
          <w:szCs w:val="22"/>
          <w:lang w:val="en-US"/>
        </w:rPr>
        <w:t xml:space="preserve"> sequence of cardiovascular events were assessed in time-varying Cox proportional hazards models.</w:t>
      </w:r>
    </w:p>
    <w:p w14:paraId="21C108B2" w14:textId="49D3492C"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0C5E36">
        <w:rPr>
          <w:rFonts w:ascii="Roboto" w:hAnsi="Roboto"/>
          <w:sz w:val="22"/>
          <w:szCs w:val="22"/>
          <w:lang w:val="en-US"/>
        </w:rPr>
        <w:t>, p&lt;0.001</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AE6F82">
        <w:rPr>
          <w:rFonts w:ascii="Roboto" w:hAnsi="Roboto"/>
          <w:sz w:val="22"/>
          <w:szCs w:val="22"/>
          <w:lang w:val="en-US"/>
        </w:rPr>
        <w:t xml:space="preserve"> (ASI)</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AE6F82">
        <w:rPr>
          <w:rFonts w:ascii="Roboto" w:hAnsi="Roboto"/>
          <w:sz w:val="22"/>
          <w:szCs w:val="22"/>
          <w:lang w:val="en-US"/>
        </w:rPr>
        <w:t xml:space="preserve"> (ASI ratio </w:t>
      </w:r>
      <w:r w:rsidR="00AE6F82" w:rsidRPr="001529A1">
        <w:rPr>
          <w:rFonts w:ascii="Roboto" w:hAnsi="Roboto"/>
          <w:sz w:val="22"/>
          <w:szCs w:val="22"/>
          <w:lang w:val="en-US"/>
        </w:rPr>
        <w:t xml:space="preserve">1.24 </w:t>
      </w:r>
      <w:r w:rsidR="00AE6F82">
        <w:rPr>
          <w:rFonts w:ascii="Roboto" w:hAnsi="Roboto"/>
          <w:sz w:val="22"/>
          <w:szCs w:val="22"/>
          <w:lang w:val="en-US"/>
        </w:rPr>
        <w:t>[</w:t>
      </w:r>
      <w:r w:rsidR="00AE6F82" w:rsidRPr="001529A1">
        <w:rPr>
          <w:rFonts w:ascii="Roboto" w:hAnsi="Roboto"/>
          <w:sz w:val="22"/>
          <w:szCs w:val="22"/>
          <w:lang w:val="en-US"/>
        </w:rPr>
        <w:t>CI 1.13</w:t>
      </w:r>
      <w:r w:rsidR="00AE6F82">
        <w:rPr>
          <w:rFonts w:ascii="Roboto" w:hAnsi="Roboto"/>
          <w:sz w:val="22"/>
          <w:szCs w:val="22"/>
          <w:lang w:val="en-US"/>
        </w:rPr>
        <w:t>-</w:t>
      </w:r>
      <w:r w:rsidR="00AE6F82" w:rsidRPr="001529A1">
        <w:rPr>
          <w:rFonts w:ascii="Roboto" w:hAnsi="Roboto"/>
          <w:sz w:val="22"/>
          <w:szCs w:val="22"/>
          <w:lang w:val="en-US"/>
        </w:rPr>
        <w:t>1.37</w:t>
      </w:r>
      <w:r w:rsidR="00AE6F82">
        <w:rPr>
          <w:rFonts w:ascii="Roboto" w:hAnsi="Roboto"/>
          <w:sz w:val="22"/>
          <w:szCs w:val="22"/>
          <w:lang w:val="en-US"/>
        </w:rPr>
        <w:t>])</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AE6F82">
        <w:rPr>
          <w:rFonts w:ascii="Roboto" w:hAnsi="Roboto"/>
          <w:sz w:val="22"/>
          <w:szCs w:val="22"/>
          <w:lang w:val="en-US"/>
        </w:rPr>
        <w:t xml:space="preserve"> (ASI ratio </w:t>
      </w:r>
      <w:r w:rsidR="00AE6F82" w:rsidRPr="001529A1">
        <w:rPr>
          <w:rFonts w:ascii="Roboto" w:hAnsi="Roboto"/>
          <w:sz w:val="22"/>
          <w:szCs w:val="22"/>
          <w:lang w:val="en-US"/>
        </w:rPr>
        <w:t>1.</w:t>
      </w:r>
      <w:r w:rsidR="00AE6F82">
        <w:rPr>
          <w:rFonts w:ascii="Roboto" w:hAnsi="Roboto"/>
          <w:sz w:val="22"/>
          <w:szCs w:val="22"/>
          <w:lang w:val="en-US"/>
        </w:rPr>
        <w:t>22</w:t>
      </w:r>
      <w:r w:rsidR="00AE6F82" w:rsidRPr="001529A1">
        <w:rPr>
          <w:rFonts w:ascii="Roboto" w:hAnsi="Roboto"/>
          <w:sz w:val="22"/>
          <w:szCs w:val="22"/>
          <w:lang w:val="en-US"/>
        </w:rPr>
        <w:t xml:space="preserve"> </w:t>
      </w:r>
      <w:r w:rsidR="00AE6F82">
        <w:rPr>
          <w:rFonts w:ascii="Roboto" w:hAnsi="Roboto"/>
          <w:sz w:val="22"/>
          <w:szCs w:val="22"/>
          <w:lang w:val="en-US"/>
        </w:rPr>
        <w:t>[</w:t>
      </w:r>
      <w:r w:rsidR="00AE6F82" w:rsidRPr="001529A1">
        <w:rPr>
          <w:rFonts w:ascii="Roboto" w:hAnsi="Roboto"/>
          <w:sz w:val="22"/>
          <w:szCs w:val="22"/>
          <w:lang w:val="en-US"/>
        </w:rPr>
        <w:t>CI 1.</w:t>
      </w:r>
      <w:r w:rsidR="00AE6F82">
        <w:rPr>
          <w:rFonts w:ascii="Roboto" w:hAnsi="Roboto"/>
          <w:sz w:val="22"/>
          <w:szCs w:val="22"/>
          <w:lang w:val="en-US"/>
        </w:rPr>
        <w:t>0</w:t>
      </w:r>
      <w:r w:rsidR="00AE6F82" w:rsidRPr="001529A1">
        <w:rPr>
          <w:rFonts w:ascii="Roboto" w:hAnsi="Roboto"/>
          <w:sz w:val="22"/>
          <w:szCs w:val="22"/>
          <w:lang w:val="en-US"/>
        </w:rPr>
        <w:t>7</w:t>
      </w:r>
      <w:r w:rsidR="00AE6F82">
        <w:rPr>
          <w:rFonts w:ascii="Roboto" w:hAnsi="Roboto"/>
          <w:sz w:val="22"/>
          <w:szCs w:val="22"/>
          <w:lang w:val="en-US"/>
        </w:rPr>
        <w:t>-</w:t>
      </w:r>
      <w:r w:rsidR="00AE6F82" w:rsidRPr="001529A1">
        <w:rPr>
          <w:rFonts w:ascii="Roboto" w:hAnsi="Roboto"/>
          <w:sz w:val="22"/>
          <w:szCs w:val="22"/>
          <w:lang w:val="en-US"/>
        </w:rPr>
        <w:t>1.</w:t>
      </w:r>
      <w:r w:rsidR="00AE6F82">
        <w:rPr>
          <w:rFonts w:ascii="Roboto" w:hAnsi="Roboto"/>
          <w:sz w:val="22"/>
          <w:szCs w:val="22"/>
          <w:lang w:val="en-US"/>
        </w:rPr>
        <w:t>39])</w:t>
      </w:r>
      <w:r w:rsidR="00F54EFA" w:rsidRPr="00907D0E">
        <w:rPr>
          <w:rFonts w:ascii="Roboto" w:hAnsi="Roboto"/>
          <w:sz w:val="22"/>
          <w:szCs w:val="22"/>
          <w:lang w:val="en-US"/>
        </w:rPr>
        <w:t xml:space="preserve"> and ventricular arrhythmias</w:t>
      </w:r>
      <w:r w:rsidR="00AE6F82">
        <w:rPr>
          <w:rFonts w:ascii="Roboto" w:hAnsi="Roboto"/>
          <w:sz w:val="22"/>
          <w:szCs w:val="22"/>
          <w:lang w:val="en-US"/>
        </w:rPr>
        <w:t xml:space="preserve"> (ASI ratio </w:t>
      </w:r>
      <w:r w:rsidR="00AE6F82" w:rsidRPr="00040F1C">
        <w:rPr>
          <w:rFonts w:ascii="Roboto" w:hAnsi="Roboto"/>
          <w:sz w:val="22"/>
          <w:szCs w:val="22"/>
          <w:lang w:val="en-US"/>
        </w:rPr>
        <w:t>1.3</w:t>
      </w:r>
      <w:r w:rsidR="00AE6F82">
        <w:rPr>
          <w:rFonts w:ascii="Roboto" w:hAnsi="Roboto"/>
          <w:sz w:val="22"/>
          <w:szCs w:val="22"/>
          <w:lang w:val="en-US"/>
        </w:rPr>
        <w:t>0</w:t>
      </w:r>
      <w:r w:rsidR="00AE6F82" w:rsidRPr="00040F1C">
        <w:rPr>
          <w:rFonts w:ascii="Roboto" w:hAnsi="Roboto"/>
          <w:sz w:val="22"/>
          <w:szCs w:val="22"/>
          <w:lang w:val="en-US"/>
        </w:rPr>
        <w:t xml:space="preserve"> </w:t>
      </w:r>
      <w:r w:rsidR="00AE6F82">
        <w:rPr>
          <w:rFonts w:ascii="Roboto" w:hAnsi="Roboto"/>
          <w:sz w:val="22"/>
          <w:szCs w:val="22"/>
          <w:lang w:val="en-US"/>
        </w:rPr>
        <w:t>[</w:t>
      </w:r>
      <w:r w:rsidR="00AE6F82" w:rsidRPr="00040F1C">
        <w:rPr>
          <w:rFonts w:ascii="Roboto" w:hAnsi="Roboto"/>
          <w:sz w:val="22"/>
          <w:szCs w:val="22"/>
          <w:lang w:val="en-US"/>
        </w:rPr>
        <w:t>CI 1.1</w:t>
      </w:r>
      <w:r w:rsidR="00AE6F82">
        <w:rPr>
          <w:rFonts w:ascii="Roboto" w:hAnsi="Roboto"/>
          <w:sz w:val="22"/>
          <w:szCs w:val="22"/>
          <w:lang w:val="en-US"/>
        </w:rPr>
        <w:t>1-</w:t>
      </w:r>
      <w:r w:rsidR="00AE6F82" w:rsidRPr="00D928F0">
        <w:rPr>
          <w:rFonts w:ascii="Roboto" w:hAnsi="Roboto"/>
          <w:sz w:val="22"/>
          <w:szCs w:val="22"/>
          <w:lang w:val="en-US"/>
        </w:rPr>
        <w:t>1.5</w:t>
      </w:r>
      <w:r w:rsidR="00AE6F82">
        <w:rPr>
          <w:rFonts w:ascii="Roboto" w:hAnsi="Roboto"/>
          <w:sz w:val="22"/>
          <w:szCs w:val="22"/>
          <w:lang w:val="en-US"/>
        </w:rPr>
        <w:t>2])</w:t>
      </w:r>
      <w:r w:rsidR="00AE60F7" w:rsidRPr="00907D0E">
        <w:rPr>
          <w:rFonts w:ascii="Roboto" w:hAnsi="Roboto"/>
          <w:sz w:val="22"/>
          <w:szCs w:val="22"/>
          <w:lang w:val="en-US"/>
        </w:rPr>
        <w:t>.</w:t>
      </w:r>
      <w:r w:rsidR="006A5983" w:rsidRPr="00907D0E">
        <w:rPr>
          <w:rFonts w:ascii="Roboto" w:hAnsi="Roboto"/>
          <w:sz w:val="22"/>
          <w:szCs w:val="22"/>
          <w:lang w:val="en-US"/>
        </w:rPr>
        <w:t xml:space="preserve"> </w:t>
      </w:r>
      <w:r w:rsidR="0036707C">
        <w:rPr>
          <w:rFonts w:ascii="Roboto" w:hAnsi="Roboto"/>
          <w:sz w:val="22"/>
          <w:szCs w:val="22"/>
          <w:lang w:val="en-US"/>
        </w:rPr>
        <w:t>The</w:t>
      </w:r>
      <w:r w:rsidR="000C5E36">
        <w:rPr>
          <w:rFonts w:ascii="Roboto" w:hAnsi="Roboto"/>
          <w:sz w:val="22"/>
          <w:szCs w:val="22"/>
          <w:lang w:val="en-US"/>
        </w:rPr>
        <w:t>re was almost double the</w:t>
      </w:r>
      <w:r w:rsidR="0036707C">
        <w:rPr>
          <w:rFonts w:ascii="Roboto" w:hAnsi="Roboto"/>
          <w:sz w:val="22"/>
          <w:szCs w:val="22"/>
          <w:lang w:val="en-US"/>
        </w:rPr>
        <w:t xml:space="preserve"> risk </w:t>
      </w:r>
      <w:r w:rsidR="0004277A">
        <w:rPr>
          <w:rFonts w:ascii="Roboto" w:hAnsi="Roboto"/>
          <w:sz w:val="22"/>
          <w:szCs w:val="22"/>
          <w:lang w:val="en-US"/>
        </w:rPr>
        <w:t>of HCM-related death (</w:t>
      </w:r>
      <w:r w:rsidR="0036707C" w:rsidRPr="00BE00B8">
        <w:rPr>
          <w:rFonts w:ascii="Roboto" w:hAnsi="Roboto"/>
          <w:sz w:val="22"/>
          <w:szCs w:val="22"/>
          <w:lang w:val="en-US"/>
        </w:rPr>
        <w:t>sudden cardiac death, heart failure</w:t>
      </w:r>
      <w:r w:rsidR="0004277A">
        <w:rPr>
          <w:rFonts w:ascii="Roboto" w:hAnsi="Roboto"/>
          <w:sz w:val="22"/>
          <w:szCs w:val="22"/>
          <w:lang w:val="en-US"/>
        </w:rPr>
        <w:t xml:space="preserve"> or</w:t>
      </w:r>
      <w:r w:rsidR="0036707C">
        <w:rPr>
          <w:rFonts w:ascii="Roboto" w:hAnsi="Roboto"/>
          <w:sz w:val="22"/>
          <w:szCs w:val="22"/>
          <w:lang w:val="en-US"/>
        </w:rPr>
        <w:t xml:space="preserve"> </w:t>
      </w:r>
      <w:r w:rsidR="0036707C" w:rsidRPr="00BE00B8">
        <w:rPr>
          <w:rFonts w:ascii="Roboto" w:hAnsi="Roboto"/>
          <w:sz w:val="22"/>
          <w:szCs w:val="22"/>
          <w:lang w:val="en-US"/>
        </w:rPr>
        <w:t>stroke</w:t>
      </w:r>
      <w:r w:rsidR="0004277A">
        <w:rPr>
          <w:rFonts w:ascii="Roboto" w:hAnsi="Roboto"/>
          <w:sz w:val="22"/>
          <w:szCs w:val="22"/>
          <w:lang w:val="en-US"/>
        </w:rPr>
        <w:t xml:space="preserve">) in </w:t>
      </w:r>
      <w:proofErr w:type="spellStart"/>
      <w:r w:rsidR="0004277A">
        <w:rPr>
          <w:rFonts w:ascii="Roboto" w:hAnsi="Roboto"/>
          <w:sz w:val="22"/>
          <w:szCs w:val="22"/>
          <w:lang w:val="en-US"/>
        </w:rPr>
        <w:t>sarcomeric</w:t>
      </w:r>
      <w:proofErr w:type="spellEnd"/>
      <w:r w:rsidR="0004277A">
        <w:rPr>
          <w:rFonts w:ascii="Roboto" w:hAnsi="Roboto"/>
          <w:sz w:val="22"/>
          <w:szCs w:val="22"/>
          <w:lang w:val="en-US"/>
        </w:rPr>
        <w:t xml:space="preserve"> HCM</w:t>
      </w:r>
      <w:r w:rsidR="00703EA6">
        <w:rPr>
          <w:rFonts w:ascii="Roboto" w:hAnsi="Roboto"/>
          <w:sz w:val="22"/>
          <w:szCs w:val="22"/>
          <w:lang w:val="en-US"/>
        </w:rPr>
        <w:t xml:space="preserve"> (HR 1.75 [CI 1.26-2.55])</w:t>
      </w:r>
      <w:r w:rsidR="0036707C" w:rsidRPr="00907D0E">
        <w:rPr>
          <w:rFonts w:ascii="Roboto" w:hAnsi="Roboto"/>
          <w:sz w:val="22"/>
          <w:szCs w:val="22"/>
          <w:lang w:val="en-US"/>
        </w:rPr>
        <w:t xml:space="preserve">. </w:t>
      </w:r>
    </w:p>
    <w:p w14:paraId="7F6E1E76" w14:textId="5CD097AE" w:rsidR="00FF4CC9" w:rsidRDefault="00AE6F82" w:rsidP="000B140C">
      <w:pPr>
        <w:spacing w:line="360" w:lineRule="auto"/>
        <w:rPr>
          <w:rFonts w:ascii="Roboto" w:hAnsi="Roboto"/>
          <w:sz w:val="22"/>
          <w:szCs w:val="22"/>
          <w:lang w:val="en-US"/>
        </w:rPr>
      </w:pPr>
      <w:r>
        <w:rPr>
          <w:rFonts w:ascii="Roboto" w:hAnsi="Roboto"/>
          <w:sz w:val="22"/>
          <w:szCs w:val="22"/>
          <w:lang w:val="en-US"/>
        </w:rPr>
        <w:t>In time-to-event analysis</w:t>
      </w:r>
      <w:r w:rsidR="000C5E36">
        <w:rPr>
          <w:rFonts w:ascii="Roboto" w:hAnsi="Roboto"/>
          <w:sz w:val="22"/>
          <w:szCs w:val="22"/>
          <w:lang w:val="en-US"/>
        </w:rPr>
        <w:t>,</w:t>
      </w:r>
      <w:r w:rsidR="00B970ED">
        <w:rPr>
          <w:rFonts w:ascii="Roboto" w:hAnsi="Roboto"/>
          <w:sz w:val="22"/>
          <w:szCs w:val="22"/>
          <w:lang w:val="en-US"/>
        </w:rPr>
        <w:t xml:space="preserve"> a</w:t>
      </w:r>
      <w:r w:rsidR="00D803C7">
        <w:rPr>
          <w:rFonts w:ascii="Roboto" w:hAnsi="Roboto"/>
          <w:sz w:val="22"/>
          <w:szCs w:val="22"/>
          <w:lang w:val="en-US"/>
        </w:rPr>
        <w:t>trial fibrillation</w:t>
      </w:r>
      <w:r w:rsidR="00945228">
        <w:rPr>
          <w:rFonts w:ascii="Roboto" w:hAnsi="Roboto"/>
          <w:sz w:val="22"/>
          <w:szCs w:val="22"/>
          <w:lang w:val="en-US"/>
        </w:rPr>
        <w:t xml:space="preserve"> </w:t>
      </w:r>
      <w:r w:rsidR="00B970ED">
        <w:rPr>
          <w:rFonts w:ascii="Roboto" w:hAnsi="Roboto"/>
          <w:sz w:val="22"/>
          <w:szCs w:val="22"/>
          <w:lang w:val="en-US"/>
        </w:rPr>
        <w:t>was associated with</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8E5B00">
        <w:rPr>
          <w:rFonts w:ascii="Roboto" w:hAnsi="Roboto"/>
          <w:sz w:val="22"/>
          <w:szCs w:val="22"/>
          <w:lang w:val="en-US"/>
        </w:rPr>
        <w:t xml:space="preserve">The detrimental effects of </w:t>
      </w:r>
      <w:r w:rsidR="00DD7732">
        <w:rPr>
          <w:rFonts w:ascii="Roboto" w:hAnsi="Roboto"/>
          <w:sz w:val="22"/>
          <w:szCs w:val="22"/>
          <w:lang w:val="en-US"/>
        </w:rPr>
        <w:t xml:space="preserve">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sfunction</w:t>
      </w:r>
      <w:r w:rsidR="008E5B00">
        <w:rPr>
          <w:rFonts w:ascii="Roboto" w:hAnsi="Roboto"/>
          <w:sz w:val="22"/>
          <w:szCs w:val="22"/>
          <w:lang w:val="en-US"/>
        </w:rPr>
        <w:t xml:space="preserve"> for </w:t>
      </w:r>
      <w:r w:rsidR="000C5E36">
        <w:rPr>
          <w:rFonts w:ascii="Roboto" w:hAnsi="Roboto"/>
          <w:sz w:val="22"/>
          <w:szCs w:val="22"/>
          <w:lang w:val="en-US"/>
        </w:rPr>
        <w:t xml:space="preserve">leading to these </w:t>
      </w:r>
      <w:r w:rsidR="008E5B00">
        <w:rPr>
          <w:rFonts w:ascii="Roboto" w:hAnsi="Roboto"/>
          <w:sz w:val="22"/>
          <w:szCs w:val="22"/>
          <w:lang w:val="en-US"/>
        </w:rPr>
        <w:t xml:space="preserve">outcomes </w:t>
      </w:r>
      <w:r w:rsidR="009577E5">
        <w:rPr>
          <w:rFonts w:ascii="Roboto" w:hAnsi="Roboto"/>
          <w:sz w:val="22"/>
          <w:szCs w:val="22"/>
          <w:lang w:val="en-US"/>
        </w:rPr>
        <w:t xml:space="preserve">were </w:t>
      </w:r>
      <w:r w:rsidR="008E5B00">
        <w:rPr>
          <w:rFonts w:ascii="Roboto" w:hAnsi="Roboto"/>
          <w:sz w:val="22"/>
          <w:szCs w:val="22"/>
          <w:lang w:val="en-US"/>
        </w:rPr>
        <w:t xml:space="preserve">approximately twice as high in </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 versus non-</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w:t>
      </w:r>
      <w:r w:rsidR="009E41E7">
        <w:rPr>
          <w:rFonts w:ascii="Roboto" w:hAnsi="Roboto"/>
          <w:sz w:val="22"/>
          <w:szCs w:val="22"/>
          <w:lang w:val="en-US"/>
        </w:rPr>
        <w:t>.</w:t>
      </w:r>
      <w:r w:rsidR="00D803C7">
        <w:rPr>
          <w:rFonts w:ascii="Roboto" w:hAnsi="Roboto"/>
          <w:sz w:val="22"/>
          <w:szCs w:val="22"/>
          <w:lang w:val="en-US"/>
        </w:rPr>
        <w:t xml:space="preserve"> </w:t>
      </w:r>
      <w:r w:rsidR="00B970ED">
        <w:rPr>
          <w:rFonts w:ascii="Roboto" w:hAnsi="Roboto"/>
          <w:sz w:val="22"/>
          <w:szCs w:val="22"/>
          <w:lang w:val="en-US"/>
        </w:rPr>
        <w:t xml:space="preserve">Obesity, hypertension, and LV obstruction were not associated with </w:t>
      </w:r>
      <w:r w:rsidR="009577E5">
        <w:rPr>
          <w:rFonts w:ascii="Roboto" w:hAnsi="Roboto"/>
          <w:sz w:val="22"/>
          <w:szCs w:val="22"/>
          <w:lang w:val="en-US"/>
        </w:rPr>
        <w:t>advanced</w:t>
      </w:r>
      <w:r w:rsidR="00B970ED">
        <w:rPr>
          <w:rFonts w:ascii="Roboto" w:hAnsi="Roboto"/>
          <w:sz w:val="22"/>
          <w:szCs w:val="22"/>
          <w:lang w:val="en-US"/>
        </w:rPr>
        <w:t xml:space="preserve"> heart failure, stroke, ventricular arrhythmias</w:t>
      </w:r>
      <w:r w:rsidR="00245B74">
        <w:rPr>
          <w:rFonts w:ascii="Roboto" w:hAnsi="Roboto"/>
          <w:sz w:val="22"/>
          <w:szCs w:val="22"/>
          <w:lang w:val="en-US"/>
        </w:rPr>
        <w:t>,</w:t>
      </w:r>
      <w:r w:rsidR="00B970ED">
        <w:rPr>
          <w:rFonts w:ascii="Roboto" w:hAnsi="Roboto"/>
          <w:sz w:val="22"/>
          <w:szCs w:val="22"/>
          <w:lang w:val="en-US"/>
        </w:rPr>
        <w:t xml:space="preserve"> or death</w:t>
      </w:r>
      <w:r w:rsidR="00A56582">
        <w:rPr>
          <w:rFonts w:ascii="Roboto" w:hAnsi="Roboto"/>
          <w:sz w:val="22"/>
          <w:szCs w:val="22"/>
          <w:lang w:val="en-US"/>
        </w:rPr>
        <w:t>.</w:t>
      </w:r>
    </w:p>
    <w:p w14:paraId="72D090CF" w14:textId="21386B82" w:rsidR="00F775AF" w:rsidRDefault="001D711A" w:rsidP="002707A5">
      <w:pPr>
        <w:spacing w:line="360" w:lineRule="auto"/>
        <w:rPr>
          <w:rFonts w:ascii="Roboto" w:hAnsi="Roboto"/>
          <w:sz w:val="22"/>
          <w:szCs w:val="22"/>
          <w:lang w:val="en-US"/>
        </w:rPr>
      </w:pPr>
      <w:r w:rsidRPr="00907D0E">
        <w:rPr>
          <w:rFonts w:ascii="Roboto" w:hAnsi="Roboto"/>
          <w:b/>
          <w:bCs/>
          <w:i/>
          <w:iCs/>
          <w:sz w:val="22"/>
          <w:szCs w:val="22"/>
          <w:lang w:val="en-US"/>
        </w:rPr>
        <w:t>Conclusions</w:t>
      </w:r>
      <w:r w:rsidRPr="00907D0E">
        <w:rPr>
          <w:rFonts w:ascii="Roboto" w:hAnsi="Roboto"/>
          <w:sz w:val="22"/>
          <w:szCs w:val="22"/>
          <w:lang w:val="en-US"/>
        </w:rPr>
        <w:t>:</w:t>
      </w:r>
      <w:r w:rsidR="00B96EAC">
        <w:rPr>
          <w:rFonts w:ascii="Roboto" w:hAnsi="Roboto"/>
          <w:sz w:val="22"/>
          <w:szCs w:val="22"/>
          <w:lang w:val="en-US"/>
        </w:rPr>
        <w:t xml:space="preserve"> </w:t>
      </w:r>
      <w:r w:rsidR="009577E5">
        <w:rPr>
          <w:rFonts w:ascii="Roboto" w:hAnsi="Roboto"/>
          <w:sz w:val="22"/>
          <w:szCs w:val="22"/>
          <w:lang w:val="en-US"/>
        </w:rPr>
        <w:t>The genetic substrate</w:t>
      </w:r>
      <w:r w:rsidR="00235157">
        <w:rPr>
          <w:rFonts w:ascii="Roboto" w:hAnsi="Roboto"/>
          <w:sz w:val="22"/>
          <w:szCs w:val="22"/>
          <w:lang w:val="en-US"/>
        </w:rPr>
        <w:t xml:space="preserve"> </w:t>
      </w:r>
      <w:r w:rsidR="009577E5">
        <w:rPr>
          <w:rFonts w:ascii="Roboto" w:hAnsi="Roboto"/>
          <w:sz w:val="22"/>
          <w:szCs w:val="22"/>
          <w:lang w:val="en-US"/>
        </w:rPr>
        <w:t>of</w:t>
      </w:r>
      <w:r w:rsidR="00235157">
        <w:rPr>
          <w:rFonts w:ascii="Roboto" w:hAnsi="Roboto"/>
          <w:sz w:val="22"/>
          <w:szCs w:val="22"/>
          <w:lang w:val="en-US"/>
        </w:rPr>
        <w:t xml:space="preserve"> patients with HCM </w:t>
      </w:r>
      <w:r w:rsidR="00FE6DAB">
        <w:rPr>
          <w:rFonts w:ascii="Roboto" w:hAnsi="Roboto"/>
          <w:sz w:val="22"/>
          <w:szCs w:val="22"/>
          <w:lang w:val="en-US"/>
        </w:rPr>
        <w:t xml:space="preserve">influences </w:t>
      </w:r>
      <w:r w:rsidR="00100B81">
        <w:rPr>
          <w:rFonts w:ascii="Roboto" w:hAnsi="Roboto"/>
          <w:sz w:val="22"/>
          <w:szCs w:val="22"/>
          <w:lang w:val="en-US"/>
        </w:rPr>
        <w:t>clinical course</w:t>
      </w:r>
      <w:r w:rsidR="00B34297">
        <w:rPr>
          <w:rFonts w:ascii="Roboto" w:hAnsi="Roboto"/>
          <w:sz w:val="22"/>
          <w:szCs w:val="22"/>
          <w:lang w:val="en-US"/>
        </w:rPr>
        <w:t xml:space="preserve"> and</w:t>
      </w:r>
      <w:r w:rsidR="009577E5">
        <w:rPr>
          <w:rFonts w:ascii="Roboto" w:hAnsi="Roboto"/>
          <w:sz w:val="22"/>
          <w:szCs w:val="22"/>
          <w:lang w:val="en-US"/>
        </w:rPr>
        <w:t xml:space="preserve"> the</w:t>
      </w:r>
      <w:r w:rsidR="00B34297">
        <w:rPr>
          <w:rFonts w:ascii="Roboto" w:hAnsi="Roboto"/>
          <w:sz w:val="22"/>
          <w:szCs w:val="22"/>
          <w:lang w:val="en-US"/>
        </w:rPr>
        <w:t xml:space="preserve"> </w:t>
      </w:r>
      <w:r w:rsidR="009577E5">
        <w:rPr>
          <w:rFonts w:ascii="Roboto" w:hAnsi="Roboto"/>
          <w:sz w:val="22"/>
          <w:szCs w:val="22"/>
          <w:lang w:val="en-US"/>
        </w:rPr>
        <w:t>impact</w:t>
      </w:r>
      <w:r w:rsidR="00FE6DAB">
        <w:rPr>
          <w:rFonts w:ascii="Roboto" w:hAnsi="Roboto"/>
          <w:sz w:val="22"/>
          <w:szCs w:val="22"/>
          <w:lang w:val="en-US"/>
        </w:rPr>
        <w:t xml:space="preserve"> of</w:t>
      </w:r>
      <w:r w:rsidR="00100B81">
        <w:rPr>
          <w:rFonts w:ascii="Roboto" w:hAnsi="Roboto"/>
          <w:sz w:val="22"/>
          <w:szCs w:val="22"/>
          <w:lang w:val="en-US"/>
        </w:rPr>
        <w:t xml:space="preserve"> cardiovascular comorbidities</w:t>
      </w:r>
      <w:r w:rsidR="000C5E36">
        <w:rPr>
          <w:rFonts w:ascii="Roboto" w:hAnsi="Roboto"/>
          <w:sz w:val="22"/>
          <w:szCs w:val="22"/>
          <w:lang w:val="en-US"/>
        </w:rPr>
        <w:t xml:space="preserve"> on adverse outcomes</w:t>
      </w:r>
      <w:r w:rsidR="00B96EAC">
        <w:rPr>
          <w:rFonts w:ascii="Roboto" w:hAnsi="Roboto"/>
          <w:sz w:val="22"/>
          <w:szCs w:val="22"/>
          <w:lang w:val="en-US"/>
        </w:rPr>
        <w:t xml:space="preserve">. </w:t>
      </w:r>
      <w:bookmarkEnd w:id="1"/>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hypertension</w:t>
      </w:r>
      <w:r w:rsidR="0036707C">
        <w:rPr>
          <w:rFonts w:ascii="Roboto" w:hAnsi="Roboto"/>
          <w:sz w:val="22"/>
          <w:szCs w:val="22"/>
          <w:lang w:val="en-US"/>
        </w:rPr>
        <w:t>,</w:t>
      </w:r>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w:t>
      </w:r>
      <w:r w:rsidR="0036707C">
        <w:rPr>
          <w:rFonts w:ascii="Roboto" w:hAnsi="Roboto"/>
          <w:sz w:val="22"/>
          <w:szCs w:val="22"/>
          <w:lang w:val="en-US"/>
        </w:rPr>
        <w:t>HCM but not associated with excess risk of serious adverse events</w:t>
      </w:r>
      <w:r w:rsidR="00FE6DAB">
        <w:rPr>
          <w:rFonts w:ascii="Roboto" w:hAnsi="Roboto"/>
          <w:sz w:val="22"/>
          <w:szCs w:val="22"/>
          <w:lang w:val="en-US"/>
        </w:rPr>
        <w:t>.</w:t>
      </w:r>
      <w:r w:rsidR="008C0952">
        <w:rPr>
          <w:rFonts w:ascii="Roboto" w:hAnsi="Roboto"/>
          <w:sz w:val="22"/>
          <w:szCs w:val="22"/>
          <w:lang w:val="en-US"/>
        </w:rPr>
        <w:t xml:space="preserve"> </w:t>
      </w:r>
      <w:proofErr w:type="spellStart"/>
      <w:r w:rsidR="008C0952">
        <w:rPr>
          <w:rFonts w:ascii="Roboto" w:hAnsi="Roboto"/>
          <w:sz w:val="22"/>
          <w:szCs w:val="22"/>
          <w:lang w:val="en-US"/>
        </w:rPr>
        <w:t>S</w:t>
      </w:r>
      <w:r w:rsidR="00100B81">
        <w:rPr>
          <w:rFonts w:ascii="Roboto" w:hAnsi="Roboto"/>
          <w:sz w:val="22"/>
          <w:szCs w:val="22"/>
          <w:lang w:val="en-US"/>
        </w:rPr>
        <w:t>arcomeric</w:t>
      </w:r>
      <w:proofErr w:type="spellEnd"/>
      <w:r w:rsidR="00100B81">
        <w:rPr>
          <w:rFonts w:ascii="Roboto" w:hAnsi="Roboto"/>
          <w:sz w:val="22"/>
          <w:szCs w:val="22"/>
          <w:lang w:val="en-US"/>
        </w:rPr>
        <w:t xml:space="preserve"> HCM </w:t>
      </w:r>
      <w:r w:rsidR="008C0952">
        <w:rPr>
          <w:rFonts w:ascii="Roboto" w:hAnsi="Roboto"/>
          <w:sz w:val="22"/>
          <w:szCs w:val="22"/>
          <w:lang w:val="en-US"/>
        </w:rPr>
        <w:t xml:space="preserve">was </w:t>
      </w:r>
      <w:r w:rsidR="00FE6DAB">
        <w:rPr>
          <w:rFonts w:ascii="Roboto" w:hAnsi="Roboto"/>
          <w:sz w:val="22"/>
          <w:szCs w:val="22"/>
          <w:lang w:val="en-US"/>
        </w:rPr>
        <w:t>associate</w:t>
      </w:r>
      <w:r w:rsidR="008C0952">
        <w:rPr>
          <w:rFonts w:ascii="Roboto" w:hAnsi="Roboto"/>
          <w:sz w:val="22"/>
          <w:szCs w:val="22"/>
          <w:lang w:val="en-US"/>
        </w:rPr>
        <w:t>d</w:t>
      </w:r>
      <w:r w:rsidR="00FE6DAB">
        <w:rPr>
          <w:rFonts w:ascii="Roboto" w:hAnsi="Roboto"/>
          <w:sz w:val="22"/>
          <w:szCs w:val="22"/>
          <w:lang w:val="en-US"/>
        </w:rPr>
        <w:t xml:space="preserve"> with</w:t>
      </w:r>
      <w:r w:rsidR="008E5B00">
        <w:rPr>
          <w:rFonts w:ascii="Roboto" w:hAnsi="Roboto"/>
          <w:sz w:val="22"/>
          <w:szCs w:val="22"/>
          <w:lang w:val="en-US"/>
        </w:rPr>
        <w:t xml:space="preserve"> more severe heart failure, arrhythmias, </w:t>
      </w:r>
      <w:r w:rsidR="008C0952">
        <w:rPr>
          <w:rFonts w:ascii="Roboto" w:hAnsi="Roboto"/>
          <w:sz w:val="22"/>
          <w:szCs w:val="22"/>
          <w:lang w:val="en-US"/>
        </w:rPr>
        <w:t>higher risk of HCM-related mortality, and worse outcomes related to atrial fibrillation and LV systolic dysfunction</w:t>
      </w:r>
      <w:r w:rsidR="008C0952">
        <w:rPr>
          <w:rFonts w:ascii="Roboto" w:hAnsi="Roboto"/>
          <w:sz w:val="22"/>
          <w:szCs w:val="22"/>
          <w:lang w:val="en-US"/>
        </w:rPr>
        <w:t>.</w:t>
      </w:r>
      <w:r w:rsidR="00703EA6">
        <w:rPr>
          <w:rFonts w:ascii="Roboto" w:hAnsi="Roboto"/>
          <w:sz w:val="22"/>
          <w:szCs w:val="22"/>
          <w:lang w:val="en-US"/>
        </w:rPr>
        <w:t xml:space="preserve"> </w:t>
      </w:r>
      <w:r w:rsidR="00703EA6" w:rsidRPr="008C0952">
        <w:rPr>
          <w:rFonts w:ascii="Roboto" w:hAnsi="Roboto"/>
          <w:sz w:val="22"/>
          <w:szCs w:val="22"/>
          <w:lang w:val="en-US"/>
        </w:rPr>
        <w:t xml:space="preserve">These findings have implications </w:t>
      </w:r>
      <w:r w:rsidR="008C0952">
        <w:rPr>
          <w:rFonts w:ascii="Roboto" w:hAnsi="Roboto"/>
          <w:sz w:val="22"/>
          <w:szCs w:val="22"/>
          <w:lang w:val="en-US"/>
        </w:rPr>
        <w:t>for</w:t>
      </w:r>
      <w:r w:rsidR="008C0952" w:rsidRPr="008C0952">
        <w:rPr>
          <w:rFonts w:ascii="Roboto" w:hAnsi="Roboto"/>
          <w:sz w:val="22"/>
          <w:szCs w:val="22"/>
          <w:lang w:val="en-US"/>
        </w:rPr>
        <w:t xml:space="preserve"> </w:t>
      </w:r>
      <w:r w:rsidR="00703EA6" w:rsidRPr="008C0952">
        <w:rPr>
          <w:rFonts w:ascii="Roboto" w:hAnsi="Roboto"/>
          <w:sz w:val="22"/>
          <w:szCs w:val="22"/>
          <w:lang w:val="en-US"/>
        </w:rPr>
        <w:t xml:space="preserve">risk stratification and </w:t>
      </w:r>
      <w:r w:rsidR="008C0952">
        <w:rPr>
          <w:rFonts w:ascii="Roboto" w:hAnsi="Roboto"/>
          <w:sz w:val="22"/>
          <w:szCs w:val="22"/>
          <w:lang w:val="en-US"/>
        </w:rPr>
        <w:t>managing</w:t>
      </w:r>
      <w:r w:rsidR="008E5B00">
        <w:rPr>
          <w:rFonts w:ascii="Roboto" w:hAnsi="Roboto"/>
          <w:sz w:val="22"/>
          <w:szCs w:val="22"/>
          <w:lang w:val="en-US"/>
        </w:rPr>
        <w:t xml:space="preserve"> patients according to gen</w:t>
      </w:r>
      <w:r w:rsidR="008C0952">
        <w:rPr>
          <w:rFonts w:ascii="Roboto" w:hAnsi="Roboto"/>
          <w:sz w:val="22"/>
          <w:szCs w:val="22"/>
          <w:lang w:val="en-US"/>
        </w:rPr>
        <w:t xml:space="preserve">otype </w:t>
      </w:r>
      <w:r w:rsidR="008E5B00">
        <w:rPr>
          <w:rFonts w:ascii="Roboto" w:hAnsi="Roboto"/>
          <w:sz w:val="22"/>
          <w:szCs w:val="22"/>
          <w:lang w:val="en-US"/>
        </w:rPr>
        <w:t>and comorbidities</w:t>
      </w:r>
      <w:r w:rsidR="00703EA6" w:rsidRPr="008C0952">
        <w:rPr>
          <w:rFonts w:ascii="Roboto" w:hAnsi="Roboto"/>
          <w:sz w:val="22"/>
          <w:szCs w:val="22"/>
          <w:lang w:val="en-US"/>
        </w:rPr>
        <w:t>.</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387097C8"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6C6C9D7D"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 xml:space="preserve">cardiac arrhythmias and LV </w:t>
      </w:r>
      <w:r w:rsidR="008C0952">
        <w:rPr>
          <w:rFonts w:ascii="Roboto" w:hAnsi="Roboto"/>
          <w:sz w:val="22"/>
          <w:szCs w:val="22"/>
        </w:rPr>
        <w:t xml:space="preserve">systolic </w:t>
      </w:r>
      <w:r w:rsidR="00201C66" w:rsidRPr="00201C66">
        <w:rPr>
          <w:rFonts w:ascii="Roboto" w:hAnsi="Roboto"/>
          <w:sz w:val="22"/>
          <w:szCs w:val="22"/>
        </w:rPr>
        <w:t>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6D27DF1C"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w:t>
      </w:r>
      <w:r w:rsidR="00245B74">
        <w:rPr>
          <w:rFonts w:ascii="Roboto" w:hAnsi="Roboto"/>
          <w:sz w:val="22"/>
          <w:szCs w:val="22"/>
          <w:lang w:val="en-US"/>
        </w:rPr>
        <w:t>Prior</w:t>
      </w:r>
      <w:r w:rsidR="00245B74" w:rsidRPr="00391E8B">
        <w:rPr>
          <w:rFonts w:ascii="Roboto" w:hAnsi="Roboto"/>
          <w:sz w:val="22"/>
          <w:szCs w:val="22"/>
          <w:lang w:val="en-US"/>
        </w:rPr>
        <w:t xml:space="preserve"> </w:t>
      </w:r>
      <w:r w:rsidRPr="00391E8B">
        <w:rPr>
          <w:rFonts w:ascii="Roboto" w:hAnsi="Roboto"/>
          <w:sz w:val="22"/>
          <w:szCs w:val="22"/>
          <w:lang w:val="en-US"/>
        </w:rPr>
        <w:t>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characterizing</w:t>
      </w:r>
      <w:r w:rsidR="00245B74">
        <w:rPr>
          <w:rFonts w:ascii="Roboto" w:hAnsi="Roboto"/>
          <w:sz w:val="22"/>
          <w:szCs w:val="22"/>
          <w:lang w:val="en-US"/>
        </w:rPr>
        <w:t xml:space="preserve"> longitudinal</w:t>
      </w:r>
      <w:r w:rsidR="00CA4258" w:rsidRPr="00391E8B">
        <w:rPr>
          <w:rFonts w:ascii="Roboto" w:hAnsi="Roboto"/>
          <w:sz w:val="22"/>
          <w:szCs w:val="22"/>
          <w:lang w:val="en-US"/>
        </w:rPr>
        <w:t xml:space="preserve"> </w:t>
      </w:r>
      <w:r w:rsidRPr="00391E8B">
        <w:rPr>
          <w:rFonts w:ascii="Roboto" w:hAnsi="Roboto"/>
          <w:sz w:val="22"/>
          <w:szCs w:val="22"/>
          <w:lang w:val="en-US"/>
        </w:rPr>
        <w:t xml:space="preserve">clinical </w:t>
      </w:r>
      <w:r w:rsidR="00245B74">
        <w:rPr>
          <w:rFonts w:ascii="Roboto" w:hAnsi="Roboto"/>
          <w:sz w:val="22"/>
          <w:szCs w:val="22"/>
          <w:lang w:val="en-US"/>
        </w:rPr>
        <w:t>course</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0AC68C0C"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w:t>
      </w:r>
      <w:r w:rsidR="008B3D84">
        <w:rPr>
          <w:rFonts w:ascii="Roboto" w:hAnsi="Roboto"/>
          <w:sz w:val="22"/>
          <w:szCs w:val="22"/>
          <w:lang w:val="en-US"/>
        </w:rPr>
        <w:t>3</w:t>
      </w:r>
      <w:r w:rsidR="001D711A" w:rsidRPr="00391E8B">
        <w:rPr>
          <w:rFonts w:ascii="Roboto" w:hAnsi="Roboto"/>
          <w:sz w:val="22"/>
          <w:szCs w:val="22"/>
          <w:lang w:val="en-US"/>
        </w:rPr>
        <w:t xml:space="preserve"> international</w:t>
      </w:r>
      <w:r w:rsidR="00241DE5">
        <w:rPr>
          <w:rFonts w:ascii="Roboto" w:hAnsi="Roboto"/>
          <w:sz w:val="22"/>
          <w:szCs w:val="22"/>
          <w:lang w:val="en-US"/>
        </w:rPr>
        <w:t xml:space="preserve"> </w:t>
      </w:r>
      <w:r w:rsidR="001D711A" w:rsidRPr="00391E8B">
        <w:rPr>
          <w:rFonts w:ascii="Roboto" w:hAnsi="Roboto"/>
          <w:sz w:val="22"/>
          <w:szCs w:val="22"/>
          <w:lang w:val="en-US"/>
        </w:rPr>
        <w:t xml:space="preserve">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2"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35AF85A3"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 xml:space="preserve">&lt;30, 31-45, 46-55, 56-65 </w:t>
      </w:r>
      <w:r w:rsidR="009E16F1">
        <w:rPr>
          <w:rFonts w:ascii="Roboto" w:hAnsi="Roboto"/>
          <w:sz w:val="22"/>
          <w:szCs w:val="22"/>
          <w:lang w:val="en-GB"/>
        </w:rPr>
        <w:lastRenderedPageBreak/>
        <w:t>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45BD3D4F"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2"/>
    <w:p w14:paraId="6670D36A" w14:textId="70676BF3"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w:t>
      </w:r>
      <w:r w:rsidR="0031226B">
        <w:rPr>
          <w:rFonts w:ascii="Roboto" w:hAnsi="Roboto"/>
          <w:sz w:val="22"/>
          <w:szCs w:val="22"/>
          <w:lang w:val="en-US"/>
        </w:rPr>
        <w:t>2</w:t>
      </w:r>
      <w:r w:rsidRPr="00040F1C">
        <w:rPr>
          <w:rFonts w:ascii="Roboto" w:hAnsi="Roboto"/>
          <w:sz w:val="22"/>
          <w:szCs w:val="22"/>
          <w:lang w:val="en-US"/>
        </w:rPr>
        <w:t>.</w:t>
      </w:r>
      <w:r w:rsidR="0031226B">
        <w:rPr>
          <w:rFonts w:ascii="Roboto" w:hAnsi="Roboto"/>
          <w:sz w:val="22"/>
          <w:szCs w:val="22"/>
          <w:lang w:val="en-GB"/>
        </w:rPr>
        <w:t>2</w:t>
      </w:r>
      <w:r w:rsidRPr="00DB6D77">
        <w:rPr>
          <w:rFonts w:ascii="Roboto" w:hAnsi="Roboto"/>
          <w:sz w:val="22"/>
          <w:szCs w:val="22"/>
          <w:lang w:val="en-GB"/>
        </w:rPr>
        <w:t xml:space="preserve">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2BC774D3"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w:t>
      </w:r>
      <w:r w:rsidR="00317FF7" w:rsidRPr="00040F1C">
        <w:rPr>
          <w:rFonts w:ascii="Roboto" w:hAnsi="Roboto"/>
          <w:sz w:val="22"/>
          <w:szCs w:val="22"/>
          <w:lang w:val="en-US"/>
        </w:rPr>
        <w:t>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317FF7" w:rsidRPr="008B3566">
        <w:rPr>
          <w:rFonts w:ascii="Roboto" w:hAnsi="Roboto"/>
          <w:sz w:val="22"/>
          <w:szCs w:val="22"/>
          <w:lang w:val="en-US"/>
        </w:rPr>
        <w:t xml:space="preserve">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 xml:space="preserve">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1050110C"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7392813F"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w:t>
      </w:r>
      <w:r w:rsidR="00E85176" w:rsidRPr="00391E8B">
        <w:rPr>
          <w:rFonts w:ascii="Roboto" w:hAnsi="Roboto"/>
          <w:sz w:val="22"/>
          <w:szCs w:val="22"/>
          <w:lang w:val="en-US"/>
        </w:rPr>
        <w:t>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septal reduction therapy (RR </w:t>
      </w:r>
      <w:r w:rsidR="00073741">
        <w:rPr>
          <w:rFonts w:ascii="Roboto" w:hAnsi="Roboto"/>
          <w:sz w:val="22"/>
          <w:szCs w:val="22"/>
          <w:lang w:val="en-US"/>
        </w:rPr>
        <w:t>1.24 [CI 1.11-1.38]</w:t>
      </w:r>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EF6167">
        <w:rPr>
          <w:rFonts w:ascii="Roboto" w:hAnsi="Roboto"/>
          <w:sz w:val="22"/>
          <w:szCs w:val="22"/>
          <w:lang w:val="en-US"/>
        </w:rPr>
        <w:t>,</w:t>
      </w:r>
      <w:r w:rsidR="004C619B" w:rsidRPr="00391E8B">
        <w:rPr>
          <w:rFonts w:ascii="Roboto" w:hAnsi="Roboto"/>
          <w:sz w:val="22"/>
          <w:szCs w:val="22"/>
          <w:lang w:val="en-US"/>
        </w:rPr>
        <w:t xml:space="preserve"> </w:t>
      </w:r>
      <w:r w:rsidR="00EF6167">
        <w:rPr>
          <w:rFonts w:ascii="Roboto" w:hAnsi="Roboto"/>
          <w:sz w:val="22"/>
          <w:szCs w:val="22"/>
          <w:lang w:val="en-US"/>
        </w:rPr>
        <w:t>advanced heart failure (</w:t>
      </w:r>
      <w:r w:rsidR="00EF6167" w:rsidRPr="00391E8B">
        <w:rPr>
          <w:rFonts w:ascii="Roboto" w:hAnsi="Roboto"/>
          <w:sz w:val="22"/>
          <w:szCs w:val="22"/>
          <w:lang w:val="en-US"/>
        </w:rPr>
        <w:t xml:space="preserve">RR </w:t>
      </w:r>
      <w:r w:rsidR="00AC2A89">
        <w:rPr>
          <w:rFonts w:ascii="Roboto" w:hAnsi="Roboto"/>
          <w:sz w:val="22"/>
          <w:szCs w:val="22"/>
          <w:lang w:val="en-US"/>
        </w:rPr>
        <w:t xml:space="preserve">for </w:t>
      </w:r>
      <w:r w:rsidR="00AC2A89" w:rsidRPr="00391E8B">
        <w:rPr>
          <w:rFonts w:ascii="Roboto" w:hAnsi="Roboto"/>
          <w:sz w:val="22"/>
          <w:szCs w:val="22"/>
          <w:lang w:val="en-US"/>
        </w:rPr>
        <w:t xml:space="preserve">left ventricular systolic dysfunction </w:t>
      </w:r>
      <w:r w:rsidR="00EF6167" w:rsidRPr="00391E8B">
        <w:rPr>
          <w:rFonts w:ascii="Roboto" w:hAnsi="Roboto"/>
          <w:sz w:val="22"/>
          <w:szCs w:val="22"/>
          <w:lang w:val="en-US"/>
        </w:rPr>
        <w:t>1.68 [CI 1.42-1.98]</w:t>
      </w:r>
      <w:r w:rsidR="00EF6167">
        <w:rPr>
          <w:rFonts w:ascii="Roboto" w:hAnsi="Roboto"/>
          <w:sz w:val="22"/>
          <w:szCs w:val="22"/>
          <w:lang w:val="en-US"/>
        </w:rPr>
        <w:t xml:space="preserve"> and </w:t>
      </w:r>
      <w:r w:rsidR="00AC2A89">
        <w:rPr>
          <w:rFonts w:ascii="Roboto" w:hAnsi="Roboto"/>
          <w:sz w:val="22"/>
          <w:szCs w:val="22"/>
          <w:lang w:val="en-US"/>
        </w:rPr>
        <w:t xml:space="preserve">RR </w:t>
      </w:r>
      <w:r w:rsidR="00AC2A89">
        <w:rPr>
          <w:rFonts w:ascii="Roboto" w:hAnsi="Roboto"/>
          <w:sz w:val="22"/>
          <w:szCs w:val="22"/>
          <w:lang w:val="en-US"/>
        </w:rPr>
        <w:t>for cardiac transplantation</w:t>
      </w:r>
      <w:r w:rsidR="00AC2A89">
        <w:rPr>
          <w:rFonts w:ascii="Roboto" w:hAnsi="Roboto"/>
          <w:sz w:val="22"/>
          <w:szCs w:val="22"/>
          <w:lang w:val="en-US"/>
        </w:rPr>
        <w:t xml:space="preserve"> 3.11 [CI 2.07-4.67]</w:t>
      </w:r>
      <w:r w:rsidR="004C619B" w:rsidRPr="00391E8B">
        <w:rPr>
          <w:rFonts w:ascii="Roboto" w:hAnsi="Roboto"/>
          <w:sz w:val="22"/>
          <w:szCs w:val="22"/>
          <w:lang w:val="en-US"/>
        </w:rPr>
        <w:t>)</w:t>
      </w:r>
      <w:r w:rsidR="00EF6167">
        <w:rPr>
          <w:rFonts w:ascii="Roboto" w:hAnsi="Roboto"/>
          <w:sz w:val="22"/>
          <w:szCs w:val="22"/>
          <w:lang w:val="en-US"/>
        </w:rPr>
        <w:t xml:space="preserve"> and HCM-related mortality (RR</w:t>
      </w:r>
      <w:r w:rsidR="00AC2A89">
        <w:rPr>
          <w:rFonts w:ascii="Roboto" w:hAnsi="Roboto"/>
          <w:sz w:val="22"/>
          <w:szCs w:val="22"/>
          <w:lang w:val="en-US"/>
        </w:rPr>
        <w:t xml:space="preserve"> 2.67</w:t>
      </w:r>
      <w:r w:rsidR="00EF6167">
        <w:rPr>
          <w:rFonts w:ascii="Roboto" w:hAnsi="Roboto"/>
          <w:sz w:val="22"/>
          <w:szCs w:val="22"/>
          <w:lang w:val="en-US"/>
        </w:rPr>
        <w:t xml:space="preserve"> [CI </w:t>
      </w:r>
      <w:r w:rsidR="00AC2A89">
        <w:rPr>
          <w:rFonts w:ascii="Roboto" w:hAnsi="Roboto"/>
          <w:sz w:val="22"/>
          <w:szCs w:val="22"/>
          <w:lang w:val="en-US"/>
        </w:rPr>
        <w:t>1.95</w:t>
      </w:r>
      <w:r w:rsidR="00EF6167">
        <w:rPr>
          <w:rFonts w:ascii="Roboto" w:hAnsi="Roboto"/>
          <w:sz w:val="22"/>
          <w:szCs w:val="22"/>
          <w:lang w:val="en-US"/>
        </w:rPr>
        <w:t>-</w:t>
      </w:r>
      <w:r w:rsidR="00AC2A89">
        <w:rPr>
          <w:rFonts w:ascii="Roboto" w:hAnsi="Roboto"/>
          <w:sz w:val="22"/>
          <w:szCs w:val="22"/>
          <w:lang w:val="en-US"/>
        </w:rPr>
        <w:t>3.67</w:t>
      </w:r>
      <w:r w:rsidR="00EF6167">
        <w:rPr>
          <w:rFonts w:ascii="Roboto" w:hAnsi="Roboto"/>
          <w:sz w:val="22"/>
          <w:szCs w:val="22"/>
          <w:lang w:val="en-US"/>
        </w:rPr>
        <w:t>])</w:t>
      </w:r>
      <w:r w:rsidR="004C619B" w:rsidRPr="00391E8B">
        <w:rPr>
          <w:rFonts w:ascii="Roboto" w:hAnsi="Roboto"/>
          <w:sz w:val="22"/>
          <w:szCs w:val="22"/>
          <w:lang w:val="en-US"/>
        </w:rPr>
        <w:t xml:space="preserve">. </w:t>
      </w:r>
    </w:p>
    <w:p w14:paraId="715FB1E4" w14:textId="401A65C2" w:rsidR="00C81C49" w:rsidRPr="00040F1C" w:rsidRDefault="00036BA5" w:rsidP="00BF182A">
      <w:pPr>
        <w:spacing w:line="480" w:lineRule="auto"/>
        <w:rPr>
          <w:rFonts w:ascii="Roboto" w:hAnsi="Roboto"/>
          <w:sz w:val="22"/>
          <w:szCs w:val="22"/>
          <w:lang w:val="en-US"/>
        </w:rPr>
      </w:pPr>
      <w:r>
        <w:rPr>
          <w:rFonts w:ascii="Roboto" w:hAnsi="Roboto"/>
          <w:sz w:val="22"/>
          <w:szCs w:val="22"/>
          <w:lang w:val="en-US"/>
        </w:rPr>
        <w:lastRenderedPageBreak/>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groups.</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3D4DCFDC"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ongitudinal follow</w:t>
      </w:r>
      <w:r w:rsidR="008B3D84">
        <w:rPr>
          <w:rFonts w:ascii="Roboto" w:hAnsi="Roboto"/>
          <w:b/>
          <w:bCs/>
          <w:sz w:val="22"/>
          <w:szCs w:val="22"/>
          <w:lang w:val="en-US"/>
        </w:rPr>
        <w:t>-</w:t>
      </w:r>
      <w:r w:rsidR="00C02CAE" w:rsidRPr="003A41F5">
        <w:rPr>
          <w:rFonts w:ascii="Roboto" w:hAnsi="Roboto"/>
          <w:b/>
          <w:bCs/>
          <w:sz w:val="22"/>
          <w:szCs w:val="22"/>
          <w:lang w:val="en-US"/>
        </w:rPr>
        <w:t xml:space="preserve">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4B81A014"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205ABD">
        <w:rPr>
          <w:rFonts w:ascii="Roboto" w:hAnsi="Roboto"/>
          <w:sz w:val="22"/>
          <w:szCs w:val="22"/>
          <w:lang w:val="en-US"/>
        </w:rPr>
        <w:t xml:space="preserve"> (</w:t>
      </w:r>
      <w:r w:rsidR="00205ABD">
        <w:rPr>
          <w:rFonts w:ascii="Roboto" w:hAnsi="Roboto"/>
          <w:b/>
          <w:bCs/>
          <w:sz w:val="22"/>
          <w:szCs w:val="22"/>
          <w:lang w:val="en-US"/>
        </w:rPr>
        <w:t>supplementary figure 2</w:t>
      </w:r>
      <w:r w:rsidR="00205ABD">
        <w:rPr>
          <w:rFonts w:ascii="Roboto" w:hAnsi="Roboto"/>
          <w:sz w:val="22"/>
          <w:szCs w:val="22"/>
          <w:lang w:val="en-US"/>
        </w:rPr>
        <w:t>)</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r w:rsidR="00205ABD">
        <w:rPr>
          <w:rFonts w:ascii="Roboto" w:hAnsi="Roboto"/>
          <w:sz w:val="22"/>
          <w:szCs w:val="22"/>
          <w:lang w:val="en-US"/>
        </w:rPr>
        <w:t xml:space="preserve"> (</w:t>
      </w:r>
      <w:r w:rsidR="00205ABD">
        <w:rPr>
          <w:rFonts w:ascii="Roboto" w:hAnsi="Roboto"/>
          <w:b/>
          <w:bCs/>
          <w:sz w:val="22"/>
          <w:szCs w:val="22"/>
          <w:lang w:val="en-US"/>
        </w:rPr>
        <w:t>supplementary figure 3</w:t>
      </w:r>
      <w:r w:rsidR="00205ABD" w:rsidRPr="00EF2CA0">
        <w:rPr>
          <w:rFonts w:ascii="Roboto" w:hAnsi="Roboto"/>
          <w:sz w:val="22"/>
          <w:szCs w:val="22"/>
          <w:lang w:val="en-US"/>
        </w:rPr>
        <w:t>)</w:t>
      </w:r>
      <w:r w:rsidR="00A175F9" w:rsidRPr="00040F1C">
        <w:rPr>
          <w:rFonts w:ascii="Roboto" w:hAnsi="Roboto"/>
          <w:sz w:val="22"/>
          <w:szCs w:val="22"/>
          <w:lang w:val="en-US"/>
        </w:rPr>
        <w:t>.</w:t>
      </w:r>
    </w:p>
    <w:p w14:paraId="690C64B2" w14:textId="226B0B7A"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lastRenderedPageBreak/>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but the distribution of incident events was wide</w:t>
      </w:r>
      <w:r w:rsidR="00413FB0">
        <w:rPr>
          <w:rFonts w:ascii="Roboto" w:hAnsi="Roboto"/>
          <w:sz w:val="22"/>
          <w:szCs w:val="22"/>
          <w:lang w:val="en-US"/>
        </w:rPr>
        <w:t>r</w:t>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5858D446" w14:textId="04A7D83B"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for all-cause mortality</w:t>
      </w:r>
      <w:r>
        <w:rPr>
          <w:rFonts w:ascii="Roboto" w:hAnsi="Roboto"/>
          <w:sz w:val="22"/>
          <w:szCs w:val="22"/>
          <w:lang w:val="en-US"/>
        </w:rPr>
        <w:t xml:space="preserve">, or a hazard ratio of 1.48 (CI: 1.25 to 1.75, p &lt;0.001)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b/>
          <w:bCs/>
          <w:sz w:val="22"/>
          <w:szCs w:val="22"/>
          <w:lang w:val="en-US"/>
        </w:rPr>
        <w:t xml:space="preserve">Table </w:t>
      </w:r>
      <w:r w:rsidR="0031226B">
        <w:rPr>
          <w:rFonts w:ascii="Roboto" w:hAnsi="Roboto"/>
          <w:b/>
          <w:bCs/>
          <w:sz w:val="22"/>
          <w:szCs w:val="22"/>
          <w:lang w:val="en-US"/>
        </w:rPr>
        <w:t>2</w:t>
      </w:r>
      <w:r w:rsidRPr="00DF613E">
        <w:rPr>
          <w:rFonts w:ascii="Roboto" w:hAnsi="Roboto"/>
          <w:sz w:val="22"/>
          <w:szCs w:val="22"/>
          <w:lang w:val="en-US"/>
        </w:rPr>
        <w:t xml:space="preserve"> summarizes causes of death.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w:t>
      </w:r>
      <w:r w:rsidR="00EF2CA0">
        <w:rPr>
          <w:rFonts w:ascii="Roboto" w:hAnsi="Roboto"/>
          <w:sz w:val="22"/>
          <w:szCs w:val="22"/>
          <w:lang w:val="en-US"/>
        </w:rPr>
        <w:t xml:space="preserve">patients with </w:t>
      </w:r>
      <w:proofErr w:type="spellStart"/>
      <w:r w:rsidR="00EF2CA0">
        <w:rPr>
          <w:rFonts w:ascii="Roboto" w:hAnsi="Roboto"/>
          <w:sz w:val="22"/>
          <w:szCs w:val="22"/>
          <w:lang w:val="en-US"/>
        </w:rPr>
        <w:t>sarcomeric</w:t>
      </w:r>
      <w:proofErr w:type="spellEnd"/>
      <w:r w:rsidR="00EF2CA0">
        <w:rPr>
          <w:rFonts w:ascii="Roboto" w:hAnsi="Roboto"/>
          <w:sz w:val="22"/>
          <w:szCs w:val="22"/>
          <w:lang w:val="en-US"/>
        </w:rPr>
        <w:t xml:space="preserve"> HCM had</w:t>
      </w:r>
      <w:r w:rsidRPr="00DF613E">
        <w:rPr>
          <w:rFonts w:ascii="Roboto" w:hAnsi="Roboto"/>
          <w:sz w:val="22"/>
          <w:szCs w:val="22"/>
          <w:lang w:val="en-US"/>
        </w:rPr>
        <w:t xml:space="preserve">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xml:space="preserve">, p&lt;0.001)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w:t>
      </w:r>
      <w:r w:rsidR="00AC2A89">
        <w:rPr>
          <w:rFonts w:ascii="Roboto" w:hAnsi="Roboto"/>
          <w:sz w:val="22"/>
          <w:szCs w:val="22"/>
          <w:lang w:val="en-US"/>
        </w:rPr>
        <w:t xml:space="preserve"> </w:t>
      </w:r>
      <w:r w:rsidRPr="00DF613E">
        <w:rPr>
          <w:rFonts w:ascii="Roboto" w:hAnsi="Roboto"/>
          <w:sz w:val="22"/>
          <w:szCs w:val="22"/>
          <w:lang w:val="en-US"/>
        </w:rPr>
        <w:t xml:space="preserve">death is shown in </w:t>
      </w:r>
      <w:r w:rsidRPr="00DF613E">
        <w:rPr>
          <w:rFonts w:ascii="Roboto" w:hAnsi="Roboto"/>
          <w:b/>
          <w:bCs/>
          <w:sz w:val="22"/>
          <w:szCs w:val="22"/>
          <w:lang w:val="en-US"/>
        </w:rPr>
        <w:t xml:space="preserve">Figure </w:t>
      </w:r>
      <w:r w:rsidR="00EF2CA0">
        <w:rPr>
          <w:rFonts w:ascii="Roboto" w:hAnsi="Roboto"/>
          <w:b/>
          <w:bCs/>
          <w:sz w:val="22"/>
          <w:szCs w:val="22"/>
          <w:lang w:val="en-US"/>
        </w:rPr>
        <w:t>3</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490BEC89"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 xml:space="preserve">performed Cox proportional hazards modelling, </w:t>
      </w:r>
      <w:r w:rsidR="004C6BCC" w:rsidRPr="00907D0E">
        <w:rPr>
          <w:rFonts w:ascii="Roboto" w:hAnsi="Roboto"/>
          <w:sz w:val="22"/>
          <w:szCs w:val="22"/>
          <w:lang w:val="en-US"/>
        </w:rPr>
        <w:lastRenderedPageBreak/>
        <w:t>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63053C0B"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r w:rsidR="00070043">
        <w:rPr>
          <w:rFonts w:ascii="Roboto" w:hAnsi="Roboto"/>
          <w:sz w:val="22"/>
          <w:szCs w:val="22"/>
          <w:lang w:val="en-US"/>
        </w:rPr>
        <w:t xml:space="preserve"> </w:t>
      </w:r>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r w:rsidR="00EF6167">
        <w:rPr>
          <w:rFonts w:ascii="Roboto" w:hAnsi="Roboto"/>
          <w:b/>
          <w:bCs/>
          <w:sz w:val="22"/>
          <w:szCs w:val="22"/>
          <w:lang w:val="en-US"/>
        </w:rPr>
        <w:t>4</w:t>
      </w:r>
      <w:r w:rsidRPr="0054323F">
        <w:rPr>
          <w:rFonts w:ascii="Roboto" w:hAnsi="Roboto"/>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increased the</w:t>
      </w:r>
      <w:r w:rsidR="0054323F">
        <w:rPr>
          <w:rFonts w:ascii="Roboto" w:hAnsi="Roboto"/>
          <w:sz w:val="22"/>
          <w:szCs w:val="22"/>
          <w:lang w:val="en-US"/>
        </w:rPr>
        <w:t xml:space="preserve"> subsequent</w:t>
      </w:r>
      <w:r w:rsidR="00136696">
        <w:rPr>
          <w:rFonts w:ascii="Roboto" w:hAnsi="Roboto"/>
          <w:sz w:val="22"/>
          <w:szCs w:val="22"/>
          <w:lang w:val="en-US"/>
        </w:rPr>
        <w:t xml:space="preserv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w:t>
      </w:r>
      <w:r w:rsidR="0054323F">
        <w:rPr>
          <w:rFonts w:ascii="Roboto" w:hAnsi="Roboto"/>
          <w:sz w:val="22"/>
          <w:szCs w:val="22"/>
          <w:lang w:val="en-US"/>
        </w:rPr>
        <w:t>was associated</w:t>
      </w:r>
      <w:r w:rsidR="00A008C6" w:rsidRPr="00431AEB">
        <w:rPr>
          <w:rFonts w:ascii="Roboto" w:hAnsi="Roboto"/>
          <w:sz w:val="22"/>
          <w:szCs w:val="22"/>
          <w:lang w:val="en-US"/>
        </w:rPr>
        <w:t xml:space="preserve">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was associated with the most 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1C683F20"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8B3D84">
        <w:rPr>
          <w:rFonts w:ascii="Roboto" w:hAnsi="Roboto"/>
          <w:sz w:val="22"/>
          <w:szCs w:val="22"/>
          <w:lang w:val="en-US"/>
        </w:rPr>
        <w:t>.</w:t>
      </w:r>
      <w:r w:rsidR="00BC0D22" w:rsidRPr="00040F1C">
        <w:rPr>
          <w:rFonts w:ascii="Roboto" w:hAnsi="Roboto"/>
          <w:sz w:val="22"/>
          <w:szCs w:val="22"/>
          <w:lang w:val="en-US"/>
        </w:rPr>
        <w:t xml:space="preserve"> </w:t>
      </w:r>
      <w:r w:rsidR="00BC0D22" w:rsidRPr="00040F1C">
        <w:rPr>
          <w:rFonts w:ascii="Roboto" w:hAnsi="Roboto"/>
          <w:b/>
          <w:bCs/>
          <w:sz w:val="22"/>
          <w:szCs w:val="22"/>
          <w:lang w:val="en-US"/>
        </w:rPr>
        <w:t xml:space="preserve">Figure </w:t>
      </w:r>
      <w:r w:rsidR="00EF6167">
        <w:rPr>
          <w:rFonts w:ascii="Roboto" w:hAnsi="Roboto"/>
          <w:b/>
          <w:bCs/>
          <w:sz w:val="22"/>
          <w:szCs w:val="22"/>
          <w:lang w:val="en-US"/>
        </w:rPr>
        <w:t>5</w:t>
      </w:r>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-outcome 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r w:rsidR="003C3095">
        <w:rPr>
          <w:rFonts w:ascii="Roboto" w:hAnsi="Roboto"/>
          <w:sz w:val="22"/>
          <w:szCs w:val="22"/>
          <w:lang w:val="en-US"/>
        </w:rPr>
        <w:t xml:space="preserve">The impact of hypertension and obesity </w:t>
      </w:r>
      <w:r w:rsidR="00934456">
        <w:rPr>
          <w:rFonts w:ascii="Roboto" w:hAnsi="Roboto"/>
          <w:sz w:val="22"/>
          <w:szCs w:val="22"/>
          <w:lang w:val="en-US"/>
        </w:rPr>
        <w:lastRenderedPageBreak/>
        <w:t>for subsequent development of LV obstruction was</w:t>
      </w:r>
      <w:r w:rsidR="003C3095">
        <w:rPr>
          <w:rFonts w:ascii="Roboto" w:hAnsi="Roboto"/>
          <w:sz w:val="22"/>
          <w:szCs w:val="22"/>
          <w:lang w:val="en-US"/>
        </w:rPr>
        <w:t xml:space="preserve"> greater in 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r w:rsidR="003C3095">
        <w:rPr>
          <w:rFonts w:ascii="Roboto" w:hAnsi="Roboto"/>
          <w:sz w:val="22"/>
          <w:szCs w:val="22"/>
          <w:lang w:val="en-US"/>
        </w:rPr>
        <w:t>. The impact of obstruction, atrial fibrillation</w:t>
      </w:r>
      <w:r w:rsidR="0054323F">
        <w:rPr>
          <w:rFonts w:ascii="Roboto" w:hAnsi="Roboto"/>
          <w:sz w:val="22"/>
          <w:szCs w:val="22"/>
          <w:lang w:val="en-US"/>
        </w:rPr>
        <w:t>,</w:t>
      </w:r>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54323F" w:rsidRPr="00431AEB">
        <w:rPr>
          <w:rFonts w:ascii="Roboto" w:hAnsi="Roboto"/>
          <w:sz w:val="22"/>
          <w:szCs w:val="22"/>
          <w:lang w:val="en-US"/>
        </w:rPr>
        <w:t xml:space="preserve">LV systolic dysfunction conferred higher risk in </w:t>
      </w:r>
      <w:proofErr w:type="spellStart"/>
      <w:r w:rsidR="0054323F" w:rsidRPr="00431AEB">
        <w:rPr>
          <w:rFonts w:ascii="Roboto" w:hAnsi="Roboto"/>
          <w:sz w:val="22"/>
          <w:szCs w:val="22"/>
          <w:lang w:val="en-US"/>
        </w:rPr>
        <w:t>sarcomeric</w:t>
      </w:r>
      <w:proofErr w:type="spellEnd"/>
      <w:r w:rsidR="0054323F" w:rsidRPr="00431AEB">
        <w:rPr>
          <w:rFonts w:ascii="Roboto" w:hAnsi="Roboto"/>
          <w:sz w:val="22"/>
          <w:szCs w:val="22"/>
          <w:lang w:val="en-US"/>
        </w:rPr>
        <w:t xml:space="preserve"> HCM regarding developing NYHA class III-IV symptoms (effect ratio </w:t>
      </w:r>
      <w:r w:rsidR="0054323F">
        <w:rPr>
          <w:rFonts w:ascii="Roboto" w:hAnsi="Roboto"/>
          <w:sz w:val="22"/>
          <w:szCs w:val="22"/>
          <w:lang w:val="en-US"/>
        </w:rPr>
        <w:t>2</w:t>
      </w:r>
      <w:r w:rsidR="0054323F" w:rsidRPr="00431AEB">
        <w:rPr>
          <w:rFonts w:ascii="Roboto" w:hAnsi="Roboto"/>
          <w:sz w:val="22"/>
          <w:szCs w:val="22"/>
          <w:lang w:val="en-US"/>
        </w:rPr>
        <w:t>.</w:t>
      </w:r>
      <w:r w:rsidR="0054323F">
        <w:rPr>
          <w:rFonts w:ascii="Roboto" w:hAnsi="Roboto"/>
          <w:sz w:val="22"/>
          <w:szCs w:val="22"/>
          <w:lang w:val="en-US"/>
        </w:rPr>
        <w:t>6</w:t>
      </w:r>
      <w:r w:rsidR="0054323F" w:rsidRPr="00431AEB">
        <w:rPr>
          <w:rFonts w:ascii="Roboto" w:hAnsi="Roboto"/>
          <w:sz w:val="22"/>
          <w:szCs w:val="22"/>
          <w:lang w:val="en-US"/>
        </w:rPr>
        <w:t>5 [CI 1.</w:t>
      </w:r>
      <w:r w:rsidR="0054323F">
        <w:rPr>
          <w:rFonts w:ascii="Roboto" w:hAnsi="Roboto"/>
          <w:sz w:val="22"/>
          <w:szCs w:val="22"/>
          <w:lang w:val="en-US"/>
        </w:rPr>
        <w:t>50</w:t>
      </w:r>
      <w:r w:rsidR="0054323F" w:rsidRPr="00431AEB">
        <w:rPr>
          <w:rFonts w:ascii="Roboto" w:hAnsi="Roboto"/>
          <w:sz w:val="22"/>
          <w:szCs w:val="22"/>
          <w:lang w:val="en-US"/>
        </w:rPr>
        <w:t>-</w:t>
      </w:r>
      <w:r w:rsidR="0054323F">
        <w:rPr>
          <w:rFonts w:ascii="Roboto" w:hAnsi="Roboto"/>
          <w:sz w:val="22"/>
          <w:szCs w:val="22"/>
          <w:lang w:val="en-US"/>
        </w:rPr>
        <w:t>4</w:t>
      </w:r>
      <w:r w:rsidR="0054323F" w:rsidRPr="00431AEB">
        <w:rPr>
          <w:rFonts w:ascii="Roboto" w:hAnsi="Roboto"/>
          <w:sz w:val="22"/>
          <w:szCs w:val="22"/>
          <w:lang w:val="en-US"/>
        </w:rPr>
        <w:t>.7</w:t>
      </w:r>
      <w:r w:rsidR="0054323F">
        <w:rPr>
          <w:rFonts w:ascii="Roboto" w:hAnsi="Roboto"/>
          <w:sz w:val="22"/>
          <w:szCs w:val="22"/>
          <w:lang w:val="en-US"/>
        </w:rPr>
        <w:t>1</w:t>
      </w:r>
      <w:r w:rsidR="0054323F" w:rsidRPr="00431AEB">
        <w:rPr>
          <w:rFonts w:ascii="Roboto" w:hAnsi="Roboto"/>
          <w:sz w:val="22"/>
          <w:szCs w:val="22"/>
          <w:lang w:val="en-US"/>
        </w:rPr>
        <w:t>]) and death (effect ratio 1.</w:t>
      </w:r>
      <w:r w:rsidR="0054323F">
        <w:rPr>
          <w:rFonts w:ascii="Roboto" w:hAnsi="Roboto"/>
          <w:sz w:val="22"/>
          <w:szCs w:val="22"/>
          <w:lang w:val="en-US"/>
        </w:rPr>
        <w:t>9</w:t>
      </w:r>
      <w:r w:rsidR="0054323F" w:rsidRPr="00431AEB">
        <w:rPr>
          <w:rFonts w:ascii="Roboto" w:hAnsi="Roboto"/>
          <w:sz w:val="22"/>
          <w:szCs w:val="22"/>
          <w:lang w:val="en-US"/>
        </w:rPr>
        <w:t>5 [CI 1.</w:t>
      </w:r>
      <w:r w:rsidR="0054323F">
        <w:rPr>
          <w:rFonts w:ascii="Roboto" w:hAnsi="Roboto"/>
          <w:sz w:val="22"/>
          <w:szCs w:val="22"/>
          <w:lang w:val="en-US"/>
        </w:rPr>
        <w:t>3</w:t>
      </w:r>
      <w:r w:rsidR="0054323F" w:rsidRPr="00431AEB">
        <w:rPr>
          <w:rFonts w:ascii="Roboto" w:hAnsi="Roboto"/>
          <w:sz w:val="22"/>
          <w:szCs w:val="22"/>
          <w:lang w:val="en-US"/>
        </w:rPr>
        <w:t>2-2.</w:t>
      </w:r>
      <w:r w:rsidR="0054323F">
        <w:rPr>
          <w:rFonts w:ascii="Roboto" w:hAnsi="Roboto"/>
          <w:sz w:val="22"/>
          <w:szCs w:val="22"/>
          <w:lang w:val="en-US"/>
        </w:rPr>
        <w:t>22</w:t>
      </w:r>
      <w:r w:rsidR="0054323F" w:rsidRPr="00431AEB">
        <w:rPr>
          <w:rFonts w:ascii="Roboto" w:hAnsi="Roboto"/>
          <w:sz w:val="22"/>
          <w:szCs w:val="22"/>
          <w:lang w:val="en-US"/>
        </w:rPr>
        <w:t>]).</w:t>
      </w:r>
      <w:r w:rsidR="0054323F">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r w:rsidR="004C5855" w:rsidRPr="00431AEB">
        <w:rPr>
          <w:rFonts w:ascii="Roboto" w:hAnsi="Roboto"/>
          <w:sz w:val="22"/>
          <w:szCs w:val="22"/>
          <w:lang w:val="en-US"/>
        </w:rPr>
        <w:t>increas</w:t>
      </w:r>
      <w:r w:rsidR="00934456">
        <w:rPr>
          <w:rFonts w:ascii="Roboto" w:hAnsi="Roboto"/>
          <w:sz w:val="22"/>
          <w:szCs w:val="22"/>
          <w:lang w:val="en-US"/>
        </w:rPr>
        <w:t>ed</w:t>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153D0B02" w14:textId="38043DEC" w:rsidR="00580470" w:rsidRPr="00DF613E" w:rsidRDefault="00B83119" w:rsidP="00AE4D82">
      <w:pPr>
        <w:spacing w:line="480" w:lineRule="auto"/>
        <w:rPr>
          <w:rFonts w:ascii="Roboto" w:hAnsi="Roboto"/>
          <w:sz w:val="22"/>
          <w:szCs w:val="22"/>
          <w:lang w:val="en-US"/>
        </w:rPr>
      </w:pPr>
      <w:r w:rsidRPr="00431AEB">
        <w:rPr>
          <w:rFonts w:ascii="Roboto" w:hAnsi="Roboto"/>
          <w:sz w:val="22"/>
          <w:szCs w:val="22"/>
          <w:lang w:val="en-US"/>
        </w:rPr>
        <w:t xml:space="preserve"> </w:t>
      </w:r>
    </w:p>
    <w:p w14:paraId="6A9A6F2A" w14:textId="77777777" w:rsidR="0031226B" w:rsidRDefault="0031226B">
      <w:pPr>
        <w:rPr>
          <w:rFonts w:ascii="Roboto" w:hAnsi="Roboto"/>
          <w:b/>
          <w:bCs/>
          <w:sz w:val="22"/>
          <w:szCs w:val="22"/>
          <w:lang w:val="en-US"/>
        </w:rPr>
      </w:pPr>
      <w:r>
        <w:rPr>
          <w:rFonts w:ascii="Roboto" w:hAnsi="Roboto"/>
          <w:b/>
          <w:bCs/>
          <w:sz w:val="22"/>
          <w:szCs w:val="22"/>
          <w:lang w:val="en-US"/>
        </w:rPr>
        <w:br w:type="page"/>
      </w:r>
    </w:p>
    <w:p w14:paraId="61DC0006" w14:textId="7342F41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5B48C02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8B3D84">
        <w:rPr>
          <w:rFonts w:ascii="Roboto" w:hAnsi="Roboto"/>
          <w:sz w:val="22"/>
          <w:szCs w:val="22"/>
          <w:lang w:val="en-US"/>
        </w:rPr>
        <w:t xml:space="preserve">the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r w:rsidR="00A2067F">
        <w:rPr>
          <w:rFonts w:ascii="Roboto" w:hAnsi="Roboto"/>
          <w:sz w:val="22"/>
          <w:szCs w:val="22"/>
          <w:lang w:val="en-US"/>
        </w:rPr>
        <w:t xml:space="preserve">two major subtypes of HCM: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A2547C">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w:t>
      </w:r>
      <w:r w:rsidR="00335B40">
        <w:rPr>
          <w:rFonts w:ascii="Roboto" w:hAnsi="Roboto"/>
          <w:sz w:val="22"/>
          <w:szCs w:val="22"/>
          <w:lang w:val="en-US"/>
        </w:rPr>
        <w:t xml:space="preserve"> </w:t>
      </w:r>
      <w:r w:rsidRPr="00DF613E">
        <w:rPr>
          <w:rFonts w:ascii="Roboto" w:hAnsi="Roboto"/>
          <w:sz w:val="22"/>
          <w:szCs w:val="22"/>
          <w:lang w:val="en-US"/>
        </w:rPr>
        <w:t xml:space="preserve">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335B40">
        <w:rPr>
          <w:rFonts w:ascii="Roboto" w:hAnsi="Roboto"/>
          <w:sz w:val="22"/>
          <w:szCs w:val="22"/>
          <w:lang w:val="en-US"/>
        </w:rPr>
        <w:t xml:space="preserve"> at </w:t>
      </w:r>
      <w:r w:rsidR="0054323F">
        <w:rPr>
          <w:rFonts w:ascii="Roboto" w:hAnsi="Roboto"/>
          <w:sz w:val="22"/>
          <w:szCs w:val="22"/>
          <w:lang w:val="en-US"/>
        </w:rPr>
        <w:t>diagnosis</w:t>
      </w:r>
      <w:r w:rsidR="00335B40">
        <w:rPr>
          <w:rFonts w:ascii="Roboto" w:hAnsi="Roboto"/>
          <w:sz w:val="22"/>
          <w:szCs w:val="22"/>
          <w:lang w:val="en-US"/>
        </w:rPr>
        <w:t>,</w:t>
      </w:r>
      <w:r w:rsidR="00D35FAB">
        <w:rPr>
          <w:rFonts w:ascii="Roboto" w:hAnsi="Roboto"/>
          <w:sz w:val="22"/>
          <w:szCs w:val="22"/>
          <w:lang w:val="en-US"/>
        </w:rPr>
        <w:t xml:space="preserve">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335B40">
        <w:rPr>
          <w:rFonts w:ascii="Roboto" w:hAnsi="Roboto"/>
          <w:sz w:val="22"/>
          <w:szCs w:val="22"/>
          <w:lang w:val="en-US"/>
        </w:rPr>
        <w:t>, and an</w:t>
      </w:r>
      <w:r w:rsidR="00EC0FCE" w:rsidRPr="00DF613E">
        <w:rPr>
          <w:rFonts w:ascii="Roboto" w:hAnsi="Roboto"/>
          <w:sz w:val="22"/>
          <w:szCs w:val="22"/>
          <w:lang w:val="en-US"/>
        </w:rPr>
        <w:t xml:space="preserve"> </w:t>
      </w:r>
      <w:r w:rsidR="00AE4D82" w:rsidRPr="00DF613E">
        <w:rPr>
          <w:rFonts w:ascii="Roboto" w:hAnsi="Roboto"/>
          <w:sz w:val="22"/>
          <w:szCs w:val="22"/>
          <w:lang w:val="en-US"/>
        </w:rPr>
        <w:t>HCM-related mortality</w:t>
      </w:r>
      <w:r w:rsidR="00EC0FCE" w:rsidRPr="00DF613E">
        <w:rPr>
          <w:rFonts w:ascii="Roboto" w:hAnsi="Roboto"/>
          <w:sz w:val="22"/>
          <w:szCs w:val="22"/>
          <w:lang w:val="en-US"/>
        </w:rPr>
        <w:t>-rate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00A2067F">
        <w:rPr>
          <w:rFonts w:ascii="Roboto" w:hAnsi="Roboto"/>
          <w:sz w:val="22"/>
          <w:szCs w:val="22"/>
          <w:lang w:val="en-US"/>
        </w:rPr>
        <w:t>. Furthermore, b</w:t>
      </w:r>
      <w:r w:rsidR="008D66E8">
        <w:rPr>
          <w:rFonts w:ascii="Roboto" w:hAnsi="Roboto"/>
          <w:sz w:val="22"/>
          <w:szCs w:val="22"/>
          <w:lang w:val="en-US"/>
        </w:rPr>
        <w:t>oth atrial fibrillation</w:t>
      </w:r>
      <w:r w:rsidR="00EB5A65">
        <w:rPr>
          <w:rFonts w:ascii="Roboto" w:hAnsi="Roboto"/>
          <w:sz w:val="22"/>
          <w:szCs w:val="22"/>
          <w:lang w:val="en-US"/>
        </w:rPr>
        <w:t xml:space="preserve"> and LV systolic dysfunction were significantly more impactful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26E2A9A8" w:rsidR="008F135E" w:rsidRPr="00DF613E" w:rsidRDefault="00EC3708" w:rsidP="00790484">
      <w:pPr>
        <w:spacing w:line="480" w:lineRule="auto"/>
        <w:rPr>
          <w:rFonts w:ascii="Roboto" w:hAnsi="Roboto"/>
          <w:sz w:val="22"/>
          <w:szCs w:val="22"/>
          <w:lang w:val="en-US"/>
        </w:rPr>
      </w:pPr>
      <w:r>
        <w:rPr>
          <w:rFonts w:ascii="Roboto" w:hAnsi="Roboto"/>
          <w:sz w:val="22"/>
          <w:szCs w:val="22"/>
          <w:lang w:val="en-US"/>
        </w:rPr>
        <w:t>As reported previously</w:t>
      </w:r>
      <w:r w:rsidR="00875D58" w:rsidRPr="00CC498B">
        <w:rPr>
          <w:rFonts w:ascii="Roboto" w:hAnsi="Roboto"/>
          <w:sz w:val="22"/>
          <w:szCs w:val="22"/>
          <w:lang w:val="en-US"/>
        </w:rPr>
        <w:t xml:space="preserve">, we </w:t>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been </w:t>
      </w:r>
      <w:r w:rsidR="00AC2A89">
        <w:rPr>
          <w:rFonts w:ascii="Roboto" w:hAnsi="Roboto"/>
          <w:sz w:val="22"/>
          <w:szCs w:val="22"/>
          <w:lang w:val="en-US"/>
        </w:rPr>
        <w:t>linked</w:t>
      </w:r>
      <w:r w:rsidR="0084063E" w:rsidRPr="00DF613E">
        <w:rPr>
          <w:rFonts w:ascii="Roboto" w:hAnsi="Roboto"/>
          <w:sz w:val="22"/>
          <w:szCs w:val="22"/>
          <w:lang w:val="en-US"/>
        </w:rPr>
        <w:t xml:space="preserve">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AC2A89">
        <w:rPr>
          <w:rFonts w:ascii="Roboto" w:hAnsi="Roboto"/>
          <w:sz w:val="22"/>
          <w:szCs w:val="22"/>
          <w:lang w:val="en-US"/>
        </w:rPr>
        <w:t>associated</w:t>
      </w:r>
      <w:r w:rsidR="00FA685D" w:rsidRPr="00DF613E">
        <w:rPr>
          <w:rFonts w:ascii="Roboto" w:hAnsi="Roboto"/>
          <w:sz w:val="22"/>
          <w:szCs w:val="22"/>
          <w:lang w:val="en-US"/>
        </w:rPr>
        <w:t xml:space="preserve"> </w:t>
      </w:r>
      <w:r w:rsidR="00AC2A89">
        <w:rPr>
          <w:rFonts w:ascii="Roboto" w:hAnsi="Roboto"/>
          <w:sz w:val="22"/>
          <w:szCs w:val="22"/>
          <w:lang w:val="en-US"/>
        </w:rPr>
        <w:t>with</w:t>
      </w:r>
      <w:r w:rsidR="00FA685D" w:rsidRPr="00DF613E">
        <w:rPr>
          <w:rFonts w:ascii="Roboto" w:hAnsi="Roboto"/>
          <w:sz w:val="22"/>
          <w:szCs w:val="22"/>
          <w:lang w:val="en-US"/>
        </w:rPr>
        <w:t xml:space="preserve"> </w:t>
      </w:r>
      <w:r w:rsidR="006463CE" w:rsidRPr="00DF613E">
        <w:rPr>
          <w:rFonts w:ascii="Roboto" w:hAnsi="Roboto"/>
          <w:sz w:val="22"/>
          <w:szCs w:val="22"/>
          <w:lang w:val="en-US"/>
        </w:rPr>
        <w:t xml:space="preserve">these </w:t>
      </w:r>
      <w:r w:rsidR="00AC2A89">
        <w:rPr>
          <w:rFonts w:ascii="Roboto" w:hAnsi="Roboto"/>
          <w:sz w:val="22"/>
          <w:szCs w:val="22"/>
          <w:lang w:val="en-US"/>
        </w:rPr>
        <w:t xml:space="preserve">adverse </w:t>
      </w:r>
      <w:r w:rsidR="006463CE" w:rsidRPr="00DF613E">
        <w:rPr>
          <w:rFonts w:ascii="Roboto" w:hAnsi="Roboto"/>
          <w:sz w:val="22"/>
          <w:szCs w:val="22"/>
          <w:lang w:val="en-US"/>
        </w:rPr>
        <w:t>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AC2A89">
        <w:rPr>
          <w:rFonts w:ascii="Roboto" w:hAnsi="Roboto"/>
          <w:sz w:val="22"/>
          <w:szCs w:val="22"/>
          <w:lang w:val="en-US"/>
        </w:rPr>
        <w:t xml:space="preserve">, </w:t>
      </w:r>
      <w:r w:rsidR="005C0A8A">
        <w:rPr>
          <w:rFonts w:ascii="Roboto" w:hAnsi="Roboto"/>
          <w:sz w:val="22"/>
          <w:szCs w:val="22"/>
          <w:lang w:val="en-US"/>
        </w:rPr>
        <w:t>both in the overall</w:t>
      </w:r>
      <w:r w:rsidR="00AC2A89">
        <w:rPr>
          <w:rFonts w:ascii="Roboto" w:hAnsi="Roboto"/>
          <w:sz w:val="22"/>
          <w:szCs w:val="22"/>
          <w:lang w:val="en-US"/>
        </w:rPr>
        <w:t xml:space="preserve"> </w:t>
      </w:r>
      <w:r w:rsidR="005C0A8A">
        <w:rPr>
          <w:rFonts w:ascii="Roboto" w:hAnsi="Roboto"/>
          <w:sz w:val="22"/>
          <w:szCs w:val="22"/>
          <w:lang w:val="en-US"/>
        </w:rPr>
        <w:t>cohort and within th</w:t>
      </w:r>
      <w:r w:rsidR="00AC2A89">
        <w:rPr>
          <w:rFonts w:ascii="Roboto" w:hAnsi="Roboto"/>
          <w:sz w:val="22"/>
          <w:szCs w:val="22"/>
          <w:lang w:val="en-US"/>
        </w:rPr>
        <w:t xml:space="preserve">e </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or non-</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HCM </w:t>
      </w:r>
      <w:r w:rsidR="005C0A8A">
        <w:rPr>
          <w:rFonts w:ascii="Roboto" w:hAnsi="Roboto"/>
          <w:sz w:val="22"/>
          <w:szCs w:val="22"/>
          <w:lang w:val="en-US"/>
        </w:rPr>
        <w:t xml:space="preserve">subgroups </w:t>
      </w:r>
      <w:r w:rsidR="00AC2A89">
        <w:rPr>
          <w:rFonts w:ascii="Roboto" w:hAnsi="Roboto"/>
          <w:sz w:val="22"/>
          <w:szCs w:val="22"/>
          <w:lang w:val="en-US"/>
        </w:rPr>
        <w:t>individually</w:t>
      </w:r>
      <w:r w:rsidR="006463CE" w:rsidRPr="00DF613E">
        <w:rPr>
          <w:rFonts w:ascii="Roboto" w:hAnsi="Roboto"/>
          <w:sz w:val="22"/>
          <w:szCs w:val="22"/>
          <w:lang w:val="en-US"/>
        </w:rPr>
        <w:t xml:space="preserve">. </w:t>
      </w:r>
    </w:p>
    <w:p w14:paraId="49917606" w14:textId="54F69B2E"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r w:rsidR="001F2967">
        <w:rPr>
          <w:rFonts w:ascii="Roboto" w:hAnsi="Roboto"/>
          <w:sz w:val="22"/>
          <w:szCs w:val="22"/>
          <w:lang w:val="en-US"/>
        </w:rPr>
        <w:t>support</w:t>
      </w:r>
      <w:r w:rsidR="00646167">
        <w:rPr>
          <w:rFonts w:ascii="Roboto" w:hAnsi="Roboto"/>
          <w:sz w:val="22"/>
          <w:szCs w:val="22"/>
          <w:lang w:val="en-US"/>
        </w:rPr>
        <w:t>s</w:t>
      </w:r>
      <w:r w:rsidR="00581BBC">
        <w:rPr>
          <w:rFonts w:ascii="Roboto" w:hAnsi="Roboto"/>
          <w:sz w:val="22"/>
          <w:szCs w:val="22"/>
          <w:lang w:val="en-US"/>
        </w:rPr>
        <w:t xml:space="preserve"> </w:t>
      </w:r>
      <w:r w:rsidR="00646167">
        <w:rPr>
          <w:rFonts w:ascii="Roboto" w:hAnsi="Roboto"/>
          <w:sz w:val="22"/>
          <w:szCs w:val="22"/>
          <w:lang w:val="en-US"/>
        </w:rPr>
        <w:t>the</w:t>
      </w:r>
      <w:r w:rsidR="00581BBC">
        <w:rPr>
          <w:rFonts w:ascii="Roboto" w:hAnsi="Roboto"/>
          <w:sz w:val="22"/>
          <w:szCs w:val="22"/>
          <w:lang w:val="en-US"/>
        </w:rPr>
        <w:t xml:space="preserve"> hypothesis that hypertension and obesity may be in the causal pathway that lead</w:t>
      </w:r>
      <w:r w:rsidR="00A2067F">
        <w:rPr>
          <w:rFonts w:ascii="Roboto" w:hAnsi="Roboto"/>
          <w:sz w:val="22"/>
          <w:szCs w:val="22"/>
          <w:lang w:val="en-US"/>
        </w:rPr>
        <w:t>s</w:t>
      </w:r>
      <w:r w:rsidR="00581BBC">
        <w:rPr>
          <w:rFonts w:ascii="Roboto" w:hAnsi="Roboto"/>
          <w:sz w:val="22"/>
          <w:szCs w:val="22"/>
          <w:lang w:val="en-US"/>
        </w:rPr>
        <w:t xml:space="preserve"> to developing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The </w:t>
      </w:r>
      <w:r w:rsidR="00581BBC">
        <w:rPr>
          <w:rFonts w:ascii="Roboto" w:hAnsi="Roboto"/>
          <w:b/>
          <w:bCs/>
          <w:sz w:val="22"/>
          <w:szCs w:val="22"/>
          <w:lang w:val="en-US"/>
        </w:rPr>
        <w:t>Prevalence of and Impact of</w:t>
      </w:r>
      <w:r w:rsidR="00A5713E">
        <w:rPr>
          <w:rFonts w:ascii="Roboto" w:hAnsi="Roboto"/>
          <w:b/>
          <w:bCs/>
          <w:sz w:val="22"/>
          <w:szCs w:val="22"/>
          <w:lang w:val="en-US"/>
        </w:rPr>
        <w:t xml:space="preserve">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70F8FAE2"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A2067F">
        <w:rPr>
          <w:rFonts w:ascii="Roboto" w:hAnsi="Roboto"/>
          <w:sz w:val="22"/>
          <w:szCs w:val="22"/>
          <w:lang w:val="en-US"/>
        </w:rPr>
        <w:t>Moreover, t</w:t>
      </w:r>
      <w:r w:rsidR="00C42F04" w:rsidRPr="00DF613E">
        <w:rPr>
          <w:rFonts w:ascii="Roboto" w:hAnsi="Roboto"/>
          <w:sz w:val="22"/>
          <w:szCs w:val="22"/>
          <w:lang w:val="en-US"/>
        </w:rPr>
        <w: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00A2067F">
        <w:rPr>
          <w:rFonts w:ascii="Roboto" w:hAnsi="Roboto"/>
          <w:sz w:val="22"/>
          <w:szCs w:val="22"/>
          <w:lang w:val="en-US"/>
        </w:rPr>
        <w:t xml:space="preserve"> than non-</w:t>
      </w:r>
      <w:proofErr w:type="spellStart"/>
      <w:r w:rsidR="00A2067F">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7B382CD6"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A2067F">
        <w:rPr>
          <w:rFonts w:ascii="Roboto" w:hAnsi="Roboto"/>
          <w:sz w:val="22"/>
          <w:szCs w:val="22"/>
          <w:lang w:val="en-US"/>
        </w:rPr>
        <w:t>.</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prior studies </w:t>
      </w:r>
      <w:r w:rsidR="00A2067F">
        <w:rPr>
          <w:rFonts w:ascii="Roboto" w:hAnsi="Roboto"/>
          <w:sz w:val="22"/>
          <w:szCs w:val="22"/>
          <w:lang w:val="en-US"/>
        </w:rPr>
        <w:t xml:space="preserve">did not </w:t>
      </w:r>
      <w:r w:rsidR="005D332F">
        <w:rPr>
          <w:rFonts w:ascii="Roboto" w:hAnsi="Roboto"/>
          <w:sz w:val="22"/>
          <w:szCs w:val="22"/>
          <w:lang w:val="en-US"/>
        </w:rPr>
        <w:t xml:space="preserve">investigate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69F086FC" w:rsidR="00F6627E" w:rsidRPr="00DF613E" w:rsidRDefault="00A2067F" w:rsidP="00F6627E">
      <w:pPr>
        <w:spacing w:line="480" w:lineRule="auto"/>
        <w:rPr>
          <w:rFonts w:ascii="Roboto" w:hAnsi="Roboto"/>
          <w:sz w:val="22"/>
          <w:szCs w:val="22"/>
          <w:lang w:val="en-US"/>
        </w:rPr>
      </w:pPr>
      <w:r>
        <w:rPr>
          <w:rFonts w:ascii="Roboto" w:hAnsi="Roboto"/>
          <w:sz w:val="22"/>
          <w:szCs w:val="22"/>
          <w:lang w:val="en-US"/>
        </w:rPr>
        <w:t>F</w:t>
      </w:r>
      <w:r w:rsidR="006A4628" w:rsidRPr="00DF613E">
        <w:rPr>
          <w:rFonts w:ascii="Roboto" w:hAnsi="Roboto"/>
          <w:sz w:val="22"/>
          <w:szCs w:val="22"/>
          <w:lang w:val="en-US"/>
        </w:rPr>
        <w:t>indings from this study have implications for clinical practice and future research in HCM. Non-</w:t>
      </w:r>
      <w:proofErr w:type="spellStart"/>
      <w:r w:rsidR="006A4628" w:rsidRPr="00DF613E">
        <w:rPr>
          <w:rFonts w:ascii="Roboto" w:hAnsi="Roboto"/>
          <w:sz w:val="22"/>
          <w:szCs w:val="22"/>
          <w:lang w:val="en-US"/>
        </w:rPr>
        <w:t>sarcomeric</w:t>
      </w:r>
      <w:proofErr w:type="spellEnd"/>
      <w:r w:rsidR="006A4628"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006A4628" w:rsidRPr="00DF613E">
        <w:rPr>
          <w:rFonts w:ascii="Roboto" w:hAnsi="Roboto"/>
          <w:sz w:val="22"/>
          <w:szCs w:val="22"/>
          <w:lang w:val="en-US"/>
        </w:rPr>
        <w:t xml:space="preserve"> and LV obstruction</w:t>
      </w:r>
      <w:r w:rsidR="00CC498B">
        <w:rPr>
          <w:rFonts w:ascii="Roboto" w:hAnsi="Roboto"/>
          <w:sz w:val="22"/>
          <w:szCs w:val="22"/>
          <w:lang w:val="en-US"/>
        </w:rPr>
        <w:t xml:space="preserve"> but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006A4628"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006A4628"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006A4628"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w:t>
      </w:r>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4859130E"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w:t>
      </w:r>
      <w:r w:rsidR="00A2067F">
        <w:rPr>
          <w:rFonts w:ascii="Roboto" w:hAnsi="Roboto"/>
          <w:sz w:val="22"/>
          <w:szCs w:val="22"/>
          <w:lang w:val="en-US"/>
        </w:rPr>
        <w:t xml:space="preserve">greater </w:t>
      </w:r>
      <w:r>
        <w:rPr>
          <w:rFonts w:ascii="Roboto" w:hAnsi="Roboto"/>
          <w:sz w:val="22"/>
          <w:szCs w:val="22"/>
          <w:lang w:val="en-US"/>
        </w:rPr>
        <w:t>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 xml:space="preserve">were associated with </w:t>
      </w:r>
      <w:r w:rsidR="00A2067F">
        <w:rPr>
          <w:rFonts w:ascii="Roboto" w:hAnsi="Roboto"/>
          <w:sz w:val="22"/>
          <w:szCs w:val="22"/>
          <w:lang w:val="en-US"/>
        </w:rPr>
        <w:t>more</w:t>
      </w:r>
      <w:r>
        <w:rPr>
          <w:rFonts w:ascii="Roboto" w:hAnsi="Roboto"/>
          <w:sz w:val="22"/>
          <w:szCs w:val="22"/>
          <w:lang w:val="en-US"/>
        </w:rPr>
        <w:t xml:space="preserve">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3F45CE">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18999764"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2F224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Obstructive</w:t>
            </w:r>
            <w:proofErr w:type="spellEnd"/>
            <w:r w:rsidR="00A5713E">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physiology</w:t>
            </w:r>
            <w:proofErr w:type="spellEnd"/>
            <w:r w:rsidR="00241DE5">
              <w:rPr>
                <w:rFonts w:ascii="Roboto" w:eastAsia="Helvetica" w:hAnsi="Roboto"/>
                <w:bCs/>
                <w:color w:val="000000"/>
                <w:sz w:val="21"/>
                <w:szCs w:val="21"/>
              </w:rPr>
              <w:t xml:space="preserve"> </w:t>
            </w:r>
            <w:r w:rsidR="00241DE5" w:rsidRPr="00391E8B">
              <w:rPr>
                <w:rFonts w:ascii="Roboto" w:hAnsi="Roboto"/>
                <w:sz w:val="22"/>
                <w:szCs w:val="22"/>
                <w:lang w:val="en-US"/>
              </w:rPr>
              <w:t>gradient &gt;30 mmHg</w:t>
            </w:r>
            <w:r w:rsidR="00241DE5">
              <w:rPr>
                <w:rFonts w:ascii="Roboto" w:hAnsi="Roboto"/>
                <w:sz w:val="22"/>
                <w:szCs w:val="22"/>
                <w:lang w:val="en-US"/>
              </w:rPr>
              <w:t>)</w:t>
            </w:r>
            <w:r w:rsidR="00C52160">
              <w:rPr>
                <w:rFonts w:ascii="Roboto" w:eastAsia="Helvetica" w:hAnsi="Roboto"/>
                <w:bCs/>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7E8B0188"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467</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16%</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5CBDB297"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849</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29%</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A56582"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0E50D131"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00D55B18">
              <w:rPr>
                <w:rFonts w:ascii="Roboto" w:eastAsia="Helvetica" w:hAnsi="Roboto"/>
                <w:bCs/>
                <w:color w:val="000000"/>
                <w:sz w:val="21"/>
                <w:szCs w:val="21"/>
              </w:rPr>
              <w:t>Resuscitated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18980EA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ESC</w:t>
            </w:r>
            <w:r w:rsidR="00241DE5">
              <w:rPr>
                <w:rFonts w:ascii="Roboto" w:eastAsia="Helvetica" w:hAnsi="Roboto"/>
                <w:b/>
                <w:color w:val="000000"/>
                <w:sz w:val="21"/>
                <w:szCs w:val="21"/>
              </w:rPr>
              <w:t xml:space="preserve"> SCD</w:t>
            </w:r>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rFonts w:ascii="Roboto" w:eastAsia="Helvetica" w:hAnsi="Roboto"/>
                <w:color w:val="000000"/>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Pr>
                <w:rFonts w:ascii="Roboto" w:eastAsia="Helvetica" w:hAnsi="Roboto"/>
                <w:color w:val="000000"/>
                <w:sz w:val="21"/>
                <w:szCs w:val="21"/>
              </w:rPr>
              <w:t>242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C5853CA" w:rsidR="00A5713E" w:rsidRPr="00241DE5" w:rsidRDefault="00241DE5"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
            </w:pPr>
            <w:r>
              <w:rPr>
                <w:rFonts w:ascii="Roboto" w:eastAsia="Helvetica" w:hAnsi="Roboto"/>
                <w:color w:val="000000"/>
                <w:sz w:val="21"/>
                <w:szCs w:val="21"/>
                <w:lang w:val="en-US"/>
              </w:rPr>
              <w:t xml:space="preserve">5- year risk </w:t>
            </w:r>
            <w:r w:rsidR="00A5713E" w:rsidRPr="00241DE5">
              <w:rPr>
                <w:rFonts w:ascii="Roboto" w:eastAsia="Helvetica" w:hAnsi="Roboto"/>
                <w:color w:val="000000"/>
                <w:sz w:val="21"/>
                <w:szCs w:val="21"/>
                <w:lang w:val="en-US"/>
              </w:rPr>
              <w:t xml:space="preserve">score </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D310663"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2.3 (1.5 to 3.6)</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671FF981"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1.8 (1.3 to 2.7)</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sz w:val="21"/>
                <w:szCs w:val="21"/>
              </w:rPr>
              <w:t>&lt;0.001</w:t>
            </w:r>
          </w:p>
        </w:tc>
      </w:tr>
      <w:tr w:rsidR="00A5713E"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A5713E" w:rsidRPr="007A5844"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A5713E"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DB6D77" w:rsidRDefault="00A5713E" w:rsidP="00A5713E">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2467F023" w14:textId="12BBE9C1" w:rsidR="00F704D4" w:rsidRPr="007C4859" w:rsidRDefault="00F704D4">
      <w:pPr>
        <w:rPr>
          <w:rFonts w:ascii="Roboto" w:hAnsi="Roboto"/>
          <w:color w:val="000000"/>
          <w:lang w:val="en-US"/>
        </w:rPr>
      </w:pP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921"/>
        <w:gridCol w:w="1820"/>
        <w:gridCol w:w="2686"/>
        <w:gridCol w:w="1114"/>
      </w:tblGrid>
      <w:tr w:rsidR="006A6C59" w:rsidRPr="00A56582"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02704109"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t xml:space="preserve">Table </w:t>
            </w:r>
            <w:r w:rsidR="0031226B">
              <w:rPr>
                <w:rFonts w:ascii="Roboto" w:hAnsi="Roboto" w:cs="Segoe UI"/>
                <w:b/>
                <w:bCs/>
                <w:color w:val="333333"/>
                <w:lang w:val="en-US"/>
              </w:rPr>
              <w:t>2</w:t>
            </w:r>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F2967" w14:paraId="3DF44F61" w14:textId="77777777" w:rsidTr="00A56582">
        <w:trPr>
          <w:tblHeader/>
        </w:trPr>
        <w:tc>
          <w:tcPr>
            <w:tcW w:w="4111" w:type="dxa"/>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1593" w:type="dxa"/>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5EE4A11E"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Sarcomeric HCM</w:t>
            </w:r>
            <w:r w:rsidR="006A6C59" w:rsidRPr="007C4859">
              <w:rPr>
                <w:rFonts w:ascii="Roboto" w:hAnsi="Roboto" w:cs="Segoe UI"/>
                <w:caps/>
                <w:color w:val="A9A9A9"/>
                <w:sz w:val="22"/>
                <w:szCs w:val="22"/>
              </w:rPr>
              <w:t>, N = 2,999</w:t>
            </w:r>
          </w:p>
        </w:tc>
        <w:tc>
          <w:tcPr>
            <w:tcW w:w="2723" w:type="dxa"/>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6EA0886F"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 xml:space="preserve">Non-sarcomeric </w:t>
            </w:r>
            <w:proofErr w:type="gramStart"/>
            <w:r>
              <w:rPr>
                <w:rStyle w:val="Strk"/>
                <w:rFonts w:ascii="Roboto" w:hAnsi="Roboto" w:cs="Segoe UI"/>
                <w:caps/>
                <w:color w:val="A9A9A9"/>
                <w:sz w:val="22"/>
                <w:szCs w:val="22"/>
              </w:rPr>
              <w:t>HCM</w:t>
            </w:r>
            <w:r w:rsidR="006A6C59" w:rsidRPr="007C4859">
              <w:rPr>
                <w:rStyle w:val="Strk"/>
                <w:rFonts w:ascii="Roboto" w:hAnsi="Roboto" w:cs="Segoe UI"/>
                <w:caps/>
                <w:color w:val="A9A9A9"/>
                <w:sz w:val="22"/>
                <w:szCs w:val="22"/>
              </w:rPr>
              <w:t>(</w:t>
            </w:r>
            <w:proofErr w:type="gramEnd"/>
            <w:r w:rsidR="006A6C59" w:rsidRPr="007C4859">
              <w:rPr>
                <w:rStyle w:val="Strk"/>
                <w:rFonts w:ascii="Roboto" w:hAnsi="Roboto" w:cs="Segoe UI"/>
                <w:caps/>
                <w:color w:val="A9A9A9"/>
                <w:sz w:val="22"/>
                <w:szCs w:val="22"/>
              </w:rPr>
              <w:t>-)</w:t>
            </w:r>
            <w:r w:rsidR="006A6C59"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F2967" w14:paraId="1741B391"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F2967" w14:paraId="2D7B369D"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F2967" w14:paraId="0C61666B"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8E6986"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5E685B0"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7926CA0F"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901E46C"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0B551FF0"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076FC8"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2">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arrhythmia.</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3">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49990CCC" w14:textId="6AB0B8E4" w:rsidR="00EF6167" w:rsidRDefault="00EF6167" w:rsidP="00EF6167">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Pr>
          <w:rFonts w:ascii="Roboto" w:hAnsi="Roboto"/>
          <w:b/>
          <w:bCs/>
        </w:rPr>
        <w:t>3</w:t>
      </w:r>
    </w:p>
    <w:p w14:paraId="0F8CBC43" w14:textId="77777777" w:rsidR="00EF6167" w:rsidRDefault="00EF6167" w:rsidP="00EF6167">
      <w:pPr>
        <w:rPr>
          <w:rFonts w:ascii="Roboto" w:hAnsi="Roboto"/>
          <w:b/>
          <w:bCs/>
        </w:rPr>
      </w:pPr>
      <w:r>
        <w:rPr>
          <w:rFonts w:ascii="Roboto" w:hAnsi="Roboto"/>
          <w:noProof/>
          <w14:ligatures w14:val="standardContextual"/>
        </w:rPr>
        <w:drawing>
          <wp:inline distT="0" distB="0" distL="0" distR="0" wp14:anchorId="2C931386" wp14:editId="2160BF91">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4">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251F1B20" w14:textId="77777777" w:rsidR="00EF6167" w:rsidRDefault="00EF6167" w:rsidP="00EF6167">
      <w:pPr>
        <w:rPr>
          <w:rFonts w:ascii="Roboto" w:hAnsi="Roboto"/>
          <w:b/>
          <w:bCs/>
        </w:rPr>
      </w:pPr>
    </w:p>
    <w:p w14:paraId="35606AB9" w14:textId="77777777" w:rsidR="00EF6167" w:rsidRDefault="00EF6167" w:rsidP="00EF6167">
      <w:pPr>
        <w:rPr>
          <w:rFonts w:ascii="Roboto" w:hAnsi="Roboto"/>
          <w:b/>
          <w:bCs/>
        </w:rPr>
      </w:pPr>
    </w:p>
    <w:p w14:paraId="01187954" w14:textId="73864057" w:rsidR="00EF6167" w:rsidRPr="00EF6167" w:rsidRDefault="00EF6167">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(sudden cardiovascular death, heart failure related death, and death due to stroke) in patients with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versus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(blue) HCM.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Pr>
          <w:rFonts w:ascii="Roboto" w:hAnsi="Roboto"/>
          <w:sz w:val="22"/>
          <w:szCs w:val="22"/>
          <w:lang w:val="en-US"/>
        </w:rPr>
        <w:t>first</w:t>
      </w:r>
      <w:r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 (ASI) rates, including total person-years at risk in each age-group. The standardized incidence ratio (SIR) has been added for each age-group at the bottom of the plot. </w:t>
      </w:r>
      <w:r w:rsidRPr="00EF6167">
        <w:rPr>
          <w:rFonts w:ascii="Roboto" w:hAnsi="Roboto"/>
          <w:b/>
          <w:bCs/>
          <w:lang w:val="en-US"/>
        </w:rPr>
        <w:br w:type="page"/>
      </w:r>
    </w:p>
    <w:p w14:paraId="12550DC8" w14:textId="140F7DFF" w:rsidR="005F2993" w:rsidRDefault="005F2993" w:rsidP="001D711A">
      <w:pPr>
        <w:spacing w:line="480" w:lineRule="auto"/>
        <w:rPr>
          <w:rFonts w:ascii="Roboto" w:hAnsi="Roboto"/>
        </w:rPr>
      </w:pPr>
      <w:commentRangeStart w:id="3"/>
      <w:proofErr w:type="spellStart"/>
      <w:r>
        <w:rPr>
          <w:rFonts w:ascii="Roboto" w:hAnsi="Roboto"/>
          <w:b/>
          <w:bCs/>
        </w:rPr>
        <w:lastRenderedPageBreak/>
        <w:t>Figure</w:t>
      </w:r>
      <w:proofErr w:type="spellEnd"/>
      <w:r>
        <w:rPr>
          <w:rFonts w:ascii="Roboto" w:hAnsi="Roboto"/>
          <w:b/>
          <w:bCs/>
        </w:rPr>
        <w:t xml:space="preserve"> </w:t>
      </w:r>
      <w:r w:rsidR="00AC2A89">
        <w:rPr>
          <w:rFonts w:ascii="Roboto" w:hAnsi="Roboto"/>
          <w:b/>
          <w:bCs/>
        </w:rPr>
        <w:t>4</w:t>
      </w:r>
      <w:r>
        <w:rPr>
          <w:rFonts w:ascii="Roboto" w:hAnsi="Roboto"/>
          <w:b/>
          <w:bCs/>
        </w:rPr>
        <w:t>:</w:t>
      </w:r>
      <w:commentRangeEnd w:id="3"/>
      <w:r w:rsidR="00A2067F">
        <w:rPr>
          <w:rStyle w:val="Kommentarhenvisning"/>
          <w:lang w:val="en-US" w:eastAsia="en-US"/>
        </w:rPr>
        <w:commentReference w:id="3"/>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9">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38B49A74" w14:textId="77777777" w:rsidR="00AC2A89" w:rsidRPr="00AC2A89" w:rsidRDefault="00E27B32" w:rsidP="0067560E">
      <w:pPr>
        <w:spacing w:line="480" w:lineRule="auto"/>
        <w:rPr>
          <w:rFonts w:ascii="Roboto" w:hAnsi="Roboto"/>
          <w:b/>
          <w:bCs/>
          <w:lang w:val="en-US"/>
        </w:rPr>
      </w:pPr>
      <w:r w:rsidRPr="00AC2A89">
        <w:rPr>
          <w:rFonts w:ascii="Roboto" w:hAnsi="Roboto"/>
          <w:b/>
          <w:bCs/>
          <w:lang w:val="en-US"/>
        </w:rPr>
        <w:lastRenderedPageBreak/>
        <w:t xml:space="preserve">Figure </w:t>
      </w:r>
      <w:r w:rsidR="00AC2A89" w:rsidRPr="00AC2A89">
        <w:rPr>
          <w:rFonts w:ascii="Roboto" w:hAnsi="Roboto"/>
          <w:b/>
          <w:bCs/>
          <w:lang w:val="en-US"/>
        </w:rPr>
        <w:t>5</w:t>
      </w:r>
      <w:r w:rsidRPr="00AC2A89">
        <w:rPr>
          <w:rFonts w:ascii="Roboto" w:hAnsi="Roboto"/>
          <w:b/>
          <w:bCs/>
          <w:lang w:val="en-US"/>
        </w:rPr>
        <w:t>:</w:t>
      </w:r>
    </w:p>
    <w:p w14:paraId="776FCD77" w14:textId="5BCB0CC0" w:rsidR="005F2993" w:rsidRPr="00AC2A89" w:rsidRDefault="00AC2A89" w:rsidP="0067560E">
      <w:pPr>
        <w:spacing w:line="480" w:lineRule="auto"/>
        <w:rPr>
          <w:rFonts w:ascii="Roboto" w:hAnsi="Roboto"/>
          <w:lang w:val="en-US"/>
        </w:rPr>
      </w:pPr>
      <w:r>
        <w:rPr>
          <w:rFonts w:ascii="Roboto" w:hAnsi="Roboto"/>
          <w:noProof/>
          <w14:ligatures w14:val="standardContextual"/>
        </w:rPr>
        <w:drawing>
          <wp:inline distT="0" distB="0" distL="0" distR="0" wp14:anchorId="17B4FD77" wp14:editId="752CF29E">
            <wp:extent cx="6058535" cy="3025140"/>
            <wp:effectExtent l="0" t="0" r="0" b="0"/>
            <wp:docPr id="108262052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0529" name="Billede 1082620529"/>
                    <pic:cNvPicPr/>
                  </pic:nvPicPr>
                  <pic:blipFill>
                    <a:blip r:embed="rId20">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r w:rsidR="00E27B32" w:rsidRPr="00AC2A89">
        <w:rPr>
          <w:rFonts w:ascii="Roboto" w:hAnsi="Roboto"/>
          <w:lang w:val="en-US"/>
        </w:rPr>
        <w:t xml:space="preserve"> </w:t>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2BE18FB7" w14:textId="00426C75" w:rsidR="002B3BD2" w:rsidRPr="007C4859" w:rsidRDefault="002B3BD2" w:rsidP="003B159A">
      <w:pPr>
        <w:rPr>
          <w:rFonts w:ascii="Roboto" w:hAnsi="Roboto"/>
          <w:lang w:val="en-US"/>
        </w:rPr>
      </w:pPr>
    </w:p>
    <w:sectPr w:rsidR="002B3BD2" w:rsidRPr="007C4859" w:rsidSect="003F45C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rolyn Ho" w:date="2024-02-11T14:23:00Z" w:initials="CH">
    <w:p w14:paraId="56C4EE37" w14:textId="77777777" w:rsidR="00A2067F" w:rsidRDefault="00A2067F" w:rsidP="00A2067F">
      <w:pPr>
        <w:pStyle w:val="Kommentartekst"/>
      </w:pPr>
      <w:r>
        <w:rPr>
          <w:rStyle w:val="Kommentarhenvisning"/>
        </w:rPr>
        <w:annotationRef/>
      </w:r>
      <w:r>
        <w:t>Need to renumber and re-order, moving up current F5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4EE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CF0649" w16cex:dateUtc="2024-02-11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4EE37" w16cid:durableId="7CCF06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B77E" w14:textId="77777777" w:rsidR="003F45CE" w:rsidRDefault="003F45CE">
      <w:r>
        <w:separator/>
      </w:r>
    </w:p>
  </w:endnote>
  <w:endnote w:type="continuationSeparator" w:id="0">
    <w:p w14:paraId="6DD14AAD" w14:textId="77777777" w:rsidR="003F45CE" w:rsidRDefault="003F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2EFF" w:usb1="D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16F1" w14:textId="77777777" w:rsidR="003F45CE" w:rsidRDefault="003F45CE">
      <w:r>
        <w:separator/>
      </w:r>
    </w:p>
  </w:footnote>
  <w:footnote w:type="continuationSeparator" w:id="0">
    <w:p w14:paraId="4BF4D738" w14:textId="77777777" w:rsidR="003F45CE" w:rsidRDefault="003F4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yn Ho">
    <w15:presenceInfo w15:providerId="Windows Live" w15:userId="a9d6495a80f40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6BA5"/>
    <w:rsid w:val="00037938"/>
    <w:rsid w:val="00037B48"/>
    <w:rsid w:val="00040F1C"/>
    <w:rsid w:val="0004148E"/>
    <w:rsid w:val="0004277A"/>
    <w:rsid w:val="00044362"/>
    <w:rsid w:val="00045C43"/>
    <w:rsid w:val="00045FF8"/>
    <w:rsid w:val="00047633"/>
    <w:rsid w:val="00051EAF"/>
    <w:rsid w:val="00056EEB"/>
    <w:rsid w:val="00060459"/>
    <w:rsid w:val="00066095"/>
    <w:rsid w:val="00070043"/>
    <w:rsid w:val="00071707"/>
    <w:rsid w:val="00071ECC"/>
    <w:rsid w:val="00073741"/>
    <w:rsid w:val="0007751F"/>
    <w:rsid w:val="00080A63"/>
    <w:rsid w:val="0008357F"/>
    <w:rsid w:val="00087C51"/>
    <w:rsid w:val="000958D0"/>
    <w:rsid w:val="000A2466"/>
    <w:rsid w:val="000B140C"/>
    <w:rsid w:val="000B753D"/>
    <w:rsid w:val="000B76C9"/>
    <w:rsid w:val="000C157F"/>
    <w:rsid w:val="000C5E36"/>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0B81"/>
    <w:rsid w:val="00102552"/>
    <w:rsid w:val="00105422"/>
    <w:rsid w:val="001056F4"/>
    <w:rsid w:val="00107191"/>
    <w:rsid w:val="00112385"/>
    <w:rsid w:val="00122A66"/>
    <w:rsid w:val="0012307E"/>
    <w:rsid w:val="0013085D"/>
    <w:rsid w:val="00132B28"/>
    <w:rsid w:val="001340F8"/>
    <w:rsid w:val="00136696"/>
    <w:rsid w:val="00152E8D"/>
    <w:rsid w:val="00153C85"/>
    <w:rsid w:val="00154659"/>
    <w:rsid w:val="00167E21"/>
    <w:rsid w:val="00171B3C"/>
    <w:rsid w:val="001748BF"/>
    <w:rsid w:val="0018036F"/>
    <w:rsid w:val="00185626"/>
    <w:rsid w:val="00187E3F"/>
    <w:rsid w:val="00190371"/>
    <w:rsid w:val="00191A92"/>
    <w:rsid w:val="00192803"/>
    <w:rsid w:val="0019303B"/>
    <w:rsid w:val="00193C32"/>
    <w:rsid w:val="001977C7"/>
    <w:rsid w:val="0019798E"/>
    <w:rsid w:val="001A2D03"/>
    <w:rsid w:val="001A6523"/>
    <w:rsid w:val="001B3DE8"/>
    <w:rsid w:val="001C070C"/>
    <w:rsid w:val="001C44CF"/>
    <w:rsid w:val="001C5964"/>
    <w:rsid w:val="001D30C0"/>
    <w:rsid w:val="001D711A"/>
    <w:rsid w:val="001D766A"/>
    <w:rsid w:val="001E0DCC"/>
    <w:rsid w:val="001E27DC"/>
    <w:rsid w:val="001E5A55"/>
    <w:rsid w:val="001E7F65"/>
    <w:rsid w:val="001F2967"/>
    <w:rsid w:val="00200626"/>
    <w:rsid w:val="00201C66"/>
    <w:rsid w:val="0020425B"/>
    <w:rsid w:val="002045AA"/>
    <w:rsid w:val="00205ABD"/>
    <w:rsid w:val="00214E3D"/>
    <w:rsid w:val="00223E49"/>
    <w:rsid w:val="00224206"/>
    <w:rsid w:val="00226DDB"/>
    <w:rsid w:val="002270D2"/>
    <w:rsid w:val="0023131F"/>
    <w:rsid w:val="00234724"/>
    <w:rsid w:val="00234D5E"/>
    <w:rsid w:val="00235157"/>
    <w:rsid w:val="00241DE5"/>
    <w:rsid w:val="0024227C"/>
    <w:rsid w:val="00245B74"/>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226B"/>
    <w:rsid w:val="003157B8"/>
    <w:rsid w:val="00317261"/>
    <w:rsid w:val="00317FF7"/>
    <w:rsid w:val="003221BA"/>
    <w:rsid w:val="0032350E"/>
    <w:rsid w:val="0032641D"/>
    <w:rsid w:val="003323F6"/>
    <w:rsid w:val="00335B40"/>
    <w:rsid w:val="00341B85"/>
    <w:rsid w:val="0034252B"/>
    <w:rsid w:val="00345718"/>
    <w:rsid w:val="00350333"/>
    <w:rsid w:val="00351DC9"/>
    <w:rsid w:val="00353802"/>
    <w:rsid w:val="00353BD0"/>
    <w:rsid w:val="00360381"/>
    <w:rsid w:val="00360FE2"/>
    <w:rsid w:val="00361197"/>
    <w:rsid w:val="00362CA3"/>
    <w:rsid w:val="0036707C"/>
    <w:rsid w:val="0037016C"/>
    <w:rsid w:val="00370E07"/>
    <w:rsid w:val="0037248F"/>
    <w:rsid w:val="0037380B"/>
    <w:rsid w:val="00385868"/>
    <w:rsid w:val="00387275"/>
    <w:rsid w:val="0039001D"/>
    <w:rsid w:val="003911BC"/>
    <w:rsid w:val="00391E8B"/>
    <w:rsid w:val="00394A0C"/>
    <w:rsid w:val="0039793A"/>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7F02"/>
    <w:rsid w:val="003F0B99"/>
    <w:rsid w:val="003F45CE"/>
    <w:rsid w:val="003F641C"/>
    <w:rsid w:val="00400129"/>
    <w:rsid w:val="00406508"/>
    <w:rsid w:val="00407FC1"/>
    <w:rsid w:val="0041170E"/>
    <w:rsid w:val="004125E5"/>
    <w:rsid w:val="00413FB0"/>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8195E"/>
    <w:rsid w:val="00482E50"/>
    <w:rsid w:val="004871C9"/>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26ED8"/>
    <w:rsid w:val="0052778E"/>
    <w:rsid w:val="00530695"/>
    <w:rsid w:val="005307F4"/>
    <w:rsid w:val="00535BD8"/>
    <w:rsid w:val="0053705B"/>
    <w:rsid w:val="0054323F"/>
    <w:rsid w:val="00547A32"/>
    <w:rsid w:val="00551AF1"/>
    <w:rsid w:val="00554798"/>
    <w:rsid w:val="005559AF"/>
    <w:rsid w:val="00556B72"/>
    <w:rsid w:val="00567A14"/>
    <w:rsid w:val="00575910"/>
    <w:rsid w:val="00575C41"/>
    <w:rsid w:val="00580470"/>
    <w:rsid w:val="00581BBC"/>
    <w:rsid w:val="0058399C"/>
    <w:rsid w:val="005868E2"/>
    <w:rsid w:val="00592E28"/>
    <w:rsid w:val="00595F0C"/>
    <w:rsid w:val="005A08A3"/>
    <w:rsid w:val="005A45D2"/>
    <w:rsid w:val="005A74BB"/>
    <w:rsid w:val="005B00FE"/>
    <w:rsid w:val="005B164B"/>
    <w:rsid w:val="005B2913"/>
    <w:rsid w:val="005B44F4"/>
    <w:rsid w:val="005C0A8A"/>
    <w:rsid w:val="005C1036"/>
    <w:rsid w:val="005C4292"/>
    <w:rsid w:val="005D1D14"/>
    <w:rsid w:val="005D332F"/>
    <w:rsid w:val="005D389F"/>
    <w:rsid w:val="005D6489"/>
    <w:rsid w:val="005E3EFD"/>
    <w:rsid w:val="005E42C7"/>
    <w:rsid w:val="005E755E"/>
    <w:rsid w:val="005F2993"/>
    <w:rsid w:val="005F3FDD"/>
    <w:rsid w:val="00615203"/>
    <w:rsid w:val="006174CC"/>
    <w:rsid w:val="0062278A"/>
    <w:rsid w:val="006231BB"/>
    <w:rsid w:val="00625C27"/>
    <w:rsid w:val="00626F13"/>
    <w:rsid w:val="00627F19"/>
    <w:rsid w:val="00630307"/>
    <w:rsid w:val="00630A55"/>
    <w:rsid w:val="00632C1C"/>
    <w:rsid w:val="00633B91"/>
    <w:rsid w:val="006368C7"/>
    <w:rsid w:val="00636E22"/>
    <w:rsid w:val="0064123F"/>
    <w:rsid w:val="00641A39"/>
    <w:rsid w:val="0064270F"/>
    <w:rsid w:val="0064335B"/>
    <w:rsid w:val="00646167"/>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4B43"/>
    <w:rsid w:val="006D51BB"/>
    <w:rsid w:val="006D62AB"/>
    <w:rsid w:val="006F06CE"/>
    <w:rsid w:val="006F102D"/>
    <w:rsid w:val="00702EEB"/>
    <w:rsid w:val="00703EA6"/>
    <w:rsid w:val="00705B1C"/>
    <w:rsid w:val="00706DA4"/>
    <w:rsid w:val="007100EB"/>
    <w:rsid w:val="00711E23"/>
    <w:rsid w:val="00724D30"/>
    <w:rsid w:val="00727D41"/>
    <w:rsid w:val="007401B1"/>
    <w:rsid w:val="007544D9"/>
    <w:rsid w:val="00754B2F"/>
    <w:rsid w:val="00755D3B"/>
    <w:rsid w:val="00757421"/>
    <w:rsid w:val="00762103"/>
    <w:rsid w:val="007621F1"/>
    <w:rsid w:val="007747EB"/>
    <w:rsid w:val="007748D5"/>
    <w:rsid w:val="00777B45"/>
    <w:rsid w:val="00780625"/>
    <w:rsid w:val="007811CD"/>
    <w:rsid w:val="00782C80"/>
    <w:rsid w:val="00783844"/>
    <w:rsid w:val="00783E74"/>
    <w:rsid w:val="00784843"/>
    <w:rsid w:val="00790484"/>
    <w:rsid w:val="0079278C"/>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3A13"/>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D84"/>
    <w:rsid w:val="008B3EB1"/>
    <w:rsid w:val="008B59F9"/>
    <w:rsid w:val="008C0952"/>
    <w:rsid w:val="008C2203"/>
    <w:rsid w:val="008C5F58"/>
    <w:rsid w:val="008C7B68"/>
    <w:rsid w:val="008D55D0"/>
    <w:rsid w:val="008D66E8"/>
    <w:rsid w:val="008E11EB"/>
    <w:rsid w:val="008E1D94"/>
    <w:rsid w:val="008E21C5"/>
    <w:rsid w:val="008E5B00"/>
    <w:rsid w:val="008F135E"/>
    <w:rsid w:val="008F6EC6"/>
    <w:rsid w:val="00900D32"/>
    <w:rsid w:val="00903497"/>
    <w:rsid w:val="0090368F"/>
    <w:rsid w:val="0090387A"/>
    <w:rsid w:val="00907D0E"/>
    <w:rsid w:val="00934456"/>
    <w:rsid w:val="0093697B"/>
    <w:rsid w:val="00941C96"/>
    <w:rsid w:val="009426C3"/>
    <w:rsid w:val="00945228"/>
    <w:rsid w:val="0094582D"/>
    <w:rsid w:val="00945B98"/>
    <w:rsid w:val="009470FC"/>
    <w:rsid w:val="00954CA0"/>
    <w:rsid w:val="009577E5"/>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2EF8"/>
    <w:rsid w:val="009D36E1"/>
    <w:rsid w:val="009D52A5"/>
    <w:rsid w:val="009E0DC7"/>
    <w:rsid w:val="009E16F1"/>
    <w:rsid w:val="009E1C4D"/>
    <w:rsid w:val="009E41E7"/>
    <w:rsid w:val="009E7B18"/>
    <w:rsid w:val="00A008C6"/>
    <w:rsid w:val="00A02633"/>
    <w:rsid w:val="00A031F7"/>
    <w:rsid w:val="00A03E37"/>
    <w:rsid w:val="00A12F57"/>
    <w:rsid w:val="00A175BD"/>
    <w:rsid w:val="00A175F9"/>
    <w:rsid w:val="00A201CC"/>
    <w:rsid w:val="00A2067F"/>
    <w:rsid w:val="00A22769"/>
    <w:rsid w:val="00A2547C"/>
    <w:rsid w:val="00A26503"/>
    <w:rsid w:val="00A330FA"/>
    <w:rsid w:val="00A45595"/>
    <w:rsid w:val="00A56582"/>
    <w:rsid w:val="00A5713E"/>
    <w:rsid w:val="00A62DC8"/>
    <w:rsid w:val="00A64C92"/>
    <w:rsid w:val="00A751D0"/>
    <w:rsid w:val="00A77028"/>
    <w:rsid w:val="00A85FE9"/>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2A89"/>
    <w:rsid w:val="00AC3788"/>
    <w:rsid w:val="00AC5E31"/>
    <w:rsid w:val="00AC5E6D"/>
    <w:rsid w:val="00AC7B4E"/>
    <w:rsid w:val="00AD1CB4"/>
    <w:rsid w:val="00AE167C"/>
    <w:rsid w:val="00AE4D82"/>
    <w:rsid w:val="00AE4DF8"/>
    <w:rsid w:val="00AE60F7"/>
    <w:rsid w:val="00AE61C5"/>
    <w:rsid w:val="00AE6F82"/>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4297"/>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6EAC"/>
    <w:rsid w:val="00B970ED"/>
    <w:rsid w:val="00BA44FB"/>
    <w:rsid w:val="00BB098E"/>
    <w:rsid w:val="00BB2AC0"/>
    <w:rsid w:val="00BB3F00"/>
    <w:rsid w:val="00BB4539"/>
    <w:rsid w:val="00BB4E02"/>
    <w:rsid w:val="00BB58AF"/>
    <w:rsid w:val="00BB5EB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C009C7"/>
    <w:rsid w:val="00C00C90"/>
    <w:rsid w:val="00C01E6A"/>
    <w:rsid w:val="00C02764"/>
    <w:rsid w:val="00C02CAE"/>
    <w:rsid w:val="00C07642"/>
    <w:rsid w:val="00C113BB"/>
    <w:rsid w:val="00C114B4"/>
    <w:rsid w:val="00C11D6C"/>
    <w:rsid w:val="00C17E0A"/>
    <w:rsid w:val="00C21997"/>
    <w:rsid w:val="00C3381F"/>
    <w:rsid w:val="00C36010"/>
    <w:rsid w:val="00C40896"/>
    <w:rsid w:val="00C42F04"/>
    <w:rsid w:val="00C45E79"/>
    <w:rsid w:val="00C465D3"/>
    <w:rsid w:val="00C47A54"/>
    <w:rsid w:val="00C52160"/>
    <w:rsid w:val="00C53F57"/>
    <w:rsid w:val="00C55FA8"/>
    <w:rsid w:val="00C6106B"/>
    <w:rsid w:val="00C66B7E"/>
    <w:rsid w:val="00C72953"/>
    <w:rsid w:val="00C76C4C"/>
    <w:rsid w:val="00C817E1"/>
    <w:rsid w:val="00C8190E"/>
    <w:rsid w:val="00C81A0B"/>
    <w:rsid w:val="00C81C49"/>
    <w:rsid w:val="00C82067"/>
    <w:rsid w:val="00C82F9D"/>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215"/>
    <w:rsid w:val="00CD38FF"/>
    <w:rsid w:val="00CD5D89"/>
    <w:rsid w:val="00CD5EA9"/>
    <w:rsid w:val="00CD7900"/>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5FAB"/>
    <w:rsid w:val="00D37B4E"/>
    <w:rsid w:val="00D50E7D"/>
    <w:rsid w:val="00D5141C"/>
    <w:rsid w:val="00D5159C"/>
    <w:rsid w:val="00D519C3"/>
    <w:rsid w:val="00D51E41"/>
    <w:rsid w:val="00D52FCA"/>
    <w:rsid w:val="00D55B18"/>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3727"/>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5117D"/>
    <w:rsid w:val="00E610EA"/>
    <w:rsid w:val="00E63A7D"/>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5A65"/>
    <w:rsid w:val="00EB68FB"/>
    <w:rsid w:val="00EC0DCC"/>
    <w:rsid w:val="00EC0FCE"/>
    <w:rsid w:val="00EC3708"/>
    <w:rsid w:val="00EC6968"/>
    <w:rsid w:val="00ED0AEE"/>
    <w:rsid w:val="00EE54A0"/>
    <w:rsid w:val="00EE54E5"/>
    <w:rsid w:val="00EE68C0"/>
    <w:rsid w:val="00EF036F"/>
    <w:rsid w:val="00EF2CA0"/>
    <w:rsid w:val="00EF6167"/>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47A3"/>
    <w:rsid w:val="00F9674B"/>
    <w:rsid w:val="00FA0FD1"/>
    <w:rsid w:val="00FA685D"/>
    <w:rsid w:val="00FB109B"/>
    <w:rsid w:val="00FB1A93"/>
    <w:rsid w:val="00FB2A36"/>
    <w:rsid w:val="00FC5FC2"/>
    <w:rsid w:val="00FC716E"/>
    <w:rsid w:val="00FC7180"/>
    <w:rsid w:val="00FD4F8B"/>
    <w:rsid w:val="00FE233A"/>
    <w:rsid w:val="00FE26BF"/>
    <w:rsid w:val="00FE6DAB"/>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21956945">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openxmlformats.org/officeDocument/2006/relationships/image" Target="media/image2.emf"/><Relationship Id="rId18" Type="http://schemas.microsoft.com/office/2018/08/relationships/commentsExtensible" Target="commentsExtensible.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christoffer.rasmus.vissing.01@regionh" TargetMode="External"/><Relationship Id="rId14" Type="http://schemas.openxmlformats.org/officeDocument/2006/relationships/image" Target="media/image3.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19015</Words>
  <Characters>115996</Characters>
  <Application>Microsoft Office Word</Application>
  <DocSecurity>0</DocSecurity>
  <Lines>966</Lines>
  <Paragraphs>269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2024-02-11T21:12:00Z</dcterms:created>
  <dcterms:modified xsi:type="dcterms:W3CDTF">2024-02-12T10:14:00Z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